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Week 4 Project Summary</w:t>
      </w:r>
    </w:p>
    <w:p>
      <w:pPr>
        <w:spacing w:after="60"/>
        <w:jc w:val="center"/>
      </w:pPr>
      <w:r>
        <w:rPr>
          <w:color w:val="5A5A5A"/>
          <w:sz w:val="22"/>
          <w:szCs w:val="22"/>
        </w:rPr>
        <w:t xml:space="preserve">HealthConnect Clinic Experience Lab — Machine Learning Engineering Track</w:t>
      </w:r>
    </w:p>
    <w:p>
      <w:pPr>
        <w:spacing w:after="400"/>
        <w:jc w:val="center"/>
      </w:pPr>
      <w:r>
        <w:rPr>
          <w:color w:val="5A5A5A"/>
          <w:sz w:val="20"/>
          <w:szCs w:val="20"/>
        </w:rPr>
        <w:t xml:space="preserve">AnalystLab Africa — Experience Lab Internship Programme</w:t>
      </w:r>
    </w:p>
    <w:p>
      <w:pPr>
        <w:pStyle w:val="Heading1"/>
        <w:spacing w:after="140" w:before="280"/>
      </w:pPr>
      <w:r>
        <w:t xml:space="preserve">1. Track-Specific Problem</w:t>
      </w:r>
    </w:p>
    <w:p>
      <w:pPr>
        <w:spacing w:after="140"/>
      </w:pPr>
      <w:r>
        <w:t xml:space="preserve">Design the system architecture and engineering approach needed to turn a HealthConnect no-show prediction model into a reproducible, versioned, batch-scored service — covering inputs/outputs, pipeline stages, dependencies, and reproducibility practices, ahead of the Data Science track's model development.</w:t>
      </w:r>
    </w:p>
    <w:p>
      <w:pPr>
        <w:pStyle w:val="Heading1"/>
        <w:spacing w:after="140" w:before="280"/>
      </w:pPr>
      <w:r>
        <w:t xml:space="preserve">2. Resources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 Data Dictionary — used to define which fields are legitimate model inputs versus fields that are unavailable pre-appointment (waiting_time_minutes) or identifiers only (appointment_id, patient_id).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 Appointment Dataset structure, as described in the Data Dictionary, to shape the data validation and feature pipeline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AnalystLab Africa Week 4 assignment brief, to scope the ML Engineering track deliverables and stay aligned with the shared HealthConnect project stages.</w:t>
      </w:r>
    </w:p>
    <w:p>
      <w:pPr>
        <w:pStyle w:val="Heading1"/>
        <w:spacing w:after="140" w:before="280"/>
      </w:pPr>
      <w:r>
        <w:t xml:space="preserve">3. Key Observations from Week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waiting_time_minutes is a data-leakage risk: it is only recorded after check-in, so it cannot be used to predict an outcome that, by definition, happens before or instead of check-in.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appointment_outcome has three states (Attended, No-Show, Cancelled); Cancelled needs an explicit modelling decision rather than being folded silently into either other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distance_to_clinic_km and waiting_time_minutes both have limited missing values, which affects both the feature pipeline design and the choice of imputation strategy.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daily batch scoring cadence looks operationally sufficient given typical booking lead times, rather than requiring real-time inference at this stage.</w:t>
      </w:r>
    </w:p>
    <w:p>
      <w:pPr>
        <w:pStyle w:val="Heading1"/>
        <w:spacing w:after="140" w:before="280"/>
      </w:pPr>
      <w:r>
        <w:t xml:space="preserve">4. Proposed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shared feature pipeline used identically by training and inference, to prevent train/serve skew.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the pipeline into an offline training path (experimentation, evaluation, model registry) and an online daily batch inference path (scoring, output, monitoring).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model management lightweight for now — versioned model files plus a metrics/metadata log — rather than adopting a full MLOps platform prematurely.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 target-variable and feature definitions directly with the Data Science track before implementation begins.</w:t>
      </w:r>
    </w:p>
    <w:p>
      <w:pPr>
        <w:pStyle w:val="Heading1"/>
        <w:spacing w:after="140" w:before="280"/>
      </w:pPr>
      <w:r>
        <w:t xml:space="preserve">5. Key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in no-shows will require recall/F1/ROC-AUC-based evaluation rather than accuracy.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Fairness: gender and age are available features; risk scores must be used to support outreach, not to deprioritise care, and should be checked for demographic bias.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Coordination risk: this design depends on the Data Science track's confirmed problem definition and the Data Analytics/Generative AI tracks' downstream consumption needs.</w:t>
      </w:r>
    </w:p>
    <w:p>
      <w:pPr>
        <w:pStyle w:val="Heading1"/>
        <w:spacing w:after="140" w:before="280"/>
      </w:pPr>
      <w:r>
        <w:t xml:space="preserve">6. Proposed Focus for Week 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the repository skeleton (data/raw, data/processed, notebooks, src, models) and requirements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data validation and an initial version of the shared feature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target-variable definition with the Data Science track and begin a first training pipeline draft.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2026-08-26T13:54:36.460Z</dcterms:created>
  <dcterms:modified xsi:type="dcterms:W3CDTF">2026-08-26T13:54:36.460Z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