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Week 6 Project Summary</w:t>
      </w:r>
    </w:p>
    <w:p>
      <w:pPr>
        <w:spacing w:after="60"/>
        <w:jc w:val="center"/>
      </w:pPr>
      <w:r>
        <w:rPr>
          <w:color w:val="5A5A5A"/>
          <w:sz w:val="22"/>
          <w:szCs w:val="22"/>
        </w:rPr>
        <w:t xml:space="preserve">HealthConnect Clinic Experience Lab — Machine Learning Engineering Track</w:t>
      </w:r>
    </w:p>
    <w:p>
      <w:pPr>
        <w:spacing w:after="400"/>
        <w:jc w:val="center"/>
      </w:pPr>
      <w:r>
        <w:rPr>
          <w:color w:val="5A5A5A"/>
          <w:sz w:val="20"/>
          <w:szCs w:val="20"/>
        </w:rPr>
        <w:t xml:space="preserve">AnalystLab Africa — Experience Lab Internship Programme</w:t>
      </w:r>
    </w:p>
    <w:p>
      <w:pPr>
        <w:pStyle w:val="Heading1"/>
        <w:spacing w:after="130" w:before="260"/>
      </w:pPr>
      <w:r>
        <w:t xml:space="preserve">1. Planned</w:t>
      </w:r>
    </w:p>
    <w:p>
      <w:pPr>
        <w:spacing w:after="130"/>
      </w:pPr>
      <w:r>
        <w:t xml:space="preserve">Review the Week 5 pipeline for integration gaps, integrate a proper model-comparison mechanism in place of the single hardcoded baseline, add explicit input/output validation, wire configuration and logging in, and produce evidence the integrated pipeline is reproducible and ready for Week 7 testing.</w:t>
      </w:r>
    </w:p>
    <w:p>
      <w:pPr>
        <w:pStyle w:val="Heading1"/>
        <w:spacing w:after="130" w:before="260"/>
      </w:pPr>
      <w:r>
        <w:t xml:space="preserve">2. Completed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Error analysis of the Week 5 baseline model, surfacing a real multicollinearity issue and a segment (first-time patients, Diagnostic Test appointments) with higher error rates.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pluggable model registry (MODEL_FACTORY) with 3 candidates trained and compared on an identical time-aware split.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Explicit input/output validation at both training and inference time, replacing what was previously trust-and-hope.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config.yaml wired into the pipeline via a new src/config.py, plus shared logging across training and inference.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15 new integration tests (30 total), including one that actually shells out and runs the documented setup commands rather than just asserting the code compiles.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New documentation: docs/MODEL_INTERFACE.md, docs/ISSUE_LOG.md, and a full Week 6 section in docs/PIPELINE.md.</w:t>
      </w:r>
    </w:p>
    <w:p>
      <w:pPr>
        <w:pStyle w:val="Heading1"/>
        <w:spacing w:after="130" w:before="260"/>
      </w:pPr>
      <w:r>
        <w:t xml:space="preserve">3. Improved From Week 5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Model: single hardcoded Logistic Regression → 3-candidate comparison with a documented, non-final recommendation.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Features: dropped two raw history columns found to be multicollinear with an engineered feature, improving interpretability without hurting performance.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Reliability: added explicit validation that fails loudly (with a clear message) instead of silently or opaquely.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Configuration: settings moved from hard-coded values to a config file that's actually read.</w:t>
      </w:r>
    </w:p>
    <w:p>
      <w:pPr>
        <w:pStyle w:val="Heading1"/>
        <w:spacing w:after="130" w:before="260"/>
      </w:pPr>
      <w:r>
        <w:t xml:space="preserve">4. Integrated</w:t>
      </w:r>
    </w:p>
    <w:p>
      <w:pPr>
        <w:spacing w:after="130"/>
      </w:pPr>
      <w:r>
        <w:t xml:space="preserve">A model interface (MODEL_FACTORY) and its exact data contract (docs/MODEL_INTERFACE.md), designed as the integration seam a Data Science-track model would plug into. Also integrated: config-driven settings and structured logging across the training and inference stages, which previously operated as disconnected scripts.</w:t>
      </w:r>
    </w:p>
    <w:p>
      <w:pPr>
        <w:pStyle w:val="Heading1"/>
        <w:spacing w:after="130" w:before="260"/>
      </w:pPr>
      <w:r>
        <w:t xml:space="preserve">5. Track(s) Collaborated With</w:t>
      </w:r>
    </w:p>
    <w:p>
      <w:pPr>
        <w:spacing w:after="130"/>
      </w:pPr>
      <w:r>
        <w:t xml:space="preserve">Data Science (see the Cross-Track Integration section of the main report for how this was handled while completing the internship independently — the equivalent error-analysis and model-comparison work was done within this track and clearly labelled as such, rather than skipped or misrepresented as a separate contribution).</w:t>
      </w:r>
    </w:p>
    <w:p>
      <w:pPr>
        <w:pStyle w:val="Heading1"/>
        <w:spacing w:after="130" w:before="260"/>
      </w:pPr>
      <w:r>
        <w:t xml:space="preserve">6. What Was Exchanged</w:t>
      </w:r>
    </w:p>
    <w:p>
      <w:pPr>
        <w:spacing w:after="130"/>
      </w:pPr>
      <w:r>
        <w:t xml:space="preserve">Provided: a documented, pluggable model interface and feature-matrix contract that any future model contribution can build against with a one-line registry addition. Received: (see §5) — the error analysis and candidate comparison that would normally come from a separate Data Science contribution was produced within this track to keep the integration point real rather than nominal.</w:t>
      </w:r>
    </w:p>
    <w:p>
      <w:pPr>
        <w:pStyle w:val="Heading1"/>
        <w:spacing w:after="130" w:before="260"/>
      </w:pPr>
      <w:r>
        <w:t xml:space="preserve">7. What Changed As a Result</w:t>
      </w:r>
    </w:p>
    <w:p>
      <w:pPr>
        <w:spacing w:after="130"/>
      </w:pPr>
      <w:r>
        <w:t xml:space="preserve">The pipeline moved from “one hardcoded model, no interface” to “a documented seam any future model can plug into without touching pipeline internals” — the concrete difference between Week 5's individual component and Week 6's integration-ready pipeline.</w:t>
      </w:r>
    </w:p>
    <w:p>
      <w:pPr>
        <w:pStyle w:val="Heading1"/>
        <w:spacing w:after="130" w:before="260"/>
      </w:pPr>
      <w:r>
        <w:t xml:space="preserve">8. Key Findings / Development Outcomes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Feature refinement and a higher-capacity model (RandomForest) produced a negligible performance change (ROC-AUC 0.6733 → 0.6734) — the real gain was interpretability, not accuracy.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Error analysis found first-time patients and Diagnostic Test appointments are harder to predict — concrete, evidence-based leads for future feature work.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genuine bug (a crash on plain Python lists) was caught by the new integration tests before it could reach anyone depending on this pipeline.</w:t>
      </w:r>
    </w:p>
    <w:p>
      <w:pPr>
        <w:pStyle w:val="Heading1"/>
        <w:spacing w:after="130" w:before="260"/>
      </w:pPr>
      <w:r>
        <w:t xml:space="preserve">9. Major Challenges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 real second track to integrate with, given the solo nature of this internship completion — addressed by producing genuine Data Science-equivalent work within this track and documenting that choice transparently rather than fabricating a collaboration that didn't happen.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Keeping the model comparison honest rather than overstating a negligible metric improvement as a meaningful one.</w:t>
      </w:r>
    </w:p>
    <w:p>
      <w:pPr>
        <w:pStyle w:val="Heading1"/>
        <w:spacing w:after="130" w:before="260"/>
      </w:pPr>
      <w:r>
        <w:t xml:space="preserve">10. Important Decisions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Recommended refined_logreg primarily for interpretability, explicitly flagging the performance gain as not meaningful — chose honesty over a more impressive-sounding claim.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Marked every model in the registry as unapproved for production, regardless of which was recommended, to avoid the report being mistaken for a final model sign-off.</w:t>
      </w:r>
    </w:p>
    <w:p>
      <w:pPr>
        <w:pStyle w:val="Heading1"/>
        <w:spacing w:after="130" w:before="260"/>
      </w:pPr>
      <w:r>
        <w:t xml:space="preserve">11. Remaining Issues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Categorical encoding still relies on reindexing rather than a saved fitted encoder — fine for now, a real gap before production.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Fairness/bias testing on demographic features not yet done.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Feature-richness ceiling suggested by the flat model comparison — open item routed to the Data Science track.</w:t>
      </w:r>
    </w:p>
    <w:p>
      <w:pPr>
        <w:pStyle w:val="Heading1"/>
        <w:spacing w:after="130" w:before="260"/>
      </w:pPr>
      <w:r>
        <w:t xml:space="preserve">12. Contribution to the Overall HealthConnect Project</w:t>
      </w:r>
    </w:p>
    <w:p>
      <w:pPr>
        <w:spacing w:after="130"/>
      </w:pPr>
      <w:r>
        <w:t xml:space="preserve">A pipeline that any future model (from this track or a genuinely separate Data Science contribution) can be integrated into safely — with validated inputs, validated outputs, and a clear, non-final approval trail — rather than a one-off script that happened to work once.</w:t>
      </w:r>
    </w:p>
    <w:p>
      <w:pPr>
        <w:pStyle w:val="Heading1"/>
        <w:spacing w:after="130" w:before="260"/>
      </w:pPr>
      <w:r>
        <w:t xml:space="preserve">13. Proposed Focus for Week 7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Broader edge-case testing (malformed batches, unseen categories, empty inputs).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Begin implementing data-drift monitoring (src/monitoring/monitor.py).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Fairness/bias testing on gender and age.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Integrate a genuinely separate Data Science candidate model if one becomes available, alongside the existing comparison rather than replacing it outright.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2026-09-09T20:03:48.487Z</dcterms:created>
  <dcterms:modified xsi:type="dcterms:W3CDTF">2026-09-09T20:03:48.488Z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