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日期：2018年9月1日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  <w:bookmarkEnd w:id="0"/>
      <w:bookmarkEnd w:id="1"/>
    </w:p>
    <w:p>
      <w:pPr>
        <w:pStyle w:val="2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4090_WPSOffice_Level1"/>
      <w:bookmarkStart w:id="3" w:name="_Toc10175_WPSOffice_Level1"/>
      <w:r>
        <w:rPr>
          <w:rFonts w:hint="eastAsia"/>
          <w:lang w:val="en-US" w:eastAsia="zh-CN"/>
        </w:rPr>
        <w:t>复习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css3伪元素：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 表示在原有内容之前插入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::after  表示在原有内容之后插入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必须书写不能省略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 首字母（设置文字属性）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  首行文字(文字属性)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  鼠标圈选（背景颜色）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.box::first-letter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.box::first-line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.box::selection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border-radius: 可以使用像素，百分数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box-shadow: (inset) 右偏移量 下偏移量 模糊半径 延伸量 颜色;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text-shadow: 右偏移量 下偏移量 模糊半径 颜色;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background-origin: 背景起源（content-box）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background-clip: 背景裁切(content-box)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background-size: 背景图宽度     背景图高度;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cover(覆盖)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contain(容纳)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结合精灵图使用：精灵图减半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盒子宽高减半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背景图减半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background-position减半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渐变颜色： background-image: -webkit-linear-gradient(渐变开始方向top, 渐变颜色 百分数, 渐变颜色……);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多背景：一个元素可以添加多个背景，用逗号隔开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过渡的基本形式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  →    元素:hover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都是干嘣的效果，瞬间从开始完成到结束状态。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过渡效果：将开始状态到结束状态可以将中间过程也可以查看到。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第一个参数: 参与过渡的属性（一般我们习惯书写all，所有变化的属性都参与过渡）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完成时间，单位s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缓冲描述（linear匀速    ease变速   贝塞尔曲线）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第四个参数： 延迟时间，单位也是s,如果没有延迟0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transition: width 1s cubic-bezier(0.59, 0.41, 0.17, 1.21) 10s;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可以拆分为四个小属性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transition-property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transition-duration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transition-timing-function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transition-delay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过渡参与的属性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数值型的属性可以参与过渡。比如width height font-size 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可以参与过渡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</w:t>
      </w:r>
    </w:p>
    <w:p>
      <w:pPr>
        <w:pStyle w:val="3"/>
        <w:numPr>
          <w:ilvl w:val="1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2D变形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变形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旋转：rotate()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单位是deg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正方向：顺时针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pict>
          <v:shape id="_x0000_i1025" o:spt="75" type="#_x0000_t75" style="height:111pt;width:177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img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/*img是行内元素*/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 rotate(530deg);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放缩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scale(数字)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没有单位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0-1表示缩小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1-无穷 表示放大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 scale(0.5);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skew(水平斜切，垂直斜切)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单位是deg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 skew(10deg,40deg);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同一个元素可以有多个变形，用空格隔开。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元素没有变形none</w:t>
      </w:r>
    </w:p>
    <w:p>
      <w:pPr>
        <w:pStyle w:val="3"/>
        <w:numPr>
          <w:ilvl w:val="1"/>
          <w:numId w:val="6"/>
        </w:numPr>
        <w:tabs>
          <w:tab w:val="left" w:pos="2968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2D空间移动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空间移动：translateX() 表示水平方向移动（表示相对于自身当前位置进行偏移）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translateY()  表示垂直方向移动，单位px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 translate(100px, 100px);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绝对定位元素的水平居中：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left: 50%;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mgl: -自身宽度/2;(可以替换成空间移动)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 translateX(-50%);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变形练习：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href=""&gt;我要约考&lt;/a&gt;&lt;/li&gt;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class="no2"&gt;&lt;a href=""&gt;班型介绍&lt;/a&gt;&lt;/li&gt;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class="no3"&gt;&lt;a href=""&gt;班车服务&lt;/a&gt;&lt;/li&gt;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class="no4"&gt;&lt;a href=""&gt;班车服务&lt;/a&gt;&lt;/li&gt;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class="no5"&gt;&lt;a href=""&gt;班车服务&lt;/a&gt;&lt;/li&gt;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20px;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rgba(0,0,0,.2);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107px;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107px;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/*同级元素有距离使用mg*/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margin-right: 20px;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107px;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107px;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/*过渡*/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linear 0s;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li.no2::after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url(images/a_2.png);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li.no3::after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url(images/a_3.png);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li.no4::after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url(images/a_4.png);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li.no5::after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url(images/a_5.png);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li::before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46px;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42px;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url(images/tb_1.png);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15px;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/*绝对定位水平居中*/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translateX(-50%);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/*自定义压盖效果*/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z-index: 4;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li.no2::before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background-image: url(images/tb_2.png);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li.no3::before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background-image: url(images/tb_3.png);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34px;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li.no4::before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background-image: url(images/tb_4.png);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41px;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li.no5::before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background-image: url(images/tb_5.png);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44px;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100%;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/*lh数值大于盒子的高度 偏下显示*/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150px;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/*有定位的元素压盖没有定位的元素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有定位的元素才可以使用z-index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z-index: 10;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li:hover::after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url(images/a_1_h1.png);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rotate(360deg);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li.no2:hover::after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url(images/a_2_h1.png);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li.no3:hover::after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url(images/a_3_h1.png);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li.no4:hover::after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url(images/a_4_h1.png);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li.no5:hover::after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url(images/a_5_h1.png);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6" o:spt="75" alt="" type="#_x0000_t75" style="height:92pt;width:382.3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定义动画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需要添加前缀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@-浏览器前缀-</w:t>
      </w:r>
      <w:r>
        <w:rPr>
          <w:rFonts w:hint="eastAsia"/>
          <w:color w:val="FF0000"/>
          <w:lang w:val="en-US" w:eastAsia="zh-CN"/>
        </w:rPr>
        <w:t>keyframes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动画名称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from {} 开始帧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to {} 结束帧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关键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每一帧书写的属性必须一一对应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donghua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/*每一帧状态书写*/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/*开始帧*/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from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/*结束帧*/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调用动画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 调用动画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第一个参数：动画名称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第二个参数：动画完成时间，单位是s(表示从动画开始到结束一次动画完成时间)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缓冲描述 linear ease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第四个参数： 动画延迟时间，单位s，延时时间体现在第一次动画开始。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 动画次数（infinite无限）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第六个参数：自动补全反方向动画（alternate）反方向也算动画次数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最后一个参数：保持最后一帧的状态（forwards）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百分数定义动画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表示在整个动画中该时间动画完成的状态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donghua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/*每一帧状态书写*/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/*开始帧*/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0%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10%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30%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yellow;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90%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/*结束帧*/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100%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动画属性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animation-play-state: paused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play: 播放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paused: 暂停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/*暂停*/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 img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-webkit-animation-play-state: paused;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分辨率：就是屏幕像素的数量，比如1600*900，指的是横向有1600的像素点，纵向有900个像素点。所谓的像素点是物理元件最小的发光单位。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手机的分辨率是多少呢？非常的大。1920×1080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做手机页面的时候，一定要加上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content="width=device-width" 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此时如果你写一个p的字号为font-size:14px;不用担心用户能不能看清！用户一定能看的真真的！此时厂商已经计算好了一个所谓视口约束宽度。14px和14px的感觉完全一样！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一般来说，手机视口约束之后都是320~420之间。而分辨率基本上都是1000~1200，也就是说，约束视口之后所谓的1px，实际上手机用了2点多个像素来渲染。手机中的图片，必须使用</w:t>
      </w:r>
      <w:r>
        <w:rPr>
          <w:rFonts w:hint="eastAsia"/>
          <w:color w:val="FF0000"/>
          <w:lang w:val="en-US" w:eastAsia="zh-CN"/>
        </w:rPr>
        <w:t>放大两倍的图片缩小使用</w:t>
      </w:r>
      <w:r>
        <w:rPr>
          <w:rFonts w:hint="eastAsia"/>
          <w:lang w:val="en-US" w:eastAsia="zh-CN"/>
        </w:rPr>
        <w:t>，这样能精细。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约束视口完整写法：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name="viewport" content="width=device-width, initial-scale=1.0, minimum-scale=1.0, maximum-scale=1.0,user-scalable=no" id="viewport" /&gt;不用背诵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width=device-width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约束视口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initial-scale=1.0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初始视口倍数是1倍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minimum-scale=1.0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最小允许视口宽度是1倍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maximum-scale=1.0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最大允许视口宽度是1倍</w:t>
      </w:r>
    </w:p>
    <w:p>
      <w:pPr>
        <w:numPr>
          <w:ilvl w:val="0"/>
          <w:numId w:val="0"/>
        </w:numPr>
        <w:shd w:val="clear" w:fill="8DB3E2" w:themeFill="text2" w:themeFillTint="66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user-scalable=no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不允许用户缩放视口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五、百分比布局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pc有版心效果，移动没有版心因为移动端约束后视口宽度是300-400之间，不设置版心，显示更多内容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为了移动端效果和app效果也是没有版心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移动端布局宽度一般使用百分比布局。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标准文档流（浮动效果和标准文档流一样）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 表示相对于父盒子</w:t>
      </w:r>
      <w:r>
        <w:rPr>
          <w:rFonts w:hint="eastAsia"/>
          <w:color w:val="FF0000"/>
          <w:lang w:val="en-US" w:eastAsia="zh-CN"/>
        </w:rPr>
        <w:t>内容宽度</w:t>
      </w:r>
      <w:r>
        <w:rPr>
          <w:rFonts w:hint="eastAsia"/>
          <w:lang w:val="en-US" w:eastAsia="zh-CN"/>
        </w:rPr>
        <w:t xml:space="preserve">的比值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表示相对于父盒子内容高度的比值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padding,margin: 表示相对于父盒子</w:t>
      </w:r>
      <w:r>
        <w:rPr>
          <w:rFonts w:hint="eastAsia"/>
          <w:color w:val="FF0000"/>
          <w:lang w:val="en-US" w:eastAsia="zh-CN"/>
        </w:rPr>
        <w:t>内容宽度</w:t>
      </w:r>
      <w:r>
        <w:rPr>
          <w:rFonts w:hint="eastAsia"/>
          <w:lang w:val="en-US" w:eastAsia="zh-CN"/>
        </w:rPr>
        <w:t xml:space="preserve">的比值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border:不能使用百分数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 表示相对于定位参考盒子</w:t>
      </w:r>
      <w:r>
        <w:rPr>
          <w:rFonts w:hint="eastAsia"/>
          <w:color w:val="FF0000"/>
          <w:lang w:val="en-US" w:eastAsia="zh-CN"/>
        </w:rPr>
        <w:t>内容宽+padding</w:t>
      </w:r>
      <w:r>
        <w:rPr>
          <w:rFonts w:hint="eastAsia"/>
          <w:lang w:val="en-US" w:eastAsia="zh-CN"/>
        </w:rPr>
        <w:t xml:space="preserve">的比值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表示相对于定位参考盒子</w:t>
      </w:r>
      <w:r>
        <w:rPr>
          <w:rFonts w:hint="eastAsia"/>
          <w:color w:val="FF0000"/>
          <w:lang w:val="en-US" w:eastAsia="zh-CN"/>
        </w:rPr>
        <w:t>内容高+padding</w:t>
      </w:r>
      <w:r>
        <w:rPr>
          <w:rFonts w:hint="eastAsia"/>
          <w:lang w:val="en-US" w:eastAsia="zh-CN"/>
        </w:rPr>
        <w:t xml:space="preserve">的比值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padding,margin: 表示相对于定位参考盒子</w:t>
      </w:r>
      <w:r>
        <w:rPr>
          <w:rFonts w:hint="eastAsia"/>
          <w:color w:val="FF0000"/>
          <w:lang w:val="en-US" w:eastAsia="zh-CN"/>
        </w:rPr>
        <w:t>内容宽+padding</w:t>
      </w:r>
      <w:r>
        <w:rPr>
          <w:rFonts w:hint="eastAsia"/>
          <w:lang w:val="en-US" w:eastAsia="zh-CN"/>
        </w:rPr>
        <w:t xml:space="preserve">的比值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border:不能使用百分数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六、双飞翼模型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浮动元素的mgl负数，表示相对于上一个元素位置偏移。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中间自适应宽度，两边固定宽度的布局。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中间自适应宽度是根据margin设定，没有显示设置宽度，来达到自适应宽度的属性。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为了让left，right，container放在一行内我们用了浮动布局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为了使left元素固定在左边，我们通过marginleft实现，实际上移动的距离就是container的宽度，为了让其固定宽度，我们显性定义了宽度。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为了让right元素固定右边，我们通过marginleft实现，实际上移动的距离，是其自身的宽度。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pict>
          <v:shape id="_x0000_i1028" o:spt="75" alt="" type="#_x0000_t75" style="height:107.35pt;width:398.6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bookmarkStart w:id="4" w:name="_GoBack"/>
      <w:bookmarkEnd w:id="4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D5D75"/>
    <w:multiLevelType w:val="multilevel"/>
    <w:tmpl w:val="878D5D7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7CA92D8"/>
    <w:multiLevelType w:val="singleLevel"/>
    <w:tmpl w:val="B7CA92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987362"/>
    <w:multiLevelType w:val="singleLevel"/>
    <w:tmpl w:val="D79873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741046E"/>
    <w:multiLevelType w:val="singleLevel"/>
    <w:tmpl w:val="074104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88"/>
    <w:multiLevelType w:val="multi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4"/>
  </w:num>
  <w:num w:numId="35">
    <w:abstractNumId w:val="33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AF548C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D136F"/>
    <w:rsid w:val="065F5E83"/>
    <w:rsid w:val="0667328F"/>
    <w:rsid w:val="06E709AC"/>
    <w:rsid w:val="06EB3561"/>
    <w:rsid w:val="06FA1F12"/>
    <w:rsid w:val="07203C80"/>
    <w:rsid w:val="0725502E"/>
    <w:rsid w:val="0730075A"/>
    <w:rsid w:val="073E7A70"/>
    <w:rsid w:val="077A4051"/>
    <w:rsid w:val="077F2378"/>
    <w:rsid w:val="07AA4BA0"/>
    <w:rsid w:val="07CE18DD"/>
    <w:rsid w:val="07CE1D33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2E735F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517CA4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B4330C"/>
    <w:rsid w:val="10E74FC8"/>
    <w:rsid w:val="11177D15"/>
    <w:rsid w:val="11AD150E"/>
    <w:rsid w:val="11B67C1F"/>
    <w:rsid w:val="11D23CCC"/>
    <w:rsid w:val="11ED498C"/>
    <w:rsid w:val="12003516"/>
    <w:rsid w:val="124721EC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B7339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282B6C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0C2A93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6F1275"/>
    <w:rsid w:val="1AAE5354"/>
    <w:rsid w:val="1AB062D8"/>
    <w:rsid w:val="1AB56EDD"/>
    <w:rsid w:val="1ABC2428"/>
    <w:rsid w:val="1ADF13A6"/>
    <w:rsid w:val="1AEB755E"/>
    <w:rsid w:val="1AF731C9"/>
    <w:rsid w:val="1B4D457D"/>
    <w:rsid w:val="1B781B1D"/>
    <w:rsid w:val="1BB546D1"/>
    <w:rsid w:val="1C0E27CA"/>
    <w:rsid w:val="1C165122"/>
    <w:rsid w:val="1C5E2EDA"/>
    <w:rsid w:val="1C943EEF"/>
    <w:rsid w:val="1C9706F7"/>
    <w:rsid w:val="1C9A5DF9"/>
    <w:rsid w:val="1C9F5205"/>
    <w:rsid w:val="1CA4418A"/>
    <w:rsid w:val="1CAD289B"/>
    <w:rsid w:val="1CB731AA"/>
    <w:rsid w:val="1CBB474B"/>
    <w:rsid w:val="1D046798"/>
    <w:rsid w:val="1D181F4A"/>
    <w:rsid w:val="1D3A0C19"/>
    <w:rsid w:val="1D455A97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B6F86"/>
    <w:rsid w:val="20D30D06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E629A"/>
    <w:rsid w:val="25FF73E4"/>
    <w:rsid w:val="260E79FF"/>
    <w:rsid w:val="264347CF"/>
    <w:rsid w:val="264542D6"/>
    <w:rsid w:val="26711CA2"/>
    <w:rsid w:val="2684763E"/>
    <w:rsid w:val="268D3095"/>
    <w:rsid w:val="269F4CE9"/>
    <w:rsid w:val="26A91DFC"/>
    <w:rsid w:val="2704340F"/>
    <w:rsid w:val="270962CA"/>
    <w:rsid w:val="273F35F4"/>
    <w:rsid w:val="27734D48"/>
    <w:rsid w:val="27746F46"/>
    <w:rsid w:val="279142F8"/>
    <w:rsid w:val="27B3180E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790631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B2585"/>
    <w:rsid w:val="2AB5244A"/>
    <w:rsid w:val="2AC0011A"/>
    <w:rsid w:val="2AE00267"/>
    <w:rsid w:val="2AF97B0C"/>
    <w:rsid w:val="2B26274E"/>
    <w:rsid w:val="2B9C299F"/>
    <w:rsid w:val="2BA96100"/>
    <w:rsid w:val="2BAF3BA3"/>
    <w:rsid w:val="2BF15B26"/>
    <w:rsid w:val="2C3C6E9F"/>
    <w:rsid w:val="2C825415"/>
    <w:rsid w:val="2C8A4A20"/>
    <w:rsid w:val="2CB04C5F"/>
    <w:rsid w:val="2CB97AED"/>
    <w:rsid w:val="2CBC0691"/>
    <w:rsid w:val="2CCC7829"/>
    <w:rsid w:val="2CD32B31"/>
    <w:rsid w:val="2CD54B9D"/>
    <w:rsid w:val="2CD95E24"/>
    <w:rsid w:val="2CDA38A5"/>
    <w:rsid w:val="2CDB3525"/>
    <w:rsid w:val="2CE50500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171FD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3350D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56608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091570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47026F"/>
    <w:rsid w:val="415747BE"/>
    <w:rsid w:val="41632549"/>
    <w:rsid w:val="41640427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3B4B77"/>
    <w:rsid w:val="46406790"/>
    <w:rsid w:val="464C1D63"/>
    <w:rsid w:val="46500769"/>
    <w:rsid w:val="469211D3"/>
    <w:rsid w:val="47910F19"/>
    <w:rsid w:val="47AF6127"/>
    <w:rsid w:val="47D327A1"/>
    <w:rsid w:val="47D32E64"/>
    <w:rsid w:val="47EC5F8C"/>
    <w:rsid w:val="48024AE6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595A36"/>
    <w:rsid w:val="4C6A6D6A"/>
    <w:rsid w:val="4C7044F7"/>
    <w:rsid w:val="4C8C27A2"/>
    <w:rsid w:val="4CC33161"/>
    <w:rsid w:val="4CC92607"/>
    <w:rsid w:val="4D19148D"/>
    <w:rsid w:val="4D42484F"/>
    <w:rsid w:val="4D5B1B76"/>
    <w:rsid w:val="4D5D5EFD"/>
    <w:rsid w:val="4D9C3C64"/>
    <w:rsid w:val="4DB8448E"/>
    <w:rsid w:val="4DCF7936"/>
    <w:rsid w:val="4DED276A"/>
    <w:rsid w:val="4DF80AFB"/>
    <w:rsid w:val="4E077A90"/>
    <w:rsid w:val="4E6A1D33"/>
    <w:rsid w:val="4E9446DA"/>
    <w:rsid w:val="4F527966"/>
    <w:rsid w:val="4F5A163C"/>
    <w:rsid w:val="4F8E6612"/>
    <w:rsid w:val="4F9A5CA8"/>
    <w:rsid w:val="4FAC1B7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76BE1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8FA1647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6E6EC1"/>
    <w:rsid w:val="62DF3642"/>
    <w:rsid w:val="63490AF3"/>
    <w:rsid w:val="63534D8C"/>
    <w:rsid w:val="63720A2A"/>
    <w:rsid w:val="63783BC0"/>
    <w:rsid w:val="63785DBF"/>
    <w:rsid w:val="639812EE"/>
    <w:rsid w:val="63A5296D"/>
    <w:rsid w:val="63B935AD"/>
    <w:rsid w:val="63C33361"/>
    <w:rsid w:val="63FB6398"/>
    <w:rsid w:val="64424340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D7459"/>
    <w:rsid w:val="663E6181"/>
    <w:rsid w:val="664065D2"/>
    <w:rsid w:val="664F5567"/>
    <w:rsid w:val="667F75FB"/>
    <w:rsid w:val="668E4B20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252D0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51DC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33091A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2C5E54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B0785C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B50712"/>
    <w:rsid w:val="75C458AB"/>
    <w:rsid w:val="7603432A"/>
    <w:rsid w:val="76181DB3"/>
    <w:rsid w:val="763251AE"/>
    <w:rsid w:val="76422F15"/>
    <w:rsid w:val="764B5DA3"/>
    <w:rsid w:val="765C023B"/>
    <w:rsid w:val="765F4A43"/>
    <w:rsid w:val="76612456"/>
    <w:rsid w:val="766765CC"/>
    <w:rsid w:val="76881D54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7F263BE"/>
    <w:rsid w:val="785328F5"/>
    <w:rsid w:val="7890275A"/>
    <w:rsid w:val="789E52F2"/>
    <w:rsid w:val="78C058ED"/>
    <w:rsid w:val="78C553BF"/>
    <w:rsid w:val="7945166D"/>
    <w:rsid w:val="79634E1C"/>
    <w:rsid w:val="79D862F8"/>
    <w:rsid w:val="79E8575C"/>
    <w:rsid w:val="7A073240"/>
    <w:rsid w:val="7A5E3C4E"/>
    <w:rsid w:val="7A807C2D"/>
    <w:rsid w:val="7B222A93"/>
    <w:rsid w:val="7B2D0C2A"/>
    <w:rsid w:val="7B8D4340"/>
    <w:rsid w:val="7C2D4B36"/>
    <w:rsid w:val="7C3B0FE1"/>
    <w:rsid w:val="7C3F185D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2018-09-01T10:04:49Z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