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276" w:lineRule="auto" w:before="720" w:after="0"/>
        <w:ind w:left="0" w:firstLine="0"/>
        <w:jc w:val="center"/>
      </w:pPr>
      <w:r>
        <w:rPr>
          <w:rFonts w:ascii="Times New Roman" w:hAnsi="Times New Roman" w:cs="Times New Roman" w:eastAsia="Times New Roman"/>
          <w:b/>
          <w:i w:val="0"/>
          <w:sz w:val="28"/>
          <w:szCs w:val="28"/>
          <w:bCs/>
        </w:rPr>
        <w:t>PROPOSAL</w:t>
      </w:r>
    </w:p>
    <w:p>
      <w:pPr>
        <w:keepNext w:val="0"/>
        <w:widowControl/>
        <w:spacing w:line="276" w:lineRule="auto" w:before="0" w:after="0"/>
        <w:ind w:left="0" w:firstLine="0"/>
        <w:jc w:val="center"/>
      </w:pPr>
      <w:r>
        <w:rPr>
          <w:rFonts w:ascii="Times New Roman" w:hAnsi="Times New Roman" w:cs="Times New Roman" w:eastAsia="Times New Roman"/>
          <w:b/>
          <w:i w:val="0"/>
          <w:sz w:val="28"/>
          <w:szCs w:val="28"/>
          <w:bCs/>
        </w:rPr>
        <w:t>MUSABAQAH DESAIN APLIKASI KOMPUTER AL-QUR'AN (DAQ)</w:t>
      </w:r>
    </w:p>
    <w:p>
      <w:pPr>
        <w:keepNext w:val="0"/>
        <w:widowControl/>
        <w:spacing w:line="276" w:lineRule="auto" w:before="1200" w:after="360"/>
        <w:ind w:left="0" w:firstLine="0"/>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cover_icon.png"/>
                    <pic:cNvPicPr/>
                  </pic:nvPicPr>
                  <pic:blipFill>
                    <a:blip r:embed="rId9"/>
                    <a:stretch>
                      <a:fillRect/>
                    </a:stretch>
                  </pic:blipFill>
                  <pic:spPr>
                    <a:xfrm>
                      <a:off x="0" y="0"/>
                      <a:ext cx="1512000" cy="1512000"/>
                    </a:xfrm>
                    <a:prstGeom prst="rect"/>
                  </pic:spPr>
                </pic:pic>
              </a:graphicData>
            </a:graphic>
          </wp:inline>
        </w:drawing>
      </w:r>
    </w:p>
    <w:p>
      <w:pPr>
        <w:keepNext w:val="0"/>
        <w:widowControl/>
        <w:spacing w:line="276" w:lineRule="auto" w:before="0" w:after="160"/>
        <w:ind w:left="0" w:firstLine="0"/>
        <w:jc w:val="center"/>
      </w:pPr>
      <w:r>
        <w:rPr>
          <w:rFonts w:ascii="Times New Roman" w:hAnsi="Times New Roman" w:cs="Times New Roman" w:eastAsia="Times New Roman"/>
          <w:b/>
          <w:i w:val="0"/>
          <w:color w:val="0F5E5E"/>
          <w:sz w:val="52"/>
          <w:szCs w:val="52"/>
          <w:bCs/>
        </w:rPr>
        <w:t>MAKHRAJ</w:t>
      </w:r>
    </w:p>
    <w:p>
      <w:pPr>
        <w:keepNext w:val="0"/>
        <w:widowControl/>
        <w:spacing w:line="276" w:lineRule="auto" w:before="0" w:after="0"/>
        <w:ind w:left="0" w:firstLine="0"/>
        <w:jc w:val="center"/>
      </w:pPr>
      <w:r>
        <w:rPr>
          <w:rFonts w:ascii="Times New Roman" w:hAnsi="Times New Roman" w:cs="Times New Roman" w:eastAsia="Times New Roman"/>
          <w:b w:val="0"/>
          <w:i w:val="0"/>
          <w:sz w:val="26"/>
          <w:szCs w:val="26"/>
        </w:rPr>
        <w:t>Aplikasi Tahsin Berbasis Visualisasi Makhraj dan Rujukan Guru Bersanad</w:t>
      </w:r>
    </w:p>
    <w:p>
      <w:pPr>
        <w:keepNext w:val="0"/>
        <w:widowControl/>
        <w:spacing w:line="276" w:lineRule="auto" w:before="0" w:after="0"/>
        <w:ind w:left="0" w:firstLine="0"/>
        <w:jc w:val="center"/>
      </w:pPr>
      <w:r>
        <w:rPr>
          <w:rFonts w:ascii="Times New Roman" w:hAnsi="Times New Roman" w:cs="Times New Roman" w:eastAsia="Times New Roman"/>
          <w:b w:val="0"/>
          <w:i w:val="0"/>
          <w:sz w:val="26"/>
          <w:szCs w:val="26"/>
        </w:rPr>
        <w:t>bagi Pemula Pembaca Al-Qur'an</w:t>
      </w:r>
    </w:p>
    <w:p>
      <w:pPr>
        <w:keepNext w:val="0"/>
        <w:widowControl/>
        <w:spacing w:line="276" w:lineRule="auto" w:before="1800" w:after="80"/>
        <w:ind w:left="0" w:firstLine="0"/>
        <w:jc w:val="center"/>
      </w:pPr>
      <w:r>
        <w:rPr>
          <w:rFonts w:ascii="Times New Roman" w:hAnsi="Times New Roman" w:cs="Times New Roman" w:eastAsia="Times New Roman"/>
          <w:b w:val="0"/>
          <w:i w:val="0"/>
          <w:sz w:val="24"/>
          <w:szCs w:val="24"/>
        </w:rPr>
        <w:t>Disusun oleh:</w:t>
      </w:r>
    </w:p>
    <w:p>
      <w:pPr>
        <w:keepNext w:val="0"/>
        <w:widowControl/>
        <w:spacing w:line="276" w:lineRule="auto" w:before="0" w:after="0"/>
        <w:ind w:left="0" w:firstLine="0"/>
        <w:jc w:val="center"/>
      </w:pPr>
      <w:r>
        <w:rPr>
          <w:rFonts w:ascii="Times New Roman" w:hAnsi="Times New Roman" w:cs="Times New Roman" w:eastAsia="Times New Roman"/>
          <w:b/>
          <w:i w:val="0"/>
          <w:sz w:val="24"/>
          <w:szCs w:val="24"/>
          <w:bCs/>
        </w:rPr>
        <w:t>Faiz Iqbal I'tishom (164231059)</w:t>
      </w:r>
    </w:p>
    <w:p>
      <w:pPr>
        <w:keepNext w:val="0"/>
        <w:widowControl/>
        <w:spacing w:line="276" w:lineRule="auto" w:before="0" w:after="0"/>
        <w:ind w:left="0" w:firstLine="0"/>
        <w:jc w:val="center"/>
      </w:pPr>
      <w:r>
        <w:rPr>
          <w:rFonts w:ascii="Times New Roman" w:hAnsi="Times New Roman" w:cs="Times New Roman" w:eastAsia="Times New Roman"/>
          <w:b/>
          <w:i w:val="0"/>
          <w:sz w:val="24"/>
          <w:szCs w:val="24"/>
          <w:bCs/>
        </w:rPr>
        <w:t>M. Zahran Rahmandhina (164241070)</w:t>
      </w:r>
    </w:p>
    <w:p>
      <w:pPr>
        <w:keepNext w:val="0"/>
        <w:widowControl/>
        <w:spacing w:line="276" w:lineRule="auto" w:before="2400" w:after="0"/>
        <w:ind w:left="0" w:firstLine="0"/>
        <w:jc w:val="center"/>
      </w:pPr>
      <w:r>
        <w:rPr>
          <w:rFonts w:ascii="Times New Roman" w:hAnsi="Times New Roman" w:cs="Times New Roman" w:eastAsia="Times New Roman"/>
          <w:b/>
          <w:i w:val="0"/>
          <w:sz w:val="26"/>
          <w:szCs w:val="26"/>
          <w:bCs/>
        </w:rPr>
        <w:t>MUSABAQAH TILAWATIL QUR'AN MAHASISWA</w:t>
      </w:r>
    </w:p>
    <w:p>
      <w:pPr>
        <w:keepNext w:val="0"/>
        <w:widowControl/>
        <w:spacing w:line="276" w:lineRule="auto" w:before="0" w:after="0"/>
        <w:ind w:left="0" w:firstLine="0"/>
        <w:jc w:val="center"/>
      </w:pPr>
      <w:r>
        <w:rPr>
          <w:rFonts w:ascii="Times New Roman" w:hAnsi="Times New Roman" w:cs="Times New Roman" w:eastAsia="Times New Roman"/>
          <w:b/>
          <w:i w:val="0"/>
          <w:sz w:val="26"/>
          <w:szCs w:val="26"/>
          <w:bCs/>
        </w:rPr>
        <w:t>UNIVERSITAS AIRLANGGA</w:t>
      </w:r>
    </w:p>
    <w:p>
      <w:pPr>
        <w:keepNext w:val="0"/>
        <w:widowControl/>
        <w:spacing w:line="276" w:lineRule="auto" w:before="0" w:after="0"/>
        <w:ind w:left="0" w:firstLine="0"/>
        <w:jc w:val="center"/>
      </w:pPr>
      <w:r>
        <w:rPr>
          <w:rFonts w:ascii="Times New Roman" w:hAnsi="Times New Roman" w:cs="Times New Roman" w:eastAsia="Times New Roman"/>
          <w:b/>
          <w:i w:val="0"/>
          <w:sz w:val="26"/>
          <w:szCs w:val="26"/>
          <w:bCs/>
        </w:rPr>
        <w:t>SURABAYA</w:t>
      </w:r>
    </w:p>
    <w:p>
      <w:pPr>
        <w:keepNext w:val="0"/>
        <w:widowControl/>
        <w:spacing w:line="276" w:lineRule="auto" w:before="0" w:after="0"/>
        <w:ind w:left="0" w:firstLine="0"/>
        <w:jc w:val="center"/>
      </w:pPr>
      <w:r>
        <w:rPr>
          <w:rFonts w:ascii="Times New Roman" w:hAnsi="Times New Roman" w:cs="Times New Roman" w:eastAsia="Times New Roman"/>
          <w:b/>
          <w:i w:val="0"/>
          <w:sz w:val="26"/>
          <w:szCs w:val="26"/>
          <w:bCs/>
        </w:rPr>
        <w:t>2026</w:t>
      </w:r>
    </w:p>
    <w:p>
      <w:pPr>
        <w:sectPr>
          <w:pgSz w:w="11906" w:h="16838"/>
          <w:pgMar w:top="1417" w:right="1417" w:bottom="1417" w:left="1417" w:header="720" w:footer="680" w:gutter="0"/>
          <w:cols w:space="720"/>
          <w:docGrid w:linePitch="360"/>
        </w:sectPr>
      </w:pP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1. JUDUL APLIKASI</w:t>
      </w:r>
    </w:p>
    <w:p>
      <w:pPr>
        <w:keepNext w:val="0"/>
        <w:widowControl/>
        <w:spacing w:line="276" w:lineRule="auto" w:before="0" w:after="60"/>
        <w:ind w:left="0" w:firstLine="0"/>
        <w:jc w:val="both"/>
      </w:pPr>
      <w:r>
        <w:rPr>
          <w:rFonts w:ascii="Times New Roman" w:hAnsi="Times New Roman" w:cs="Times New Roman" w:eastAsia="Times New Roman"/>
          <w:b/>
          <w:i w:val="0"/>
          <w:sz w:val="24"/>
          <w:szCs w:val="24"/>
          <w:bCs/>
        </w:rPr>
        <w:t>Makhraj: Aplikasi Tahsin Berbasis Visualisasi Makhraj dan Rujukan Guru Bersanad bagi Pemula Pembaca Al-Qur'an</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Makhraj adalah aplikasi Android dan web untuk siapa saja yang baru mulai belajar membaca Al-Qur'an, dari anak bersama pendampingnya hingga orang dewasa dan lansia. Nama aplikasi diambil dari istilah tajwid </w:t>
      </w:r>
      <w:r>
        <w:rPr>
          <w:rFonts w:ascii="Times New Roman" w:hAnsi="Times New Roman" w:cs="Times New Roman" w:eastAsia="Times New Roman"/>
          <w:b w:val="0"/>
          <w:i/>
          <w:sz w:val="24"/>
          <w:szCs w:val="24"/>
        </w:rPr>
        <w:t>makhraj</w:t>
      </w:r>
      <w:r>
        <w:rPr>
          <w:rFonts w:ascii="Times New Roman" w:hAnsi="Times New Roman" w:cs="Times New Roman" w:eastAsia="Times New Roman"/>
          <w:b w:val="0"/>
          <w:i w:val="0"/>
          <w:sz w:val="24"/>
          <w:szCs w:val="24"/>
        </w:rPr>
        <w:t>, yaitu tempat keluarnya huruf. Setiap huruf hijaiah dipelajari dari tempat keluarnya: pengguna melihat penampang mulut dan tenggorokan yang menyorot titik makhraj, mendengar contoh pelafalan dari Asy-Syaikh Aiman Rusydi Suwaid, merekam dan membandingkan bacaannya sendiri, lalu menemukan huruf yang sama di dalam mushaf. Dengan cara ini, setiap kesalahan bacaan dapat ditelusuri sampai ke bagian mulut tempat kesalahan itu terjadi.</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2. LATAR BELAKANG</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Allah swt. memerintahkan agar Al-Qur'an dibaca dengan tartil (QS. Al-Muzzammil [73]: 4). Rasulullah saw. menyebut orang terbaik sebagai orang yang belajar Al-Qur'an dan mengajarkannya (HR. Al-Bukhari no. 5027) dan menjanjikan dua pahala bagi orang yang membacanya dengan terbata-bata karena merasa berat (HR. Al-Bukhari no. 4937; Muslim no. 798). Pemula yang terbata-bata pun berpahala; yang mereka perlukan adalah tempat belajar yang mudah dijangkau. Tema Musabaqah Tilawatil Qur'an Mahasiswa Nasional (MTQMN), yaitu penguatan karakter Qurani mahasiswa yang berdampak (Direktorat Pembelajaran dan Kemahasiswaan, 2025), juga bertumpu pada kemampuan paling dasar itu: membaca Al-Qur'an dengan benar.</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Kemampuan itu belum merata. Survei Potensi Literasi Al-Qur'an oleh Kementerian Agama (Kemenag) dan LK3P Universitas Indonesia terhadap 10.347 responden di 34 provinsi (NU Online, 2023) menunjukkan angka yang turun pada setiap jenjang kemampuan (Gambar 1). Sebanyak 61,51% responden mengenal huruf dan harakat, tetapi yang mampu membaca dengan lancar sesuai tajwid hanya 44,57%, dan 38,49% responden belum memiliki literasi baca Al-Qur'an (Asrori, 2023). Selisih hampir 17 poin itu menunjukkan banyaknya orang yang sudah mengenal huruf, tetapi bacaannya belum sesuai tajwid.</w:t>
      </w:r>
    </w:p>
    <w:p>
      <w:pPr>
        <w:keepNext/>
        <w:widowControl/>
        <w:spacing w:line="240" w:lineRule="auto" w:before="80" w:after="40"/>
        <w:ind w:left="0" w:firstLine="0"/>
        <w:jc w:val="center"/>
      </w:pPr>
      <w:r>
        <w:drawing>
          <wp:inline xmlns:a="http://schemas.openxmlformats.org/drawingml/2006/main" xmlns:pic="http://schemas.openxmlformats.org/drawingml/2006/picture">
            <wp:extent cx="3960000" cy="1566068"/>
            <wp:docPr id="2" name="Picture 2"/>
            <wp:cNvGraphicFramePr>
              <a:graphicFrameLocks noChangeAspect="1"/>
            </wp:cNvGraphicFramePr>
            <a:graphic>
              <a:graphicData uri="http://schemas.openxmlformats.org/drawingml/2006/picture">
                <pic:pic>
                  <pic:nvPicPr>
                    <pic:cNvPr id="0" name="fig01_literasi.png"/>
                    <pic:cNvPicPr/>
                  </pic:nvPicPr>
                  <pic:blipFill>
                    <a:blip r:embed="rId11"/>
                    <a:stretch>
                      <a:fillRect/>
                    </a:stretch>
                  </pic:blipFill>
                  <pic:spPr>
                    <a:xfrm>
                      <a:off x="0" y="0"/>
                      <a:ext cx="3960000" cy="1566068"/>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1. </w:t>
      </w:r>
      <w:r>
        <w:rPr>
          <w:rFonts w:ascii="Times New Roman" w:hAnsi="Times New Roman" w:cs="Times New Roman" w:eastAsia="Times New Roman"/>
          <w:b w:val="0"/>
          <w:i w:val="0"/>
          <w:sz w:val="24"/>
          <w:szCs w:val="24"/>
        </w:rPr>
        <w:t>Kemampuan baca Al-Qur'an masyarakat Indonesia (diolah dari Asrori, 2023)</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Akses belajar juga terbatas. Survei yang sama mencatat 22,2% responden tidak memiliki majelis baca tulis Al-Qur'an (BTQ) di sekitar tempat tinggalnya dan 59,36% tidak pernah mengikuti majelis tersebut (Asrori, 2023). Orang dewasa menghadapi hambatan tambahan, seperti rasa canggung belajar bersama anak-anak di taman pendidikan Al-Qur'an (TPQ), jadwal kerja atau kuliah yang padat, dan jarak ke guru. Lingkungan kampus pun mengalami hal serupa: dosen agama di Universitas Lambung Mangkurat menemukan lebih dari 60% mahasiswa baru belum bisa mengaji pada 2021 (Suryo, 2024).</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Di sisi lain, 80,66% penduduk Indonesia telah terhubung ke internet (Bisnis.com, 2025), dan aplikasi belajar mengaji sudah memiliki pengguna. Aplikasi ngaji.ai menilai bacaan dengan teknologi pengenalan suara dan telah diunduh ratusan ribu kali sejak Maret 2024 (Infobank, 2025), sedangkan Tarteel mendeteksi kata yang terlewat atau keliru saat pengguna menghafal (Tarteel, t.t.). Kedua aplikasi tersebut unggul dalam memberi tahu </w:t>
      </w:r>
      <w:r>
        <w:rPr>
          <w:rFonts w:ascii="Times New Roman" w:hAnsi="Times New Roman" w:cs="Times New Roman" w:eastAsia="Times New Roman"/>
          <w:b w:val="0"/>
          <w:i/>
          <w:sz w:val="24"/>
          <w:szCs w:val="24"/>
        </w:rPr>
        <w:t>apakah</w:t>
      </w:r>
      <w:r>
        <w:rPr>
          <w:rFonts w:ascii="Times New Roman" w:hAnsi="Times New Roman" w:cs="Times New Roman" w:eastAsia="Times New Roman"/>
          <w:b w:val="0"/>
          <w:i w:val="0"/>
          <w:sz w:val="24"/>
          <w:szCs w:val="24"/>
        </w:rPr>
        <w:t xml:space="preserve"> bacaan salah. Pemula juga perlu tahu </w:t>
      </w:r>
      <w:r>
        <w:rPr>
          <w:rFonts w:ascii="Times New Roman" w:hAnsi="Times New Roman" w:cs="Times New Roman" w:eastAsia="Times New Roman"/>
          <w:b w:val="0"/>
          <w:i/>
          <w:sz w:val="24"/>
          <w:szCs w:val="24"/>
        </w:rPr>
        <w:t>mengapa</w:t>
      </w:r>
      <w:r>
        <w:rPr>
          <w:rFonts w:ascii="Times New Roman" w:hAnsi="Times New Roman" w:cs="Times New Roman" w:eastAsia="Times New Roman"/>
          <w:b w:val="0"/>
          <w:i w:val="0"/>
          <w:sz w:val="24"/>
          <w:szCs w:val="24"/>
        </w:rPr>
        <w:t xml:space="preserve"> bacaannya salah: dari titik mana huruf seharusnya keluar dan bagaimana membetulkannya. Ilmu tajwid menjelaskannya melalui makhraj dan sifat huruf, tetapi penjelasan itu umumnya hanya tersedia di kitab atau di majelis tatap muka. Tabel 1 merangkum tiga celah yang menjadi pijakan Makhraj.</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1. </w:t>
      </w:r>
      <w:r>
        <w:rPr>
          <w:rFonts w:ascii="Times New Roman" w:hAnsi="Times New Roman" w:cs="Times New Roman" w:eastAsia="Times New Roman"/>
          <w:b w:val="0"/>
          <w:i w:val="0"/>
          <w:sz w:val="24"/>
          <w:szCs w:val="24"/>
        </w:rPr>
        <w:t>Tiga celah yang dijawab Makhraj</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701"/>
        <w:gridCol w:w="3458"/>
        <w:gridCol w:w="3628"/>
      </w:tblGrid>
      <w:tr>
        <w:trPr>
          <w:cantSplit/>
          <w:tblHeader/>
        </w:trPr>
        <w:tc>
          <w:tcPr>
            <w:tcW w:type="dxa" w:w="170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Celah</w:t>
            </w:r>
          </w:p>
        </w:tc>
        <w:tc>
          <w:tcPr>
            <w:tcW w:type="dxa" w:w="345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Kondisi saat ini</w:t>
            </w:r>
          </w:p>
        </w:tc>
        <w:tc>
          <w:tcPr>
            <w:tcW w:type="dxa" w:w="362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Yang ditawarkan Makhraj</w:t>
            </w:r>
          </w:p>
        </w:tc>
      </w:tr>
      <w:tr>
        <w:trPr>
          <w:cantSplit/>
        </w:trPr>
        <w:tc>
          <w:tcPr>
            <w:tcW w:type="dxa" w:w="170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Kebutuhan pemula</w:t>
            </w:r>
          </w:p>
        </w:tc>
        <w:tc>
          <w:tcPr>
            <w:tcW w:type="dxa" w:w="345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Belajar bergantung pada guru dan majelis; 22,2% responden tidak memiliki majelis BTQ; orang dewasa sering canggung</w:t>
            </w:r>
          </w:p>
        </w:tc>
        <w:tc>
          <w:tcPr>
            <w:tcW w:type="dxa" w:w="362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Belajar mandiri kapan saja dengan urutan yang meniru </w:t>
            </w:r>
            <w:r>
              <w:rPr>
                <w:rFonts w:ascii="Times New Roman" w:hAnsi="Times New Roman" w:cs="Times New Roman" w:eastAsia="Times New Roman"/>
                <w:b w:val="0"/>
                <w:i/>
                <w:sz w:val="20"/>
                <w:szCs w:val="20"/>
              </w:rPr>
              <w:t>talaqqi</w:t>
            </w:r>
            <w:r>
              <w:rPr>
                <w:rFonts w:ascii="Times New Roman" w:hAnsi="Times New Roman" w:cs="Times New Roman" w:eastAsia="Times New Roman"/>
                <w:b w:val="0"/>
                <w:i w:val="0"/>
                <w:sz w:val="20"/>
                <w:szCs w:val="20"/>
              </w:rPr>
              <w:t>, lalu bertahap terhubung ke pengajar</w:t>
            </w:r>
          </w:p>
        </w:tc>
      </w:tr>
      <w:tr>
        <w:trPr>
          <w:cantSplit/>
        </w:trPr>
        <w:tc>
          <w:tcPr>
            <w:tcW w:type="dxa" w:w="170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Kompetitor</w:t>
            </w:r>
          </w:p>
        </w:tc>
        <w:tc>
          <w:tcPr>
            <w:tcW w:type="dxa" w:w="345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Aplikasi yang ada menilai benar atau salah; letak makhraj tidak menjadi inti materi</w:t>
            </w:r>
          </w:p>
        </w:tc>
        <w:tc>
          <w:tcPr>
            <w:tcW w:type="dxa" w:w="362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Penampang mulut dan tenggorokan interaktif untuk setiap huruf, lengkap dengan sifat dan kesalahan umum</w:t>
            </w:r>
          </w:p>
        </w:tc>
      </w:tr>
      <w:tr>
        <w:trPr>
          <w:cantSplit/>
        </w:trPr>
        <w:tc>
          <w:tcPr>
            <w:tcW w:type="dxa" w:w="170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Rujukan keilmuan</w:t>
            </w:r>
          </w:p>
        </w:tc>
        <w:tc>
          <w:tcPr>
            <w:tcW w:type="dxa" w:w="345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Contoh suara sering tidak menyebut identitas guru ataupun sanadnya</w:t>
            </w:r>
          </w:p>
        </w:tc>
        <w:tc>
          <w:tcPr>
            <w:tcW w:type="dxa" w:w="362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 xml:space="preserve">Contoh dari Asy-Syaikh Aiman Rusydi Suwaid, ulama </w:t>
            </w:r>
            <w:r>
              <w:rPr>
                <w:rFonts w:ascii="Times New Roman" w:hAnsi="Times New Roman" w:cs="Times New Roman" w:eastAsia="Times New Roman"/>
                <w:b w:val="0"/>
                <w:i/>
                <w:sz w:val="20"/>
                <w:szCs w:val="20"/>
              </w:rPr>
              <w:t>qiraat</w:t>
            </w:r>
            <w:r>
              <w:rPr>
                <w:rFonts w:ascii="Times New Roman" w:hAnsi="Times New Roman" w:cs="Times New Roman" w:eastAsia="Times New Roman"/>
                <w:b w:val="0"/>
                <w:i w:val="0"/>
                <w:sz w:val="20"/>
                <w:szCs w:val="20"/>
              </w:rPr>
              <w:t xml:space="preserve"> penyusun kitab </w:t>
            </w:r>
            <w:r>
              <w:rPr>
                <w:rFonts w:ascii="Times New Roman" w:hAnsi="Times New Roman" w:cs="Times New Roman" w:eastAsia="Times New Roman"/>
                <w:b w:val="0"/>
                <w:i/>
                <w:sz w:val="20"/>
                <w:szCs w:val="20"/>
              </w:rPr>
              <w:t>At-Tajwid al-Mushawwar</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Studi awal Katz dan Mehta (2015) pada lima peserta menemukan bahwa umpan balik visual gerak lidah membantu peserta mengucapkan bunyi baru dengan lebih akurat, sedangkan prinsip multimedia Mayer (2009) menyatakan bahwa orang belajar lebih baik dari kata dan gambar daripada dari kata saja. Tradisi tajwid pun memakai gambar: Syaikh Aiman menyusun </w:t>
      </w:r>
      <w:r>
        <w:rPr>
          <w:rFonts w:ascii="Times New Roman" w:hAnsi="Times New Roman" w:cs="Times New Roman" w:eastAsia="Times New Roman"/>
          <w:b w:val="0"/>
          <w:i/>
          <w:sz w:val="24"/>
          <w:szCs w:val="24"/>
        </w:rPr>
        <w:t>At-Tajwid al-Mushawwar</w:t>
      </w:r>
      <w:r>
        <w:rPr>
          <w:rFonts w:ascii="Times New Roman" w:hAnsi="Times New Roman" w:cs="Times New Roman" w:eastAsia="Times New Roman"/>
          <w:b w:val="0"/>
          <w:i w:val="0"/>
          <w:sz w:val="24"/>
          <w:szCs w:val="24"/>
        </w:rPr>
        <w:t xml:space="preserve">, kitab tajwid bergambar (Suwaid, 2014), dan syarah </w:t>
      </w:r>
      <w:r>
        <w:rPr>
          <w:rFonts w:ascii="Times New Roman" w:hAnsi="Times New Roman" w:cs="Times New Roman" w:eastAsia="Times New Roman"/>
          <w:b w:val="0"/>
          <w:i/>
          <w:sz w:val="24"/>
          <w:szCs w:val="24"/>
        </w:rPr>
        <w:t>Al-Muqaddimah al-Jazariyyah</w:t>
      </w:r>
      <w:r>
        <w:rPr>
          <w:rFonts w:ascii="Times New Roman" w:hAnsi="Times New Roman" w:cs="Times New Roman" w:eastAsia="Times New Roman"/>
          <w:b w:val="0"/>
          <w:i w:val="0"/>
          <w:sz w:val="24"/>
          <w:szCs w:val="24"/>
        </w:rPr>
        <w:t xml:space="preserve"> menyertakan penampang mulut untuk menunjukkan letak makhraj (Salim, 2007). Makhraj memakai bentuk yang lebih sederhana dan murah daripada alat pelacak lidah, yaitu penampang yang menyorot titik makhraj ditambah cermin kamera untuk gerak bibir, lalu menambahkan latihan harian. Efek bentuk sederhana ini diuji pada evaluasi MVP (Subbab 5.4).</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3. TUJUAN DAN MANFAAT</w:t>
      </w:r>
    </w:p>
    <w:p>
      <w:pPr>
        <w:keepNext/>
        <w:widowControl/>
        <w:spacing w:line="276" w:lineRule="auto" w:before="0" w:after="60"/>
        <w:ind w:left="0" w:firstLine="0"/>
        <w:jc w:val="both"/>
      </w:pPr>
      <w:r>
        <w:rPr>
          <w:rFonts w:ascii="Times New Roman" w:hAnsi="Times New Roman" w:cs="Times New Roman" w:eastAsia="Times New Roman"/>
          <w:b w:val="0"/>
          <w:i w:val="0"/>
          <w:sz w:val="24"/>
          <w:szCs w:val="24"/>
        </w:rPr>
        <w:t>Tujuan pengembangan Makhraj adalah sebagai berikut.</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1.</w:t>
        <w:tab/>
        <w:t xml:space="preserve">Membangun produk layak minimum atau </w:t>
      </w:r>
      <w:r>
        <w:rPr>
          <w:rFonts w:ascii="Times New Roman" w:hAnsi="Times New Roman" w:cs="Times New Roman" w:eastAsia="Times New Roman"/>
          <w:b w:val="0"/>
          <w:i/>
          <w:sz w:val="24"/>
          <w:szCs w:val="24"/>
        </w:rPr>
        <w:t>minimum viable product</w:t>
      </w:r>
      <w:r>
        <w:rPr>
          <w:rFonts w:ascii="Times New Roman" w:hAnsi="Times New Roman" w:cs="Times New Roman" w:eastAsia="Times New Roman"/>
          <w:b w:val="0"/>
          <w:i w:val="0"/>
          <w:sz w:val="24"/>
          <w:szCs w:val="24"/>
        </w:rPr>
        <w:t xml:space="preserve"> (MVP) untuk Android dan web dari satu basis kode yang mengajarkan 29 huruf hijaiah (28 huruf dan hamzah) melalui 5 area dan 17 titik makhraj.</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2.</w:t>
        <w:tab/>
        <w:t>Menyediakan alur latihan mandiri lihat, dengar, tiru, bandingkan, dan terapkan dengan contoh pelafalan dari guru bersanad.</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3.</w:t>
        <w:tab/>
        <w:t>Menghubungkan setiap pelajaran huruf dengan mushaf melalui fitur sorot huruf sehingga materi langsung dipraktikkan pada ayat.</w:t>
      </w:r>
    </w:p>
    <w:p>
      <w:pPr>
        <w:keepNext w:val="0"/>
        <w:widowControl/>
        <w:tabs>
          <w:tab w:pos="425" w:val="left"/>
        </w:tabs>
        <w:spacing w:line="276" w:lineRule="auto" w:before="0" w:after="100"/>
        <w:ind w:left="425" w:hanging="340"/>
        <w:jc w:val="both"/>
      </w:pPr>
      <w:r>
        <w:rPr>
          <w:rFonts w:ascii="Times New Roman" w:hAnsi="Times New Roman" w:cs="Times New Roman" w:eastAsia="Times New Roman"/>
          <w:b w:val="0"/>
          <w:i w:val="0"/>
          <w:sz w:val="24"/>
          <w:szCs w:val="24"/>
        </w:rPr>
        <w:t>4.</w:t>
        <w:tab/>
        <w:t>Mengukur dampak MVP melalui uji kegunaan dan uji pemahaman makhraj sebelum dan sesudah pemakaian.</w:t>
      </w:r>
    </w:p>
    <w:p>
      <w:pPr>
        <w:keepNext/>
        <w:widowControl/>
        <w:spacing w:line="276" w:lineRule="auto" w:before="0" w:after="60"/>
        <w:ind w:left="0" w:firstLine="0"/>
        <w:jc w:val="both"/>
      </w:pPr>
      <w:r>
        <w:rPr>
          <w:rFonts w:ascii="Times New Roman" w:hAnsi="Times New Roman" w:cs="Times New Roman" w:eastAsia="Times New Roman"/>
          <w:b w:val="0"/>
          <w:i w:val="0"/>
          <w:sz w:val="24"/>
          <w:szCs w:val="24"/>
        </w:rPr>
        <w:t>Manfaat yang diharapkan adalah sebagai berikut.</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w:t>
        <w:tab/>
      </w:r>
      <w:r>
        <w:rPr>
          <w:rFonts w:ascii="Times New Roman" w:hAnsi="Times New Roman" w:cs="Times New Roman" w:eastAsia="Times New Roman"/>
          <w:b/>
          <w:i w:val="0"/>
          <w:sz w:val="24"/>
          <w:szCs w:val="24"/>
          <w:bCs/>
        </w:rPr>
        <w:t>Bagi pemula segala usia:</w:t>
      </w:r>
      <w:r>
        <w:rPr>
          <w:rFonts w:ascii="Times New Roman" w:hAnsi="Times New Roman" w:cs="Times New Roman" w:eastAsia="Times New Roman"/>
          <w:b w:val="0"/>
          <w:i w:val="0"/>
          <w:sz w:val="24"/>
          <w:szCs w:val="24"/>
        </w:rPr>
        <w:t xml:space="preserve"> belajar dari dasar tanpa rasa canggung dan memahami alasan sebuah huruf dibaca dengan cara tertentu.</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w:t>
        <w:tab/>
      </w:r>
      <w:r>
        <w:rPr>
          <w:rFonts w:ascii="Times New Roman" w:hAnsi="Times New Roman" w:cs="Times New Roman" w:eastAsia="Times New Roman"/>
          <w:b/>
          <w:i w:val="0"/>
          <w:sz w:val="24"/>
          <w:szCs w:val="24"/>
          <w:bCs/>
        </w:rPr>
        <w:t>Bagi pengajar dan lembaga</w:t>
      </w:r>
      <w:r>
        <w:rPr>
          <w:rFonts w:ascii="Times New Roman" w:hAnsi="Times New Roman" w:cs="Times New Roman" w:eastAsia="Times New Roman"/>
          <w:b w:val="0"/>
          <w:i w:val="0"/>
          <w:sz w:val="24"/>
          <w:szCs w:val="24"/>
        </w:rPr>
        <w:t xml:space="preserve"> (TPQ, majelis taklim, dan tutorial baca Al-Qur'an di kampus): media bantu yang menghemat waktu menjelaskan makhraj sehingga pertemuan tatap muka dapat difokuskan pada koreksi.</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w:t>
        <w:tab/>
      </w:r>
      <w:r>
        <w:rPr>
          <w:rFonts w:ascii="Times New Roman" w:hAnsi="Times New Roman" w:cs="Times New Roman" w:eastAsia="Times New Roman"/>
          <w:b/>
          <w:i w:val="0"/>
          <w:sz w:val="24"/>
          <w:szCs w:val="24"/>
          <w:bCs/>
        </w:rPr>
        <w:t>Bagi mahasiswa:</w:t>
      </w:r>
      <w:r>
        <w:rPr>
          <w:rFonts w:ascii="Times New Roman" w:hAnsi="Times New Roman" w:cs="Times New Roman" w:eastAsia="Times New Roman"/>
          <w:b w:val="0"/>
          <w:i w:val="0"/>
          <w:sz w:val="24"/>
          <w:szCs w:val="24"/>
        </w:rPr>
        <w:t xml:space="preserve"> sarana memperbaiki bacaan sendiri sekaligus wadah menjadi relawan pengajar ketika fitur setor bacaan dibuka pada Tahap 2.</w:t>
      </w:r>
    </w:p>
    <w:p>
      <w:pPr>
        <w:keepNext w:val="0"/>
        <w:widowControl/>
        <w:tabs>
          <w:tab w:pos="425" w:val="left"/>
        </w:tabs>
        <w:spacing w:line="276" w:lineRule="auto" w:before="0" w:after="100"/>
        <w:ind w:left="425" w:hanging="340"/>
        <w:jc w:val="both"/>
      </w:pPr>
      <w:r>
        <w:rPr>
          <w:rFonts w:ascii="Times New Roman" w:hAnsi="Times New Roman" w:cs="Times New Roman" w:eastAsia="Times New Roman"/>
          <w:b w:val="0"/>
          <w:i w:val="0"/>
          <w:sz w:val="24"/>
          <w:szCs w:val="24"/>
        </w:rPr>
        <w:t>•</w:t>
        <w:tab/>
      </w:r>
      <w:r>
        <w:rPr>
          <w:rFonts w:ascii="Times New Roman" w:hAnsi="Times New Roman" w:cs="Times New Roman" w:eastAsia="Times New Roman"/>
          <w:b/>
          <w:i w:val="0"/>
          <w:sz w:val="24"/>
          <w:szCs w:val="24"/>
          <w:bCs/>
        </w:rPr>
        <w:t>Bagi pengembangan ilmu:</w:t>
      </w:r>
      <w:r>
        <w:rPr>
          <w:rFonts w:ascii="Times New Roman" w:hAnsi="Times New Roman" w:cs="Times New Roman" w:eastAsia="Times New Roman"/>
          <w:b w:val="0"/>
          <w:i w:val="0"/>
          <w:sz w:val="24"/>
          <w:szCs w:val="24"/>
        </w:rPr>
        <w:t xml:space="preserve"> pada Tahap 3, rekaman yang sudah dikoreksi pengajar dan disetujui pemiliknya dapat menjadi korpus riset pengenalan bacaan Al-Qur'an oleh penutur Indonesia.</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Makhraj menjawab tema MTQMN, yaitu penguatan karakter Qurani mahasiswa yang berdampak menuju Indonesia Emas, melalui tiga peran mahasiswa: yang membangun aplikasinya, yang memakainya untuk memperbaiki bacaan, dan yang kelak menjadi pengajar. Karakter itu dilatih lewat desainnya: istiqamah melalui latihan harian yang kecil, adab kepada guru melalui rujukan bersanad tanpa papan peringkat, dan kepedulian melalui bacaan yang sudah diperbaiki untuk membantu orang lain. Generasi yang membaca Al-Qur'an dengan benar dan mau mengajarkannya adalah bagian dari bekal Indonesia Emas 2045.</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4. BATASAN</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1.</w:t>
        <w:tab/>
        <w:t>Sasaran utama adalah pemula yang belum bisa atau belum lancar membaca Al-Qur'an. Pengguna anak memakai aplikasi bersama orang tua atau pengajar.</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2.</w:t>
        <w:tab/>
        <w:t>Teks Al-Qur'an memakai rasm Utsmani riwayat Hafsh dari 'Ashim, bersumber dari Tanzil. Tashih ke Lajnah Pentashihan Mushaf Al-Qur'an (LPMQ) diajukan sebelum rilis publik.</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3.</w:t>
        <w:tab/>
        <w:t>Materi MVP mencakup makhraj dan sifat 29 huruf, harakat dasar, serta enam pasangan huruf yang sering tertukar (</w:t>
      </w:r>
      <w:r>
        <w:rPr>
          <w:rFonts w:ascii="Times New Roman" w:hAnsi="Times New Roman" w:cs="Times New Roman" w:eastAsia="Times New Roman"/>
          <w:b w:val="0"/>
          <w:i w:val="0"/>
          <w:sz w:val="24"/>
          <w:szCs w:val="24"/>
          <w:rtl/>
        </w:rPr>
        <w:t>ح</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ه</w:t>
      </w:r>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tl/>
        </w:rPr>
        <w:t>ث</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س</w:t>
      </w:r>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tl/>
        </w:rPr>
        <w:t>ذ</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ز</w:t>
      </w:r>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tl/>
        </w:rPr>
        <w:t>ص</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س</w:t>
      </w:r>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tl/>
        </w:rPr>
        <w:t>ق</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ك</w:t>
      </w:r>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tl/>
        </w:rPr>
        <w:t>ع</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ء</w:t>
      </w:r>
      <w:r>
        <w:rPr>
          <w:rFonts w:ascii="Times New Roman" w:hAnsi="Times New Roman" w:cs="Times New Roman" w:eastAsia="Times New Roman"/>
          <w:b w:val="0"/>
          <w:i w:val="0"/>
          <w:sz w:val="24"/>
          <w:szCs w:val="24"/>
        </w:rPr>
        <w:t>). Hukum tajwid lanjutan dibahas pada tahap berikutnya.</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4.</w:t>
        <w:tab/>
        <w:t xml:space="preserve">MVP belum menilai bacaan secara otomatis. Pengguna menilai bacaannya sendiri dengan bantuan pembanding suara, cermin kamera, dan daftar periksa. Koreksi oleh pengajar (Tahap 2) dan penilaian berbasis kecerdasan buatan atau </w:t>
      </w:r>
      <w:r>
        <w:rPr>
          <w:rFonts w:ascii="Times New Roman" w:hAnsi="Times New Roman" w:cs="Times New Roman" w:eastAsia="Times New Roman"/>
          <w:b w:val="0"/>
          <w:i/>
          <w:sz w:val="24"/>
          <w:szCs w:val="24"/>
        </w:rPr>
        <w:t>artificial intelligence</w:t>
      </w:r>
      <w:r>
        <w:rPr>
          <w:rFonts w:ascii="Times New Roman" w:hAnsi="Times New Roman" w:cs="Times New Roman" w:eastAsia="Times New Roman"/>
          <w:b w:val="0"/>
          <w:i w:val="0"/>
          <w:sz w:val="24"/>
          <w:szCs w:val="24"/>
        </w:rPr>
        <w:t xml:space="preserve"> (AI) (Tahap 3) dirancang bertahap (Lampiran 9).</w:t>
      </w:r>
    </w:p>
    <w:p>
      <w:pPr>
        <w:keepNext w:val="0"/>
        <w:widowControl/>
        <w:tabs>
          <w:tab w:pos="425" w:val="left"/>
        </w:tabs>
        <w:spacing w:line="276" w:lineRule="auto" w:before="0" w:after="40"/>
        <w:ind w:left="425" w:hanging="340"/>
        <w:jc w:val="both"/>
      </w:pPr>
      <w:r>
        <w:rPr>
          <w:rFonts w:ascii="Times New Roman" w:hAnsi="Times New Roman" w:cs="Times New Roman" w:eastAsia="Times New Roman"/>
          <w:b w:val="0"/>
          <w:i w:val="0"/>
          <w:sz w:val="24"/>
          <w:szCs w:val="24"/>
        </w:rPr>
        <w:t>5.</w:t>
        <w:tab/>
        <w:t xml:space="preserve">Contoh pelafalan diambil dari daftar putar latihan makhraj Syaikh Aiman di kanal Al-Andalasy (Al-Andalasy, t.t.); klip </w:t>
      </w:r>
      <w:r>
        <w:rPr>
          <w:rFonts w:ascii="Times New Roman" w:hAnsi="Times New Roman" w:cs="Times New Roman" w:eastAsia="Times New Roman"/>
          <w:b w:val="0"/>
          <w:i w:val="0"/>
          <w:sz w:val="24"/>
          <w:szCs w:val="24"/>
          <w:rtl/>
        </w:rPr>
        <w:t>ض</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val="0"/>
          <w:sz w:val="24"/>
          <w:szCs w:val="24"/>
          <w:rtl/>
        </w:rPr>
        <w:t>ط</w:t>
      </w:r>
      <w:r>
        <w:rPr>
          <w:rFonts w:ascii="Times New Roman" w:hAnsi="Times New Roman" w:cs="Times New Roman" w:eastAsia="Times New Roman"/>
          <w:b w:val="0"/>
          <w:i w:val="0"/>
          <w:sz w:val="24"/>
          <w:szCs w:val="24"/>
        </w:rPr>
        <w:t xml:space="preserve"> diambil dari kanal resmi Dr. Ayman Swaid (Suwaid, t.t.), sehingga 28 dari 29 huruf memiliki klip dan hanya </w:t>
      </w:r>
      <w:r>
        <w:rPr>
          <w:rFonts w:ascii="Times New Roman" w:hAnsi="Times New Roman" w:cs="Times New Roman" w:eastAsia="Times New Roman"/>
          <w:b w:val="0"/>
          <w:i w:val="0"/>
          <w:sz w:val="24"/>
          <w:szCs w:val="24"/>
          <w:rtl/>
        </w:rPr>
        <w:t>ا</w:t>
      </w:r>
      <w:r>
        <w:rPr>
          <w:rFonts w:ascii="Times New Roman" w:hAnsi="Times New Roman" w:cs="Times New Roman" w:eastAsia="Times New Roman"/>
          <w:b w:val="0"/>
          <w:i w:val="0"/>
          <w:sz w:val="24"/>
          <w:szCs w:val="24"/>
        </w:rPr>
        <w:t xml:space="preserve"> yang belum. Klip diputar melalui pemutar resmi YouTube tanpa diunduh atau disimpan, sesuai dengan kebijakan pengembang YouTube (Google, t.t.). Izin pemakaian diajukan kepada pengelola kanal sebelum rilis publik.</w:t>
      </w:r>
    </w:p>
    <w:p>
      <w:pPr>
        <w:keepNext w:val="0"/>
        <w:widowControl/>
        <w:tabs>
          <w:tab w:pos="425" w:val="left"/>
        </w:tabs>
        <w:spacing w:line="276" w:lineRule="auto" w:before="0" w:after="100"/>
        <w:ind w:left="425" w:hanging="340"/>
        <w:jc w:val="both"/>
      </w:pPr>
      <w:r>
        <w:rPr>
          <w:rFonts w:ascii="Times New Roman" w:hAnsi="Times New Roman" w:cs="Times New Roman" w:eastAsia="Times New Roman"/>
          <w:b w:val="0"/>
          <w:i w:val="0"/>
          <w:sz w:val="24"/>
          <w:szCs w:val="24"/>
        </w:rPr>
        <w:t>6.</w:t>
        <w:tab/>
        <w:t xml:space="preserve">Makhraj tidak menggantikan guru. Aplikasi ini menyiapkan pemula sebelum dan di antara pertemuan </w:t>
      </w:r>
      <w:r>
        <w:rPr>
          <w:rFonts w:ascii="Times New Roman" w:hAnsi="Times New Roman" w:cs="Times New Roman" w:eastAsia="Times New Roman"/>
          <w:b w:val="0"/>
          <w:i/>
          <w:sz w:val="24"/>
          <w:szCs w:val="24"/>
        </w:rPr>
        <w:t>talaqqi</w:t>
      </w:r>
      <w:r>
        <w:rPr>
          <w:rFonts w:ascii="Times New Roman" w:hAnsi="Times New Roman" w:cs="Times New Roman" w:eastAsia="Times New Roman"/>
          <w:b w:val="0"/>
          <w:i w:val="0"/>
          <w:sz w:val="24"/>
          <w:szCs w:val="24"/>
        </w:rPr>
        <w:t xml:space="preserve"> dengan guru.</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5. METODE</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 xml:space="preserve">5.1 Metode Pembelajaran: </w:t>
      </w:r>
      <w:r>
        <w:rPr>
          <w:rFonts w:ascii="Times New Roman" w:hAnsi="Times New Roman" w:cs="Times New Roman" w:eastAsia="Times New Roman"/>
          <w:b/>
          <w:i/>
          <w:sz w:val="24"/>
          <w:szCs w:val="24"/>
          <w:bCs/>
        </w:rPr>
        <w:t>Talaqqi</w:t>
      </w:r>
      <w:r>
        <w:rPr>
          <w:rFonts w:ascii="Times New Roman" w:hAnsi="Times New Roman" w:cs="Times New Roman" w:eastAsia="Times New Roman"/>
          <w:b/>
          <w:i w:val="0"/>
          <w:sz w:val="24"/>
          <w:szCs w:val="24"/>
          <w:bCs/>
        </w:rPr>
        <w:t xml:space="preserve"> Digital</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Al-Qur'an diajarkan secara </w:t>
      </w:r>
      <w:r>
        <w:rPr>
          <w:rFonts w:ascii="Times New Roman" w:hAnsi="Times New Roman" w:cs="Times New Roman" w:eastAsia="Times New Roman"/>
          <w:b w:val="0"/>
          <w:i/>
          <w:sz w:val="24"/>
          <w:szCs w:val="24"/>
        </w:rPr>
        <w:t>talaqqi</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sz w:val="24"/>
          <w:szCs w:val="24"/>
        </w:rPr>
        <w:t>musyafahah</w:t>
      </w:r>
      <w:r>
        <w:rPr>
          <w:rFonts w:ascii="Times New Roman" w:hAnsi="Times New Roman" w:cs="Times New Roman" w:eastAsia="Times New Roman"/>
          <w:b w:val="0"/>
          <w:i w:val="0"/>
          <w:sz w:val="24"/>
          <w:szCs w:val="24"/>
        </w:rPr>
        <w:t>: murid melihat gerak mulut guru, mendengar, menirukan, lalu dikoreksi. Makhraj menerjemahkan urutan tersebut ke dalam lima langkah, yaitu lihat, dengar, tiru, bandingkan, dan terapkan (Gambar 2). Pengguna melihat letak makhraj, mendengar klip Syaikh Aiman, merekam bacaannya dengan bantuan cermin kamera, membandingkannya dengan contoh guru, lalu mencari huruf itu di dalam ayat. Langkah keempat kelak bercabang ke pengajar ketika fitur setor bacaan dibuka.</w:t>
      </w:r>
    </w:p>
    <w:p>
      <w:pPr>
        <w:keepNext/>
        <w:widowControl/>
        <w:spacing w:line="240" w:lineRule="auto" w:before="80" w:after="40"/>
        <w:ind w:left="0" w:firstLine="0"/>
        <w:jc w:val="center"/>
      </w:pPr>
      <w:r>
        <w:drawing>
          <wp:inline xmlns:a="http://schemas.openxmlformats.org/drawingml/2006/main" xmlns:pic="http://schemas.openxmlformats.org/drawingml/2006/picture">
            <wp:extent cx="4824000" cy="1401779"/>
            <wp:docPr id="3" name="Picture 3"/>
            <wp:cNvGraphicFramePr>
              <a:graphicFrameLocks noChangeAspect="1"/>
            </wp:cNvGraphicFramePr>
            <a:graphic>
              <a:graphicData uri="http://schemas.openxmlformats.org/drawingml/2006/picture">
                <pic:pic>
                  <pic:nvPicPr>
                    <pic:cNvPr id="0" name="fig02_alur_belajar.png"/>
                    <pic:cNvPicPr/>
                  </pic:nvPicPr>
                  <pic:blipFill>
                    <a:blip r:embed="rId12"/>
                    <a:stretch>
                      <a:fillRect/>
                    </a:stretch>
                  </pic:blipFill>
                  <pic:spPr>
                    <a:xfrm>
                      <a:off x="0" y="0"/>
                      <a:ext cx="4824000" cy="1401779"/>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2. </w:t>
      </w:r>
      <w:r>
        <w:rPr>
          <w:rFonts w:ascii="Times New Roman" w:hAnsi="Times New Roman" w:cs="Times New Roman" w:eastAsia="Times New Roman"/>
          <w:b w:val="0"/>
          <w:i w:val="0"/>
          <w:sz w:val="24"/>
          <w:szCs w:val="24"/>
        </w:rPr>
        <w:t xml:space="preserve">Alur belajar </w:t>
      </w:r>
      <w:r>
        <w:rPr>
          <w:rFonts w:ascii="Times New Roman" w:hAnsi="Times New Roman" w:cs="Times New Roman" w:eastAsia="Times New Roman"/>
          <w:b w:val="0"/>
          <w:i/>
          <w:sz w:val="24"/>
          <w:szCs w:val="24"/>
        </w:rPr>
        <w:t>talaqqi</w:t>
      </w:r>
      <w:r>
        <w:rPr>
          <w:rFonts w:ascii="Times New Roman" w:hAnsi="Times New Roman" w:cs="Times New Roman" w:eastAsia="Times New Roman"/>
          <w:b w:val="0"/>
          <w:i w:val="0"/>
          <w:sz w:val="24"/>
          <w:szCs w:val="24"/>
        </w:rPr>
        <w:t xml:space="preserve"> digital pada Makhraj</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5.2 Metode Pengembangan Perangkat Lunak</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Pengembangan menggabungkan </w:t>
      </w:r>
      <w:r>
        <w:rPr>
          <w:rFonts w:ascii="Times New Roman" w:hAnsi="Times New Roman" w:cs="Times New Roman" w:eastAsia="Times New Roman"/>
          <w:b w:val="0"/>
          <w:i/>
          <w:sz w:val="24"/>
          <w:szCs w:val="24"/>
        </w:rPr>
        <w:t>design thinking</w:t>
      </w:r>
      <w:r>
        <w:rPr>
          <w:rFonts w:ascii="Times New Roman" w:hAnsi="Times New Roman" w:cs="Times New Roman" w:eastAsia="Times New Roman"/>
          <w:b w:val="0"/>
          <w:i w:val="0"/>
          <w:sz w:val="24"/>
          <w:szCs w:val="24"/>
        </w:rPr>
        <w:t xml:space="preserve"> (Brown, 2008) untuk memahami masalah pengguna dan Scrum (Schwaber &amp; Sutherland, 2020) untuk membangun MVP secara bertahap. Tahap empati dan definisi bertumpu pada kajian data literasi di atas; wawancara dengan pemula dan pengajar dilakukan bersamaan dengan uji pengguna (Subbab 5.4). Tahap ideasi dan purwarupa menghasilkan desain enam layar yang kini berjalan sebagai MVP (Bagian 9). MVP dikembangkan dalam empat </w:t>
      </w:r>
      <w:r>
        <w:rPr>
          <w:rFonts w:ascii="Times New Roman" w:hAnsi="Times New Roman" w:cs="Times New Roman" w:eastAsia="Times New Roman"/>
          <w:b w:val="0"/>
          <w:i/>
          <w:sz w:val="24"/>
          <w:szCs w:val="24"/>
        </w:rPr>
        <w:t>sprint</w:t>
      </w:r>
      <w:r>
        <w:rPr>
          <w:rFonts w:ascii="Times New Roman" w:hAnsi="Times New Roman" w:cs="Times New Roman" w:eastAsia="Times New Roman"/>
          <w:b w:val="0"/>
          <w:i w:val="0"/>
          <w:sz w:val="24"/>
          <w:szCs w:val="24"/>
        </w:rPr>
        <w:t xml:space="preserve"> dua mingguan: (1) data mushaf dan materi huruf, (2) peta makhraj dan pelajaran lima langkah, (3) rekam, cermin, dan bandingkan, serta (4) huruf mirip, progres, dan perangkat uji coba. Purwarupa pertama dibuat dengan Flutter, lalu dipindah ke React agar web dan APK memakai satu hasil </w:t>
      </w:r>
      <w:r>
        <w:rPr>
          <w:rFonts w:ascii="Times New Roman" w:hAnsi="Times New Roman" w:cs="Times New Roman" w:eastAsia="Times New Roman"/>
          <w:b w:val="0"/>
          <w:i/>
          <w:sz w:val="24"/>
          <w:szCs w:val="24"/>
        </w:rPr>
        <w:t>build</w:t>
      </w:r>
      <w:r>
        <w:rPr>
          <w:rFonts w:ascii="Times New Roman" w:hAnsi="Times New Roman" w:cs="Times New Roman" w:eastAsia="Times New Roman"/>
          <w:b w:val="0"/>
          <w:i w:val="0"/>
          <w:sz w:val="24"/>
          <w:szCs w:val="24"/>
        </w:rPr>
        <w:t xml:space="preserve"> (Lampiran 6).</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5.3 Penyusunan dan Validasi Materi</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Materi makhraj dan sifat huruf disusun dari matan </w:t>
      </w:r>
      <w:r>
        <w:rPr>
          <w:rFonts w:ascii="Times New Roman" w:hAnsi="Times New Roman" w:cs="Times New Roman" w:eastAsia="Times New Roman"/>
          <w:b w:val="0"/>
          <w:i/>
          <w:sz w:val="24"/>
          <w:szCs w:val="24"/>
        </w:rPr>
        <w:t>Al-Muqaddimah al-Jazariyyah</w:t>
      </w:r>
      <w:r>
        <w:rPr>
          <w:rFonts w:ascii="Times New Roman" w:hAnsi="Times New Roman" w:cs="Times New Roman" w:eastAsia="Times New Roman"/>
          <w:b w:val="0"/>
          <w:i w:val="0"/>
          <w:sz w:val="24"/>
          <w:szCs w:val="24"/>
        </w:rPr>
        <w:t xml:space="preserve"> karya Ibnu al-Jazari beserta syarahnya, </w:t>
      </w:r>
      <w:r>
        <w:rPr>
          <w:rFonts w:ascii="Times New Roman" w:hAnsi="Times New Roman" w:cs="Times New Roman" w:eastAsia="Times New Roman"/>
          <w:b w:val="0"/>
          <w:i/>
          <w:sz w:val="24"/>
          <w:szCs w:val="24"/>
        </w:rPr>
        <w:t>Fath Rabb al-Bariyyah</w:t>
      </w:r>
      <w:r>
        <w:rPr>
          <w:rFonts w:ascii="Times New Roman" w:hAnsi="Times New Roman" w:cs="Times New Roman" w:eastAsia="Times New Roman"/>
          <w:b w:val="0"/>
          <w:i w:val="0"/>
          <w:sz w:val="24"/>
          <w:szCs w:val="24"/>
        </w:rPr>
        <w:t xml:space="preserve"> (Salim, 2007), dan kitab </w:t>
      </w:r>
      <w:r>
        <w:rPr>
          <w:rFonts w:ascii="Times New Roman" w:hAnsi="Times New Roman" w:cs="Times New Roman" w:eastAsia="Times New Roman"/>
          <w:b w:val="0"/>
          <w:i/>
          <w:sz w:val="24"/>
          <w:szCs w:val="24"/>
        </w:rPr>
        <w:t>At-Tajwid al-Mushawwar</w:t>
      </w:r>
      <w:r>
        <w:rPr>
          <w:rFonts w:ascii="Times New Roman" w:hAnsi="Times New Roman" w:cs="Times New Roman" w:eastAsia="Times New Roman"/>
          <w:b w:val="0"/>
          <w:i w:val="0"/>
          <w:sz w:val="24"/>
          <w:szCs w:val="24"/>
        </w:rPr>
        <w:t xml:space="preserve"> (Suwaid, 2014). Validasi berjalan dua lapis. Lapis pertama adalah pencocokan data materi aplikasi dengan bab "Makharij al-Huruf" dan "Shifat al-Huruf" dalam </w:t>
      </w:r>
      <w:r>
        <w:rPr>
          <w:rFonts w:ascii="Times New Roman" w:hAnsi="Times New Roman" w:cs="Times New Roman" w:eastAsia="Times New Roman"/>
          <w:b w:val="0"/>
          <w:i/>
          <w:sz w:val="24"/>
          <w:szCs w:val="24"/>
        </w:rPr>
        <w:t>Fath Rabb al-Bariyyah</w:t>
      </w:r>
      <w:r>
        <w:rPr>
          <w:rFonts w:ascii="Times New Roman" w:hAnsi="Times New Roman" w:cs="Times New Roman" w:eastAsia="Times New Roman"/>
          <w:b w:val="0"/>
          <w:i w:val="0"/>
          <w:sz w:val="24"/>
          <w:szCs w:val="24"/>
        </w:rPr>
        <w:t xml:space="preserve">. Dari 14 butir yang diperiksa, 10 butir sesuai dan 4 butir perlu disesuaikan, misalnya letak </w:t>
      </w:r>
      <w:r>
        <w:rPr>
          <w:rFonts w:ascii="Times New Roman" w:hAnsi="Times New Roman" w:cs="Times New Roman" w:eastAsia="Times New Roman"/>
          <w:b w:val="0"/>
          <w:i/>
          <w:sz w:val="24"/>
          <w:szCs w:val="24"/>
        </w:rPr>
        <w:t>khaisyum</w:t>
      </w:r>
      <w:r>
        <w:rPr>
          <w:rFonts w:ascii="Times New Roman" w:hAnsi="Times New Roman" w:cs="Times New Roman" w:eastAsia="Times New Roman"/>
          <w:b w:val="0"/>
          <w:i w:val="0"/>
          <w:sz w:val="24"/>
          <w:szCs w:val="24"/>
        </w:rPr>
        <w:t xml:space="preserve"> yang semula ditulis "pangkal hidung", padahal kitab menyebut rongga hidung bagian dalam (Lampiran 1). Lapis kedua adalah tinjauan pengajar tahsin bersanad; selama tinjauan ini belum selesai, setiap pelajaran di aplikasi memuat label "belum divalidasi pengajar".</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5.4 Rencana Evaluasi</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Sebelum uji lapangan, lima sampai delapan calon pengguna mencoba MVP sambil menyuarakan pikirannya (</w:t>
      </w:r>
      <w:r>
        <w:rPr>
          <w:rFonts w:ascii="Times New Roman" w:hAnsi="Times New Roman" w:cs="Times New Roman" w:eastAsia="Times New Roman"/>
          <w:b w:val="0"/>
          <w:i/>
          <w:sz w:val="24"/>
          <w:szCs w:val="24"/>
        </w:rPr>
        <w:t>think-aloud</w:t>
      </w:r>
      <w:r>
        <w:rPr>
          <w:rFonts w:ascii="Times New Roman" w:hAnsi="Times New Roman" w:cs="Times New Roman" w:eastAsia="Times New Roman"/>
          <w:b w:val="0"/>
          <w:i w:val="0"/>
          <w:sz w:val="24"/>
          <w:szCs w:val="24"/>
        </w:rPr>
        <w:t>) agar masalah kegunaan diperbaiki lebih dulu. Uji lapangan memakai desain praeksperimen satu kelompok dengan tes awal dan tes akhir (</w:t>
      </w:r>
      <w:r>
        <w:rPr>
          <w:rFonts w:ascii="Times New Roman" w:hAnsi="Times New Roman" w:cs="Times New Roman" w:eastAsia="Times New Roman"/>
          <w:b w:val="0"/>
          <w:i/>
          <w:sz w:val="24"/>
          <w:szCs w:val="24"/>
        </w:rPr>
        <w:t>one-group pretest-posttest design</w:t>
      </w:r>
      <w:r>
        <w:rPr>
          <w:rFonts w:ascii="Times New Roman" w:hAnsi="Times New Roman" w:cs="Times New Roman" w:eastAsia="Times New Roman"/>
          <w:b w:val="0"/>
          <w:i w:val="0"/>
          <w:sz w:val="24"/>
          <w:szCs w:val="24"/>
        </w:rPr>
        <w:t xml:space="preserve">; Creswell &amp; Creswell, 2018). Dua puluh pemula berusia minimal 18 tahun, yaitu mahasiswa dan masyarakat umum, dipilih secara purposif dan memakai MVP selama dua pekan setelah memberikan persetujuan. Tes pemahaman memakai dua bentuk paralel (A dan B) yang diperiksa pengajar tahsin, sedangkan rekaman bacaan dinilai dua pengajar secara terpisah tanpa mengetahui urutan rekaman, dengan kesepakatan antarpenilai diukur memakai koefisien kappa (Cohen, 1960). Karena tanpa kelompok kontrol, hasilnya diperlakukan sebagai bukti awal. Kegunaan diukur dengan </w:t>
      </w:r>
      <w:r>
        <w:rPr>
          <w:rFonts w:ascii="Times New Roman" w:hAnsi="Times New Roman" w:cs="Times New Roman" w:eastAsia="Times New Roman"/>
          <w:b w:val="0"/>
          <w:i/>
          <w:sz w:val="24"/>
          <w:szCs w:val="24"/>
        </w:rPr>
        <w:t>System Usability Scale</w:t>
      </w:r>
      <w:r>
        <w:rPr>
          <w:rFonts w:ascii="Times New Roman" w:hAnsi="Times New Roman" w:cs="Times New Roman" w:eastAsia="Times New Roman"/>
          <w:b w:val="0"/>
          <w:i w:val="0"/>
          <w:sz w:val="24"/>
          <w:szCs w:val="24"/>
        </w:rPr>
        <w:t xml:space="preserve"> (SUS; Brooke, 1996) versi Indonesia; indikator lainnya disajikan pada Tabel 2 dan rancangan lengkapnya pada Lampiran 8.</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2. </w:t>
      </w:r>
      <w:r>
        <w:rPr>
          <w:rFonts w:ascii="Times New Roman" w:hAnsi="Times New Roman" w:cs="Times New Roman" w:eastAsia="Times New Roman"/>
          <w:b w:val="0"/>
          <w:i w:val="0"/>
          <w:sz w:val="24"/>
          <w:szCs w:val="24"/>
        </w:rPr>
        <w:t>Rencana evaluasi MVP</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71"/>
        <w:gridCol w:w="2608"/>
        <w:gridCol w:w="4309"/>
      </w:tblGrid>
      <w:tr>
        <w:trPr>
          <w:cantSplit/>
          <w:tblHeader/>
        </w:trPr>
        <w:tc>
          <w:tcPr>
            <w:tcW w:type="dxa" w:w="187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Aspek</w:t>
            </w:r>
          </w:p>
        </w:tc>
        <w:tc>
          <w:tcPr>
            <w:tcW w:type="dxa" w:w="260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Instrumen</w:t>
            </w:r>
          </w:p>
        </w:tc>
        <w:tc>
          <w:tcPr>
            <w:tcW w:type="dxa" w:w="4309"/>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Target</w:t>
            </w:r>
          </w:p>
        </w:tc>
      </w:tr>
      <w:tr>
        <w:trPr>
          <w:cantSplit/>
        </w:trPr>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Kegunaan</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SUS, 10 butir</w:t>
            </w:r>
          </w:p>
        </w:tc>
        <w:tc>
          <w:tcPr>
            <w:tcW w:type="dxa" w:w="430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Rata-rata minimal 68 (Sauro &amp; Lewis, 2016)</w:t>
            </w:r>
          </w:p>
        </w:tc>
      </w:tr>
      <w:tr>
        <w:trPr>
          <w:cantSplit/>
        </w:trPr>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Pemahaman makhraj</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Tes 20 soal bentuk A/B, awal dan akhir</w:t>
            </w:r>
          </w:p>
        </w:tc>
        <w:tc>
          <w:tcPr>
            <w:tcW w:type="dxa" w:w="430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Naik bermakna (Wilcoxon, </w:t>
            </w:r>
            <w:r>
              <w:rPr>
                <w:rFonts w:ascii="Times New Roman" w:hAnsi="Times New Roman" w:cs="Times New Roman" w:eastAsia="Times New Roman"/>
                <w:b w:val="0"/>
                <w:i/>
                <w:sz w:val="20"/>
                <w:szCs w:val="20"/>
              </w:rPr>
              <w:t>p</w:t>
            </w:r>
            <w:r>
              <w:rPr>
                <w:rFonts w:ascii="Times New Roman" w:hAnsi="Times New Roman" w:cs="Times New Roman" w:eastAsia="Times New Roman"/>
                <w:b w:val="0"/>
                <w:i w:val="0"/>
                <w:sz w:val="20"/>
                <w:szCs w:val="20"/>
              </w:rPr>
              <w:t xml:space="preserve"> &lt; 0,05; efek </w:t>
            </w:r>
            <w:r>
              <w:rPr>
                <w:rFonts w:ascii="Times New Roman" w:hAnsi="Times New Roman" w:cs="Times New Roman" w:eastAsia="Times New Roman"/>
                <w:b w:val="0"/>
                <w:i/>
                <w:sz w:val="20"/>
                <w:szCs w:val="20"/>
              </w:rPr>
              <w:t>r</w:t>
            </w:r>
            <w:r>
              <w:rPr>
                <w:rFonts w:ascii="Times New Roman" w:hAnsi="Times New Roman" w:cs="Times New Roman" w:eastAsia="Times New Roman"/>
                <w:b w:val="0"/>
                <w:i w:val="0"/>
                <w:sz w:val="20"/>
                <w:szCs w:val="20"/>
              </w:rPr>
              <w:t>)</w:t>
            </w:r>
          </w:p>
        </w:tc>
      </w:tr>
      <w:tr>
        <w:trPr>
          <w:cantSplit/>
        </w:trPr>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Kualitas bacaan</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10 kata, rubrik, dua penilai</w:t>
            </w:r>
          </w:p>
        </w:tc>
        <w:tc>
          <w:tcPr>
            <w:tcW w:type="dxa" w:w="430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Kesalahan menurun; kappa minimal 0,60</w:t>
            </w:r>
          </w:p>
        </w:tc>
      </w:tr>
      <w:tr>
        <w:trPr>
          <w:cantSplit/>
        </w:trPr>
        <w:tc>
          <w:tcPr>
            <w:tcW w:type="dxa" w:w="187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Keterlibatan</w:t>
            </w:r>
          </w:p>
        </w:tc>
        <w:tc>
          <w:tcPr>
            <w:tcW w:type="dxa" w:w="260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Catatan pemakaian</w:t>
            </w:r>
          </w:p>
        </w:tc>
        <w:tc>
          <w:tcPr>
            <w:tcW w:type="dxa" w:w="4309"/>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Minimal 50% peserta aktif 4 hari per pekan</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6. MARKET ANALISIS</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6.1 Segmen dan Ukuran Pasar</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Penduduk Indonesia yang beragama Islam berjumlah 245,97 juta jiwa (Databoks, 2024). Dengan proporsi survei literasi, sekitar 136,3 juta orang belum membaca dengan lancar sesuai tajwid. Angka ini menjadi pasar total atau </w:t>
      </w:r>
      <w:r>
        <w:rPr>
          <w:rFonts w:ascii="Times New Roman" w:hAnsi="Times New Roman" w:cs="Times New Roman" w:eastAsia="Times New Roman"/>
          <w:b w:val="0"/>
          <w:i/>
          <w:sz w:val="24"/>
          <w:szCs w:val="24"/>
        </w:rPr>
        <w:t>total addressable market</w:t>
      </w:r>
      <w:r>
        <w:rPr>
          <w:rFonts w:ascii="Times New Roman" w:hAnsi="Times New Roman" w:cs="Times New Roman" w:eastAsia="Times New Roman"/>
          <w:b w:val="0"/>
          <w:i w:val="0"/>
          <w:sz w:val="24"/>
          <w:szCs w:val="24"/>
        </w:rPr>
        <w:t xml:space="preserve"> (TAM), yang mencakup orang yang belum bisa membaca sama sekali dan orang yang sudah mengenal huruf tetapi bacaannya belum sesuai tajwid. Sekitar 110 juta di antaranya sudah terhubung ke internet sehingga dapat dijangkau aplikasi (</w:t>
      </w:r>
      <w:r>
        <w:rPr>
          <w:rFonts w:ascii="Times New Roman" w:hAnsi="Times New Roman" w:cs="Times New Roman" w:eastAsia="Times New Roman"/>
          <w:b w:val="0"/>
          <w:i/>
          <w:sz w:val="24"/>
          <w:szCs w:val="24"/>
        </w:rPr>
        <w:t>serviceable available market</w:t>
      </w:r>
      <w:r>
        <w:rPr>
          <w:rFonts w:ascii="Times New Roman" w:hAnsi="Times New Roman" w:cs="Times New Roman" w:eastAsia="Times New Roman"/>
          <w:b w:val="0"/>
          <w:i w:val="0"/>
          <w:sz w:val="24"/>
          <w:szCs w:val="24"/>
        </w:rPr>
        <w:t>, SAM). Target tiga tahun pertama ditetapkan 100 ribu pengguna aktif bulanan (</w:t>
      </w:r>
      <w:r>
        <w:rPr>
          <w:rFonts w:ascii="Times New Roman" w:hAnsi="Times New Roman" w:cs="Times New Roman" w:eastAsia="Times New Roman"/>
          <w:b w:val="0"/>
          <w:i/>
          <w:sz w:val="24"/>
          <w:szCs w:val="24"/>
        </w:rPr>
        <w:t>serviceable obtainable market</w:t>
      </w:r>
      <w:r>
        <w:rPr>
          <w:rFonts w:ascii="Times New Roman" w:hAnsi="Times New Roman" w:cs="Times New Roman" w:eastAsia="Times New Roman"/>
          <w:b w:val="0"/>
          <w:i w:val="0"/>
          <w:sz w:val="24"/>
          <w:szCs w:val="24"/>
        </w:rPr>
        <w:t>, SOM), atau kurang dari 0,1% SAM. Angka ini merupakan estimasi kasar yang masih mencakup anak usia dini sehingga berfungsi sebagai batas atas (Lampiran 2). Segmen yang dibidik meliputi mahasiswa dan pekerja muda, orang tua yang mendampingi anak, mualaf dan lansia, serta lembaga seperti TPQ dan tutorial baca Al-Qur'an di kampus.</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6.2 Analisis Kompetitor</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Tabel 3 membandingkan Makhraj dengan tiga aplikasi yang paling dekat berdasarkan informasi publik per Oktober 2026; keterangan "tidak" berarti fitur tersebut tidak ditemukan dalam informasi publik. Posisi Makhraj terhadap ngaji.ai (Gambar A, Lampiran 2) dapat diringkas sebagai berikut: ngaji.ai memberi tahu pengguna bahwa bacaannya salah, sedangkan Makhraj menunjukkan letak kesalahannya dan cara membetulkannya dengan contoh dari guru bersanad. Pembeda Makhraj ada pada perpaduan fitur dalam satu alur belajar, bukan pada satu fitur tunggal. Analisis SWOT dan mitigasinya disajikan pada Tabel B (Lampiran 2).</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3. </w:t>
      </w:r>
      <w:r>
        <w:rPr>
          <w:rFonts w:ascii="Times New Roman" w:hAnsi="Times New Roman" w:cs="Times New Roman" w:eastAsia="Times New Roman"/>
          <w:b w:val="0"/>
          <w:i w:val="0"/>
          <w:sz w:val="24"/>
          <w:szCs w:val="24"/>
        </w:rPr>
        <w:t>Perbandingan fitur Makhraj dengan aplikasi sejenis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572"/>
        <w:gridCol w:w="1247"/>
        <w:gridCol w:w="1361"/>
        <w:gridCol w:w="1361"/>
        <w:gridCol w:w="1247"/>
      </w:tblGrid>
      <w:tr>
        <w:trPr>
          <w:cantSplit/>
          <w:tblHeader/>
        </w:trPr>
        <w:tc>
          <w:tcPr>
            <w:tcW w:type="dxa" w:w="3572"/>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Fitur</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ngaji.ai</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Tarteel</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Qur'an Kemenag</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Makhraj</w:t>
            </w:r>
          </w:p>
        </w:tc>
      </w:tr>
      <w:tr>
        <w:trPr>
          <w:cantSplit/>
        </w:trPr>
        <w:tc>
          <w:tcPr>
            <w:tcW w:type="dxa" w:w="357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Mushaf lengkap</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r>
      <w:tr>
        <w:trPr>
          <w:cantSplit/>
        </w:trPr>
        <w:tc>
          <w:tcPr>
            <w:tcW w:type="dxa" w:w="357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Materi bertahap untuk pemula</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r>
      <w:tr>
        <w:trPr>
          <w:cantSplit/>
        </w:trPr>
        <w:tc>
          <w:tcPr>
            <w:tcW w:type="dxa" w:w="357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Visualisasi letak makhraj</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r>
      <w:tr>
        <w:trPr>
          <w:cantSplit/>
        </w:trPr>
        <w:tc>
          <w:tcPr>
            <w:tcW w:type="dxa" w:w="357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Contoh pelafalan per huruf dari guru bersanad yang disebut namanya</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r>
      <w:tr>
        <w:trPr>
          <w:cantSplit/>
        </w:trPr>
        <w:tc>
          <w:tcPr>
            <w:tcW w:type="dxa" w:w="357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Penilaian bacaan otomatis</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Ada (per kata)</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Tahap 3</w:t>
            </w:r>
          </w:p>
        </w:tc>
      </w:tr>
      <w:tr>
        <w:trPr>
          <w:cantSplit/>
        </w:trPr>
        <w:tc>
          <w:tcPr>
            <w:tcW w:type="dxa" w:w="357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Koreksi oleh pengajar manusia</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Tahap 2</w:t>
            </w:r>
          </w:p>
        </w:tc>
      </w:tr>
      <w:tr>
        <w:trPr>
          <w:cantSplit/>
        </w:trPr>
        <w:tc>
          <w:tcPr>
            <w:tcW w:type="dxa" w:w="3572"/>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Sorot huruf yang baru dipelajari di mushaf</w:t>
            </w:r>
          </w:p>
        </w:tc>
        <w:tc>
          <w:tcPr>
            <w:tcW w:type="dxa" w:w="1247"/>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361"/>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Tidak</w:t>
            </w:r>
          </w:p>
        </w:tc>
        <w:tc>
          <w:tcPr>
            <w:tcW w:type="dxa" w:w="1247"/>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Ada</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6.3 Model Bisnis dan Keberlanjutan</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Inti pembelajaran, yaitu 29 pelajaran huruf, peta makhraj, rekam dan bandingkan, serta mushaf, tetap gratis karena merupakan bagian dari dakwah. Pendapatan berasal dari dua sumber: paket Setor ke Pengajar seharga Rp20.000 per lima setoran dengan bagi hasil 70% untuk pengajar tahsin dan lisensi dasbor lembaga Rp300.000 per kelas per tahun untuk TPQ, sekolah, dan tutorial kampus. Dana zakat, infak, sedekah, dan wakaf (ZISWAF) serta program tanggung jawab sosial perusahaan atau </w:t>
      </w:r>
      <w:r>
        <w:rPr>
          <w:rFonts w:ascii="Times New Roman" w:hAnsi="Times New Roman" w:cs="Times New Roman" w:eastAsia="Times New Roman"/>
          <w:b w:val="0"/>
          <w:i/>
          <w:sz w:val="24"/>
          <w:szCs w:val="24"/>
        </w:rPr>
        <w:t>corporate social responsibility</w:t>
      </w:r>
      <w:r>
        <w:rPr>
          <w:rFonts w:ascii="Times New Roman" w:hAnsi="Times New Roman" w:cs="Times New Roman" w:eastAsia="Times New Roman"/>
          <w:b w:val="0"/>
          <w:i w:val="0"/>
          <w:sz w:val="24"/>
          <w:szCs w:val="24"/>
        </w:rPr>
        <w:t xml:space="preserve"> (CSR) membiayai setoran pengguna kurang mampu. Dengan asumsi 1% pengguna membeli empat paket per tahun, biaya tahun pertama sebesar Rp4,6 juta ditutup dengan dana tim atau hibah kemahasiswaan, tahun kedua mencapai impas, dan kas kumulatif menjadi positif pada tahun ketiga (Gambar 3). Agar tidak bergantung pada tim, pemeliharaan dirancang beralih bertahap ke UKM kerohanian kampus, dan honor Rp2.800 per setoran menjadi tambahan bagi pengajar relawan, bukan nafkah utama. Pemetaan lengkapnya disajikan pada Lampiran 3.</w:t>
      </w:r>
    </w:p>
    <w:p>
      <w:pPr>
        <w:keepNext/>
        <w:widowControl/>
        <w:spacing w:line="240" w:lineRule="auto" w:before="80" w:after="40"/>
        <w:ind w:left="0" w:firstLine="0"/>
        <w:jc w:val="center"/>
      </w:pPr>
      <w:r>
        <w:drawing>
          <wp:inline xmlns:a="http://schemas.openxmlformats.org/drawingml/2006/main" xmlns:pic="http://schemas.openxmlformats.org/drawingml/2006/picture">
            <wp:extent cx="5184000" cy="2468571"/>
            <wp:docPr id="4" name="Picture 4"/>
            <wp:cNvGraphicFramePr>
              <a:graphicFrameLocks noChangeAspect="1"/>
            </wp:cNvGraphicFramePr>
            <a:graphic>
              <a:graphicData uri="http://schemas.openxmlformats.org/drawingml/2006/picture">
                <pic:pic>
                  <pic:nvPicPr>
                    <pic:cNvPr id="0" name="fig04_roadmap.png"/>
                    <pic:cNvPicPr/>
                  </pic:nvPicPr>
                  <pic:blipFill>
                    <a:blip r:embed="rId13"/>
                    <a:stretch>
                      <a:fillRect/>
                    </a:stretch>
                  </pic:blipFill>
                  <pic:spPr>
                    <a:xfrm>
                      <a:off x="0" y="0"/>
                      <a:ext cx="5184000" cy="2468571"/>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3. </w:t>
      </w:r>
      <w:r>
        <w:rPr>
          <w:rFonts w:ascii="Times New Roman" w:hAnsi="Times New Roman" w:cs="Times New Roman" w:eastAsia="Times New Roman"/>
          <w:b w:val="0"/>
          <w:i w:val="0"/>
          <w:sz w:val="24"/>
          <w:szCs w:val="24"/>
        </w:rPr>
        <w:t>Peta jalan dan ringkasan model bisnis Makhraj per tahap</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7. DESAIN</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 xml:space="preserve">7.1 </w:t>
      </w:r>
      <w:r>
        <w:rPr>
          <w:rFonts w:ascii="Times New Roman" w:hAnsi="Times New Roman" w:cs="Times New Roman" w:eastAsia="Times New Roman"/>
          <w:b/>
          <w:i/>
          <w:sz w:val="24"/>
          <w:szCs w:val="24"/>
          <w:bCs/>
        </w:rPr>
        <w:t>Use Case Diagram</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Sistem memiliki tiga aktor (Gambar 4). Pengguna dapat menjelajah peta makhraj, mempelajari huruf beserta klip guru, merekam dan membandingkan bacaan, berlatih huruf mirip, membaca mushaf dengan sorot huruf, melihat progres, dan mengikuti uji coba. Admin mengelola materi dan klip, sedangkan pengajar memvalidasi materi dan, pada Tahap 2, memberi koreksi atas rekaman yang disetor pengguna. </w:t>
      </w:r>
      <w:r>
        <w:rPr>
          <w:rFonts w:ascii="Times New Roman" w:hAnsi="Times New Roman" w:cs="Times New Roman" w:eastAsia="Times New Roman"/>
          <w:b w:val="0"/>
          <w:i/>
          <w:sz w:val="24"/>
          <w:szCs w:val="24"/>
        </w:rPr>
        <w:t>Use case</w:t>
      </w:r>
      <w:r>
        <w:rPr>
          <w:rFonts w:ascii="Times New Roman" w:hAnsi="Times New Roman" w:cs="Times New Roman" w:eastAsia="Times New Roman"/>
          <w:b w:val="0"/>
          <w:i w:val="0"/>
          <w:sz w:val="24"/>
          <w:szCs w:val="24"/>
        </w:rPr>
        <w:t xml:space="preserve"> Tahap 2 ditandai dengan garis putus-putus.</w:t>
      </w:r>
    </w:p>
    <w:p>
      <w:pPr>
        <w:keepNext/>
        <w:widowControl/>
        <w:spacing w:line="240" w:lineRule="auto" w:before="80" w:after="40"/>
        <w:ind w:left="0" w:firstLine="0"/>
        <w:jc w:val="center"/>
      </w:pPr>
      <w:r>
        <w:drawing>
          <wp:inline xmlns:a="http://schemas.openxmlformats.org/drawingml/2006/main" xmlns:pic="http://schemas.openxmlformats.org/drawingml/2006/picture">
            <wp:extent cx="4320000" cy="2386753"/>
            <wp:docPr id="5" name="Picture 5"/>
            <wp:cNvGraphicFramePr>
              <a:graphicFrameLocks noChangeAspect="1"/>
            </wp:cNvGraphicFramePr>
            <a:graphic>
              <a:graphicData uri="http://schemas.openxmlformats.org/drawingml/2006/picture">
                <pic:pic>
                  <pic:nvPicPr>
                    <pic:cNvPr id="0" name="fig05_usecase.png"/>
                    <pic:cNvPicPr/>
                  </pic:nvPicPr>
                  <pic:blipFill>
                    <a:blip r:embed="rId14"/>
                    <a:stretch>
                      <a:fillRect/>
                    </a:stretch>
                  </pic:blipFill>
                  <pic:spPr>
                    <a:xfrm>
                      <a:off x="0" y="0"/>
                      <a:ext cx="4320000" cy="2386753"/>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4. </w:t>
      </w:r>
      <w:r>
        <w:rPr>
          <w:rFonts w:ascii="Times New Roman" w:hAnsi="Times New Roman" w:cs="Times New Roman" w:eastAsia="Times New Roman"/>
          <w:b w:val="0"/>
          <w:i w:val="0"/>
          <w:sz w:val="24"/>
          <w:szCs w:val="24"/>
        </w:rPr>
        <w:t xml:space="preserve">Diagram </w:t>
      </w:r>
      <w:r>
        <w:rPr>
          <w:rFonts w:ascii="Times New Roman" w:hAnsi="Times New Roman" w:cs="Times New Roman" w:eastAsia="Times New Roman"/>
          <w:b w:val="0"/>
          <w:i/>
          <w:sz w:val="24"/>
          <w:szCs w:val="24"/>
        </w:rPr>
        <w:t>use case</w:t>
      </w:r>
      <w:r>
        <w:rPr>
          <w:rFonts w:ascii="Times New Roman" w:hAnsi="Times New Roman" w:cs="Times New Roman" w:eastAsia="Times New Roman"/>
          <w:b w:val="0"/>
          <w:i w:val="0"/>
          <w:sz w:val="24"/>
          <w:szCs w:val="24"/>
        </w:rPr>
        <w:t xml:space="preserve"> Makhraj</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 xml:space="preserve">7.2 </w:t>
      </w:r>
      <w:r>
        <w:rPr>
          <w:rFonts w:ascii="Times New Roman" w:hAnsi="Times New Roman" w:cs="Times New Roman" w:eastAsia="Times New Roman"/>
          <w:b/>
          <w:i/>
          <w:sz w:val="24"/>
          <w:szCs w:val="24"/>
          <w:bCs/>
        </w:rPr>
        <w:t>Class Diagram</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Struktur kelas mengikuti susunan ilmu makhraj (Gambar 5). Kelas </w:t>
      </w:r>
      <w:r>
        <w:rPr>
          <w:rFonts w:ascii="Times New Roman" w:hAnsi="Times New Roman" w:cs="Times New Roman" w:eastAsia="Times New Roman"/>
          <w:b w:val="0"/>
          <w:i/>
          <w:sz w:val="24"/>
          <w:szCs w:val="24"/>
        </w:rPr>
        <w:t>AreaMakhraj</w:t>
      </w:r>
      <w:r>
        <w:rPr>
          <w:rFonts w:ascii="Times New Roman" w:hAnsi="Times New Roman" w:cs="Times New Roman" w:eastAsia="Times New Roman"/>
          <w:b w:val="0"/>
          <w:i w:val="0"/>
          <w:sz w:val="24"/>
          <w:szCs w:val="24"/>
        </w:rPr>
        <w:t xml:space="preserve"> memuat beberapa </w:t>
      </w:r>
      <w:r>
        <w:rPr>
          <w:rFonts w:ascii="Times New Roman" w:hAnsi="Times New Roman" w:cs="Times New Roman" w:eastAsia="Times New Roman"/>
          <w:b w:val="0"/>
          <w:i/>
          <w:sz w:val="24"/>
          <w:szCs w:val="24"/>
        </w:rPr>
        <w:t>TitikMakhraj</w:t>
      </w:r>
      <w:r>
        <w:rPr>
          <w:rFonts w:ascii="Times New Roman" w:hAnsi="Times New Roman" w:cs="Times New Roman" w:eastAsia="Times New Roman"/>
          <w:b w:val="0"/>
          <w:i w:val="0"/>
          <w:sz w:val="24"/>
          <w:szCs w:val="24"/>
        </w:rPr>
        <w:t xml:space="preserve">, setiap titik menjadi tempat keluar satu atau lebih </w:t>
      </w:r>
      <w:r>
        <w:rPr>
          <w:rFonts w:ascii="Times New Roman" w:hAnsi="Times New Roman" w:cs="Times New Roman" w:eastAsia="Times New Roman"/>
          <w:b w:val="0"/>
          <w:i/>
          <w:sz w:val="24"/>
          <w:szCs w:val="24"/>
        </w:rPr>
        <w:t>Huruf</w:t>
      </w:r>
      <w:r>
        <w:rPr>
          <w:rFonts w:ascii="Times New Roman" w:hAnsi="Times New Roman" w:cs="Times New Roman" w:eastAsia="Times New Roman"/>
          <w:b w:val="0"/>
          <w:i w:val="0"/>
          <w:sz w:val="24"/>
          <w:szCs w:val="24"/>
        </w:rPr>
        <w:t xml:space="preserve">, dan setiap huruf memiliki banyak </w:t>
      </w:r>
      <w:r>
        <w:rPr>
          <w:rFonts w:ascii="Times New Roman" w:hAnsi="Times New Roman" w:cs="Times New Roman" w:eastAsia="Times New Roman"/>
          <w:b w:val="0"/>
          <w:i/>
          <w:sz w:val="24"/>
          <w:szCs w:val="24"/>
        </w:rPr>
        <w:t>Sifat</w:t>
      </w:r>
      <w:r>
        <w:rPr>
          <w:rFonts w:ascii="Times New Roman" w:hAnsi="Times New Roman" w:cs="Times New Roman" w:eastAsia="Times New Roman"/>
          <w:b w:val="0"/>
          <w:i w:val="0"/>
          <w:sz w:val="24"/>
          <w:szCs w:val="24"/>
        </w:rPr>
        <w:t xml:space="preserve"> serta satu </w:t>
      </w:r>
      <w:r>
        <w:rPr>
          <w:rFonts w:ascii="Times New Roman" w:hAnsi="Times New Roman" w:cs="Times New Roman" w:eastAsia="Times New Roman"/>
          <w:b w:val="0"/>
          <w:i/>
          <w:sz w:val="24"/>
          <w:szCs w:val="24"/>
        </w:rPr>
        <w:t>Pelajaran</w:t>
      </w:r>
      <w:r>
        <w:rPr>
          <w:rFonts w:ascii="Times New Roman" w:hAnsi="Times New Roman" w:cs="Times New Roman" w:eastAsia="Times New Roman"/>
          <w:b w:val="0"/>
          <w:i w:val="0"/>
          <w:sz w:val="24"/>
          <w:szCs w:val="24"/>
        </w:rPr>
        <w:t xml:space="preserve"> yang memuat potongan </w:t>
      </w:r>
      <w:r>
        <w:rPr>
          <w:rFonts w:ascii="Times New Roman" w:hAnsi="Times New Roman" w:cs="Times New Roman" w:eastAsia="Times New Roman"/>
          <w:b w:val="0"/>
          <w:i/>
          <w:sz w:val="24"/>
          <w:szCs w:val="24"/>
        </w:rPr>
        <w:t>KlipVideo</w:t>
      </w:r>
      <w:r>
        <w:rPr>
          <w:rFonts w:ascii="Times New Roman" w:hAnsi="Times New Roman" w:cs="Times New Roman" w:eastAsia="Times New Roman"/>
          <w:b w:val="0"/>
          <w:i w:val="0"/>
          <w:sz w:val="24"/>
          <w:szCs w:val="24"/>
        </w:rPr>
        <w:t xml:space="preserve">. Kelas </w:t>
      </w:r>
      <w:r>
        <w:rPr>
          <w:rFonts w:ascii="Times New Roman" w:hAnsi="Times New Roman" w:cs="Times New Roman" w:eastAsia="Times New Roman"/>
          <w:b w:val="0"/>
          <w:i/>
          <w:sz w:val="24"/>
          <w:szCs w:val="24"/>
        </w:rPr>
        <w:t>Pengguna</w:t>
      </w:r>
      <w:r>
        <w:rPr>
          <w:rFonts w:ascii="Times New Roman" w:hAnsi="Times New Roman" w:cs="Times New Roman" w:eastAsia="Times New Roman"/>
          <w:b w:val="0"/>
          <w:i w:val="0"/>
          <w:sz w:val="24"/>
          <w:szCs w:val="24"/>
        </w:rPr>
        <w:t xml:space="preserve"> menyimpan </w:t>
      </w:r>
      <w:r>
        <w:rPr>
          <w:rFonts w:ascii="Times New Roman" w:hAnsi="Times New Roman" w:cs="Times New Roman" w:eastAsia="Times New Roman"/>
          <w:b w:val="0"/>
          <w:i/>
          <w:sz w:val="24"/>
          <w:szCs w:val="24"/>
        </w:rPr>
        <w:t>Progres</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sz w:val="24"/>
          <w:szCs w:val="24"/>
        </w:rPr>
        <w:t>Rekaman</w:t>
      </w:r>
      <w:r>
        <w:rPr>
          <w:rFonts w:ascii="Times New Roman" w:hAnsi="Times New Roman" w:cs="Times New Roman" w:eastAsia="Times New Roman"/>
          <w:b w:val="0"/>
          <w:i w:val="0"/>
          <w:sz w:val="24"/>
          <w:szCs w:val="24"/>
        </w:rPr>
        <w:t xml:space="preserve">, sedangkan </w:t>
      </w:r>
      <w:r>
        <w:rPr>
          <w:rFonts w:ascii="Times New Roman" w:hAnsi="Times New Roman" w:cs="Times New Roman" w:eastAsia="Times New Roman"/>
          <w:b w:val="0"/>
          <w:i/>
          <w:sz w:val="24"/>
          <w:szCs w:val="24"/>
        </w:rPr>
        <w:t>Setoran</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sz w:val="24"/>
          <w:szCs w:val="24"/>
        </w:rPr>
        <w:t>Koreksi</w:t>
      </w:r>
      <w:r>
        <w:rPr>
          <w:rFonts w:ascii="Times New Roman" w:hAnsi="Times New Roman" w:cs="Times New Roman" w:eastAsia="Times New Roman"/>
          <w:b w:val="0"/>
          <w:i w:val="0"/>
          <w:sz w:val="24"/>
          <w:szCs w:val="24"/>
        </w:rPr>
        <w:t xml:space="preserve"> disiapkan untuk Tahap 2.</w:t>
      </w:r>
    </w:p>
    <w:p>
      <w:pPr>
        <w:keepNext/>
        <w:widowControl/>
        <w:spacing w:line="240" w:lineRule="auto" w:before="80" w:after="40"/>
        <w:ind w:left="0" w:firstLine="0"/>
        <w:jc w:val="center"/>
      </w:pPr>
      <w:r>
        <w:drawing>
          <wp:inline xmlns:a="http://schemas.openxmlformats.org/drawingml/2006/main" xmlns:pic="http://schemas.openxmlformats.org/drawingml/2006/picture">
            <wp:extent cx="4392000" cy="3184675"/>
            <wp:docPr id="6" name="Picture 6"/>
            <wp:cNvGraphicFramePr>
              <a:graphicFrameLocks noChangeAspect="1"/>
            </wp:cNvGraphicFramePr>
            <a:graphic>
              <a:graphicData uri="http://schemas.openxmlformats.org/drawingml/2006/picture">
                <pic:pic>
                  <pic:nvPicPr>
                    <pic:cNvPr id="0" name="fig06_class.png"/>
                    <pic:cNvPicPr/>
                  </pic:nvPicPr>
                  <pic:blipFill>
                    <a:blip r:embed="rId15"/>
                    <a:stretch>
                      <a:fillRect/>
                    </a:stretch>
                  </pic:blipFill>
                  <pic:spPr>
                    <a:xfrm>
                      <a:off x="0" y="0"/>
                      <a:ext cx="4392000" cy="3184675"/>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5. </w:t>
      </w:r>
      <w:r>
        <w:rPr>
          <w:rFonts w:ascii="Times New Roman" w:hAnsi="Times New Roman" w:cs="Times New Roman" w:eastAsia="Times New Roman"/>
          <w:b w:val="0"/>
          <w:i w:val="0"/>
          <w:sz w:val="24"/>
          <w:szCs w:val="24"/>
        </w:rPr>
        <w:t>Diagram kelas Makhraj</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 xml:space="preserve">7.3 </w:t>
      </w:r>
      <w:r>
        <w:rPr>
          <w:rFonts w:ascii="Times New Roman" w:hAnsi="Times New Roman" w:cs="Times New Roman" w:eastAsia="Times New Roman"/>
          <w:b/>
          <w:i/>
          <w:sz w:val="24"/>
          <w:szCs w:val="24"/>
          <w:bCs/>
        </w:rPr>
        <w:t>Entity Relationship Diagram</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Gambar 6 menunjukkan model data konseptual dengan notasi </w:t>
      </w:r>
      <w:r>
        <w:rPr>
          <w:rFonts w:ascii="Times New Roman" w:hAnsi="Times New Roman" w:cs="Times New Roman" w:eastAsia="Times New Roman"/>
          <w:b w:val="0"/>
          <w:i/>
          <w:sz w:val="24"/>
          <w:szCs w:val="24"/>
        </w:rPr>
        <w:t>crow's foot</w:t>
      </w:r>
      <w:r>
        <w:rPr>
          <w:rFonts w:ascii="Times New Roman" w:hAnsi="Times New Roman" w:cs="Times New Roman" w:eastAsia="Times New Roman"/>
          <w:b w:val="0"/>
          <w:i w:val="0"/>
          <w:sz w:val="24"/>
          <w:szCs w:val="24"/>
        </w:rPr>
        <w:t xml:space="preserve">. Relasi banyak-ke-banyak antara huruf dan sifat dipecah melalui tabel </w:t>
      </w:r>
      <w:r>
        <w:rPr>
          <w:rFonts w:ascii="Times New Roman" w:hAnsi="Times New Roman" w:cs="Times New Roman" w:eastAsia="Times New Roman"/>
          <w:b w:val="0"/>
          <w:i/>
          <w:sz w:val="24"/>
          <w:szCs w:val="24"/>
        </w:rPr>
        <w:t>huruf_sifat</w:t>
      </w:r>
      <w:r>
        <w:rPr>
          <w:rFonts w:ascii="Times New Roman" w:hAnsi="Times New Roman" w:cs="Times New Roman" w:eastAsia="Times New Roman"/>
          <w:b w:val="0"/>
          <w:i w:val="0"/>
          <w:sz w:val="24"/>
          <w:szCs w:val="24"/>
        </w:rPr>
        <w:t>, sedangkan pasangan huruf mirip merujuk dua kali ke tabel huruf. Pada Tahap 2, setiap entitas dipetakan menjadi koleksi Cloud Firestore.</w:t>
      </w:r>
    </w:p>
    <w:p>
      <w:pPr>
        <w:keepNext/>
        <w:widowControl/>
        <w:spacing w:line="240" w:lineRule="auto" w:before="80" w:after="40"/>
        <w:ind w:left="0" w:firstLine="0"/>
        <w:jc w:val="center"/>
      </w:pPr>
      <w:r>
        <w:drawing>
          <wp:inline xmlns:a="http://schemas.openxmlformats.org/drawingml/2006/main" xmlns:pic="http://schemas.openxmlformats.org/drawingml/2006/picture">
            <wp:extent cx="3600000" cy="2472078"/>
            <wp:docPr id="7" name="Picture 7"/>
            <wp:cNvGraphicFramePr>
              <a:graphicFrameLocks noChangeAspect="1"/>
            </wp:cNvGraphicFramePr>
            <a:graphic>
              <a:graphicData uri="http://schemas.openxmlformats.org/drawingml/2006/picture">
                <pic:pic>
                  <pic:nvPicPr>
                    <pic:cNvPr id="0" name="fig07_erd.png"/>
                    <pic:cNvPicPr/>
                  </pic:nvPicPr>
                  <pic:blipFill>
                    <a:blip r:embed="rId16"/>
                    <a:stretch>
                      <a:fillRect/>
                    </a:stretch>
                  </pic:blipFill>
                  <pic:spPr>
                    <a:xfrm>
                      <a:off x="0" y="0"/>
                      <a:ext cx="3600000" cy="2472078"/>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6. </w:t>
      </w:r>
      <w:r>
        <w:rPr>
          <w:rFonts w:ascii="Times New Roman" w:hAnsi="Times New Roman" w:cs="Times New Roman" w:eastAsia="Times New Roman"/>
          <w:b w:val="0"/>
          <w:i/>
          <w:sz w:val="24"/>
          <w:szCs w:val="24"/>
        </w:rPr>
        <w:t>Entity relationship diagram</w:t>
      </w:r>
      <w:r>
        <w:rPr>
          <w:rFonts w:ascii="Times New Roman" w:hAnsi="Times New Roman" w:cs="Times New Roman" w:eastAsia="Times New Roman"/>
          <w:b w:val="0"/>
          <w:i w:val="0"/>
          <w:sz w:val="24"/>
          <w:szCs w:val="24"/>
        </w:rPr>
        <w:t xml:space="preserve"> (ERD) Makhraj</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8. IMPLEMENTASI TEKNOLOGI</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MVP Makhraj dibangun dengan React 19, TypeScript, dan Vite (Gambar 7). Satu hasil </w:t>
      </w:r>
      <w:r>
        <w:rPr>
          <w:rFonts w:ascii="Times New Roman" w:hAnsi="Times New Roman" w:cs="Times New Roman" w:eastAsia="Times New Roman"/>
          <w:b w:val="0"/>
          <w:i/>
          <w:sz w:val="24"/>
          <w:szCs w:val="24"/>
        </w:rPr>
        <w:t>build</w:t>
      </w:r>
      <w:r>
        <w:rPr>
          <w:rFonts w:ascii="Times New Roman" w:hAnsi="Times New Roman" w:cs="Times New Roman" w:eastAsia="Times New Roman"/>
          <w:b w:val="0"/>
          <w:i w:val="0"/>
          <w:sz w:val="24"/>
          <w:szCs w:val="24"/>
        </w:rPr>
        <w:t xml:space="preserve"> dipasang sebagai web dan </w:t>
      </w:r>
      <w:r>
        <w:rPr>
          <w:rFonts w:ascii="Times New Roman" w:hAnsi="Times New Roman" w:cs="Times New Roman" w:eastAsia="Times New Roman"/>
          <w:b w:val="0"/>
          <w:i/>
          <w:sz w:val="24"/>
          <w:szCs w:val="24"/>
        </w:rPr>
        <w:t>progressive web app</w:t>
      </w:r>
      <w:r>
        <w:rPr>
          <w:rFonts w:ascii="Times New Roman" w:hAnsi="Times New Roman" w:cs="Times New Roman" w:eastAsia="Times New Roman"/>
          <w:b w:val="0"/>
          <w:i w:val="0"/>
          <w:sz w:val="24"/>
          <w:szCs w:val="24"/>
        </w:rPr>
        <w:t xml:space="preserve"> (PWA) yang materi, peta makhraj, dan mushafnya tetap jalan tanpa internet (klip guru memerlukan koneksi), lalu dibungkus Capacitor menjadi aplikasi Android. Data pengguna tinggal di perangkat: progres di localStorage dan rekaman suara di IndexedDB. Firebase dipakai untuk </w:t>
      </w:r>
      <w:r>
        <w:rPr>
          <w:rFonts w:ascii="Times New Roman" w:hAnsi="Times New Roman" w:cs="Times New Roman" w:eastAsia="Times New Roman"/>
          <w:b w:val="0"/>
          <w:i/>
          <w:sz w:val="24"/>
          <w:szCs w:val="24"/>
        </w:rPr>
        <w:t>hosting</w:t>
      </w:r>
      <w:r>
        <w:rPr>
          <w:rFonts w:ascii="Times New Roman" w:hAnsi="Times New Roman" w:cs="Times New Roman" w:eastAsia="Times New Roman"/>
          <w:b w:val="0"/>
          <w:i w:val="0"/>
          <w:sz w:val="24"/>
          <w:szCs w:val="24"/>
        </w:rPr>
        <w:t xml:space="preserve"> web; autentikasi dan sinkronisasi progres menyusul pada Tahap 2. Teks rasm Utsmani riwayat Hafsh dari Tanzil (CC BY 3.0) ditampilkan apa adanya beserta atribusinya (Tanzil Project, t.t.). Terjemahan Kemenag yang dipakai adalah edisi lama dari Tanzil yang hanya boleh dipakai secara nonkomersial, sehingga hanya tampil pada fitur inti yang gratis; izin LPMQ diajukan sebelum layanan berbayar Tahap 2 dibuka. Rincian fitur ada pada Tabel F (Lampiran 4), sedangkan teknologi dan lisensi pada Lampiran 6 dan 7.</w:t>
      </w:r>
    </w:p>
    <w:p>
      <w:pPr>
        <w:keepNext/>
        <w:widowControl/>
        <w:spacing w:line="240" w:lineRule="auto" w:before="80" w:after="40"/>
        <w:ind w:left="0" w:firstLine="0"/>
        <w:jc w:val="center"/>
      </w:pPr>
      <w:r>
        <w:drawing>
          <wp:inline xmlns:a="http://schemas.openxmlformats.org/drawingml/2006/main" xmlns:pic="http://schemas.openxmlformats.org/drawingml/2006/picture">
            <wp:extent cx="3744000" cy="1807169"/>
            <wp:docPr id="8" name="Picture 8"/>
            <wp:cNvGraphicFramePr>
              <a:graphicFrameLocks noChangeAspect="1"/>
            </wp:cNvGraphicFramePr>
            <a:graphic>
              <a:graphicData uri="http://schemas.openxmlformats.org/drawingml/2006/picture">
                <pic:pic>
                  <pic:nvPicPr>
                    <pic:cNvPr id="0" name="fig08_arsitektur.png"/>
                    <pic:cNvPicPr/>
                  </pic:nvPicPr>
                  <pic:blipFill>
                    <a:blip r:embed="rId17"/>
                    <a:stretch>
                      <a:fillRect/>
                    </a:stretch>
                  </pic:blipFill>
                  <pic:spPr>
                    <a:xfrm>
                      <a:off x="0" y="0"/>
                      <a:ext cx="3744000" cy="1807169"/>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7. </w:t>
      </w:r>
      <w:r>
        <w:rPr>
          <w:rFonts w:ascii="Times New Roman" w:hAnsi="Times New Roman" w:cs="Times New Roman" w:eastAsia="Times New Roman"/>
          <w:b w:val="0"/>
          <w:i w:val="0"/>
          <w:sz w:val="24"/>
          <w:szCs w:val="24"/>
        </w:rPr>
        <w:t>Arsitektur sistem Makhraj</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9. TAMPILAN PURWARUPA</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Gambar 8 menampilkan MVP React yang sudah berjalan: beranda dengan 29 ubin huruf (a), peta makhraj berisi 5 area dan 17 titik (b), dan pelajaran huruf </w:t>
      </w:r>
      <w:r>
        <w:rPr>
          <w:rFonts w:ascii="Times New Roman" w:hAnsi="Times New Roman" w:cs="Times New Roman" w:eastAsia="Times New Roman"/>
          <w:b w:val="0"/>
          <w:i w:val="0"/>
          <w:sz w:val="24"/>
          <w:szCs w:val="24"/>
          <w:rtl/>
        </w:rPr>
        <w:t>ب</w:t>
      </w:r>
      <w:r>
        <w:rPr>
          <w:rFonts w:ascii="Times New Roman" w:hAnsi="Times New Roman" w:cs="Times New Roman" w:eastAsia="Times New Roman"/>
          <w:b w:val="0"/>
          <w:i w:val="0"/>
          <w:sz w:val="24"/>
          <w:szCs w:val="24"/>
        </w:rPr>
        <w:t xml:space="preserve"> (c). Setiap huruf dipelajari dalam lima langkah (lihat, dengar, tiru, bandingkan, terapkan), dan sifatnya dihitung otomatis dari matan </w:t>
      </w:r>
      <w:r>
        <w:rPr>
          <w:rFonts w:ascii="Times New Roman" w:hAnsi="Times New Roman" w:cs="Times New Roman" w:eastAsia="Times New Roman"/>
          <w:b w:val="0"/>
          <w:i/>
          <w:sz w:val="24"/>
          <w:szCs w:val="24"/>
        </w:rPr>
        <w:t>Al-Jazariyyah</w:t>
      </w:r>
      <w:r>
        <w:rPr>
          <w:rFonts w:ascii="Times New Roman" w:hAnsi="Times New Roman" w:cs="Times New Roman" w:eastAsia="Times New Roman"/>
          <w:b w:val="0"/>
          <w:i w:val="0"/>
          <w:sz w:val="24"/>
          <w:szCs w:val="24"/>
        </w:rPr>
        <w:t xml:space="preserve">. Antarmuka memenuhi kontras WCAG 2.2 AA dan memakai tombol minimal 48 px serta ukuran teks yang dapat diperbesar (Lampiran 11). Pelajaran rinci baru tersedia untuk </w:t>
      </w:r>
      <w:r>
        <w:rPr>
          <w:rFonts w:ascii="Times New Roman" w:hAnsi="Times New Roman" w:cs="Times New Roman" w:eastAsia="Times New Roman"/>
          <w:b w:val="0"/>
          <w:i w:val="0"/>
          <w:sz w:val="24"/>
          <w:szCs w:val="24"/>
          <w:rtl/>
        </w:rPr>
        <w:t>ب</w:t>
      </w:r>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val="0"/>
          <w:i w:val="0"/>
          <w:sz w:val="24"/>
          <w:szCs w:val="24"/>
          <w:rtl/>
        </w:rPr>
        <w:t>ح</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val="0"/>
          <w:sz w:val="24"/>
          <w:szCs w:val="24"/>
          <w:rtl/>
        </w:rPr>
        <w:t>ه</w:t>
      </w:r>
      <w:r>
        <w:rPr>
          <w:rFonts w:ascii="Times New Roman" w:hAnsi="Times New Roman" w:cs="Times New Roman" w:eastAsia="Times New Roman"/>
          <w:b w:val="0"/>
          <w:i w:val="0"/>
          <w:sz w:val="24"/>
          <w:szCs w:val="24"/>
        </w:rPr>
        <w:t>. Menu Saya memuat perangkat uji coba: persetujuan peserta, tes A/B 20 soal, angket SUS, dan ekspor hasil. Layar lainnya disajikan pada Gambar F (Lampiran 5).</w:t>
      </w:r>
    </w:p>
    <w:p>
      <w:pPr>
        <w:keepNext/>
        <w:widowControl/>
        <w:spacing w:line="240" w:lineRule="auto" w:before="80" w:after="40"/>
        <w:ind w:left="0" w:firstLine="0"/>
        <w:jc w:val="center"/>
      </w:pPr>
      <w:r>
        <w:drawing>
          <wp:inline xmlns:a="http://schemas.openxmlformats.org/drawingml/2006/main" xmlns:pic="http://schemas.openxmlformats.org/drawingml/2006/picture">
            <wp:extent cx="3851999" cy="2336284"/>
            <wp:docPr id="9" name="Picture 9"/>
            <wp:cNvGraphicFramePr>
              <a:graphicFrameLocks noChangeAspect="1"/>
            </wp:cNvGraphicFramePr>
            <a:graphic>
              <a:graphicData uri="http://schemas.openxmlformats.org/drawingml/2006/picture">
                <pic:pic>
                  <pic:nvPicPr>
                    <pic:cNvPr id="0" name="fig09_screens_a.png"/>
                    <pic:cNvPicPr/>
                  </pic:nvPicPr>
                  <pic:blipFill>
                    <a:blip r:embed="rId18"/>
                    <a:stretch>
                      <a:fillRect/>
                    </a:stretch>
                  </pic:blipFill>
                  <pic:spPr>
                    <a:xfrm>
                      <a:off x="0" y="0"/>
                      <a:ext cx="3851999" cy="2336284"/>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8. </w:t>
      </w:r>
      <w:r>
        <w:rPr>
          <w:rFonts w:ascii="Times New Roman" w:hAnsi="Times New Roman" w:cs="Times New Roman" w:eastAsia="Times New Roman"/>
          <w:b w:val="0"/>
          <w:i w:val="0"/>
          <w:sz w:val="24"/>
          <w:szCs w:val="24"/>
        </w:rPr>
        <w:t>Tampilan MVP Makhraj: beranda, peta makhraj, dan pelajaran huruf</w:t>
      </w:r>
    </w:p>
    <w:p>
      <w:pPr>
        <w:keepNext/>
        <w:widowControl/>
        <w:spacing w:line="276" w:lineRule="auto" w:before="200" w:after="80"/>
        <w:ind w:left="0" w:firstLine="0"/>
        <w:jc w:val="left"/>
      </w:pPr>
      <w:r>
        <w:rPr>
          <w:rFonts w:ascii="Times New Roman" w:hAnsi="Times New Roman" w:cs="Times New Roman" w:eastAsia="Times New Roman"/>
          <w:b/>
          <w:i w:val="0"/>
          <w:sz w:val="24"/>
          <w:szCs w:val="24"/>
          <w:bCs/>
        </w:rPr>
        <w:t>10. DOKUMENTASI</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Tautan karya dan dokumentasi proses disajikan pada Tabel 4 dan dapat diakses tanpa kata sandi.</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4. </w:t>
      </w:r>
      <w:r>
        <w:rPr>
          <w:rFonts w:ascii="Times New Roman" w:hAnsi="Times New Roman" w:cs="Times New Roman" w:eastAsia="Times New Roman"/>
          <w:b w:val="0"/>
          <w:i w:val="0"/>
          <w:sz w:val="24"/>
          <w:szCs w:val="24"/>
        </w:rPr>
        <w:t>Dokumentasi dan tautan karya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969"/>
        <w:gridCol w:w="4819"/>
      </w:tblGrid>
      <w:tr>
        <w:trPr>
          <w:cantSplit/>
          <w:tblHeader/>
        </w:trPr>
        <w:tc>
          <w:tcPr>
            <w:tcW w:type="dxa" w:w="3969"/>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Butir</w:t>
            </w:r>
          </w:p>
        </w:tc>
        <w:tc>
          <w:tcPr>
            <w:tcW w:type="dxa" w:w="4819"/>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Keterangan atau tautan</w:t>
            </w:r>
          </w:p>
        </w:tc>
      </w:tr>
      <w:tr>
        <w:trPr>
          <w:cantSplit/>
        </w:trPr>
        <w:tc>
          <w:tcPr>
            <w:tcW w:type="dxa" w:w="396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Video karya (7 hingga 10 menit)</w:t>
            </w:r>
          </w:p>
        </w:tc>
        <w:tc>
          <w:tcPr>
            <w:tcW w:type="dxa" w:w="481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[tautan Google Drive]</w:t>
            </w:r>
          </w:p>
        </w:tc>
      </w:tr>
      <w:tr>
        <w:trPr>
          <w:cantSplit/>
        </w:trPr>
        <w:tc>
          <w:tcPr>
            <w:tcW w:type="dxa" w:w="396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Aplikasi web dan APK Android</w:t>
            </w:r>
          </w:p>
        </w:tc>
        <w:tc>
          <w:tcPr>
            <w:tcW w:type="dxa" w:w="481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[tautan Firebase Hosting]; [tautan Google Drive]</w:t>
            </w:r>
          </w:p>
        </w:tc>
      </w:tr>
      <w:tr>
        <w:trPr>
          <w:cantSplit/>
        </w:trPr>
        <w:tc>
          <w:tcPr>
            <w:tcW w:type="dxa" w:w="396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Kode sumber dan purwarupa desain</w:t>
            </w:r>
          </w:p>
        </w:tc>
        <w:tc>
          <w:tcPr>
            <w:tcW w:type="dxa" w:w="481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[tautan GitHub]; [tautan purwarupa]</w:t>
            </w:r>
          </w:p>
        </w:tc>
      </w:tr>
      <w:tr>
        <w:trPr>
          <w:cantSplit/>
        </w:trPr>
        <w:tc>
          <w:tcPr>
            <w:tcW w:type="dxa" w:w="3969"/>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Foto perumusan masalah, konsultasi, dan uji coba</w:t>
            </w:r>
          </w:p>
        </w:tc>
        <w:tc>
          <w:tcPr>
            <w:tcW w:type="dxa" w:w="4819"/>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[tautan folder foto]</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240" w:after="120"/>
        <w:ind w:left="0" w:firstLine="0"/>
        <w:jc w:val="left"/>
      </w:pPr>
      <w:r>
        <w:rPr>
          <w:rFonts w:ascii="Times New Roman" w:hAnsi="Times New Roman" w:cs="Times New Roman" w:eastAsia="Times New Roman"/>
          <w:b/>
          <w:i w:val="0"/>
          <w:sz w:val="24"/>
          <w:szCs w:val="24"/>
          <w:bCs/>
        </w:rPr>
        <w:t>DAFTAR PUSTAKA</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Al-Andalasy. (t.t.). </w:t>
      </w:r>
      <w:r>
        <w:rPr>
          <w:rFonts w:ascii="Times New Roman" w:hAnsi="Times New Roman" w:cs="Times New Roman" w:eastAsia="Times New Roman"/>
          <w:b w:val="0"/>
          <w:i/>
          <w:sz w:val="24"/>
          <w:szCs w:val="24"/>
        </w:rPr>
        <w:t>Tahsin Camp: Latihan makhorijul huruf bersama Dr. Aiman Rusydi</w:t>
      </w:r>
      <w:r>
        <w:rPr>
          <w:rFonts w:ascii="Times New Roman" w:hAnsi="Times New Roman" w:cs="Times New Roman" w:eastAsia="Times New Roman"/>
          <w:b w:val="0"/>
          <w:i w:val="0"/>
          <w:sz w:val="24"/>
          <w:szCs w:val="24"/>
        </w:rPr>
        <w:t xml:space="preserve"> [Daftar putar video]. YouTube. Diakses 19 Oktober 2026, dari https://www.youtube.com/playlist?list=PLAlKX7OdTPPbUICvGO1w_xFGorWbtBWLu</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Asrori, A. M. (2023, 13 Oktober). Indeks literasi Al-Qur'an kategori tinggi, Kemenag berkomitmen perkuat pembelajaran Qur'an. </w:t>
      </w:r>
      <w:r>
        <w:rPr>
          <w:rFonts w:ascii="Times New Roman" w:hAnsi="Times New Roman" w:cs="Times New Roman" w:eastAsia="Times New Roman"/>
          <w:b w:val="0"/>
          <w:i/>
          <w:sz w:val="24"/>
          <w:szCs w:val="24"/>
        </w:rPr>
        <w:t>NU Online</w:t>
      </w:r>
      <w:r>
        <w:rPr>
          <w:rFonts w:ascii="Times New Roman" w:hAnsi="Times New Roman" w:cs="Times New Roman" w:eastAsia="Times New Roman"/>
          <w:b w:val="0"/>
          <w:i w:val="0"/>
          <w:sz w:val="24"/>
          <w:szCs w:val="24"/>
        </w:rPr>
        <w:t>. https://nu.or.id/nasional/indeks-literasi-al-qur-an-kategori-tinggi-kemenag-berkomitmen-perkuat-pembelajaran-qur-an-eoKUd</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Bisnis.com. (2025, 6 Agustus). Data APJII: Pengguna internet di Indonesia tembus 229,43 juta orang pada 2025. https://teknologi.bisnis.com/read/20250806/101/1899997/data-apjii-pengguna-internet-di-indonesia-tembus-22943-juta-orang-pada-2025</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Brooke, J. (1996). SUS: A "quick and dirty" usability scale. Dalam P. W. Jordan, B. Thomas, B. A. Weerdmeester, &amp; I. L. McClelland (Ed.), </w:t>
      </w:r>
      <w:r>
        <w:rPr>
          <w:rFonts w:ascii="Times New Roman" w:hAnsi="Times New Roman" w:cs="Times New Roman" w:eastAsia="Times New Roman"/>
          <w:b w:val="0"/>
          <w:i/>
          <w:sz w:val="24"/>
          <w:szCs w:val="24"/>
        </w:rPr>
        <w:t>Usability evaluation in industry</w:t>
      </w:r>
      <w:r>
        <w:rPr>
          <w:rFonts w:ascii="Times New Roman" w:hAnsi="Times New Roman" w:cs="Times New Roman" w:eastAsia="Times New Roman"/>
          <w:b w:val="0"/>
          <w:i w:val="0"/>
          <w:sz w:val="24"/>
          <w:szCs w:val="24"/>
        </w:rPr>
        <w:t xml:space="preserve"> (hlm. 189–194). Taylor &amp; Francis.</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Brown, T. (2008). Design thinking. </w:t>
      </w:r>
      <w:r>
        <w:rPr>
          <w:rFonts w:ascii="Times New Roman" w:hAnsi="Times New Roman" w:cs="Times New Roman" w:eastAsia="Times New Roman"/>
          <w:b w:val="0"/>
          <w:i/>
          <w:sz w:val="24"/>
          <w:szCs w:val="24"/>
        </w:rPr>
        <w:t>Harvard Business Review, 86</w:t>
      </w:r>
      <w:r>
        <w:rPr>
          <w:rFonts w:ascii="Times New Roman" w:hAnsi="Times New Roman" w:cs="Times New Roman" w:eastAsia="Times New Roman"/>
          <w:b w:val="0"/>
          <w:i w:val="0"/>
          <w:sz w:val="24"/>
          <w:szCs w:val="24"/>
        </w:rPr>
        <w:t>(6), 84–92.</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Cohen, J. (1960). A coefficient of agreement for nominal scales. </w:t>
      </w:r>
      <w:r>
        <w:rPr>
          <w:rFonts w:ascii="Times New Roman" w:hAnsi="Times New Roman" w:cs="Times New Roman" w:eastAsia="Times New Roman"/>
          <w:b w:val="0"/>
          <w:i/>
          <w:sz w:val="24"/>
          <w:szCs w:val="24"/>
        </w:rPr>
        <w:t>Educational and Psychological Measurement, 20</w:t>
      </w:r>
      <w:r>
        <w:rPr>
          <w:rFonts w:ascii="Times New Roman" w:hAnsi="Times New Roman" w:cs="Times New Roman" w:eastAsia="Times New Roman"/>
          <w:b w:val="0"/>
          <w:i w:val="0"/>
          <w:sz w:val="24"/>
          <w:szCs w:val="24"/>
        </w:rPr>
        <w:t>(1), 37–46. https://doi.org/10.1177/001316446002000104</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Creswell, J. W., &amp; Creswell, J. D. (2018). </w:t>
      </w:r>
      <w:r>
        <w:rPr>
          <w:rFonts w:ascii="Times New Roman" w:hAnsi="Times New Roman" w:cs="Times New Roman" w:eastAsia="Times New Roman"/>
          <w:b w:val="0"/>
          <w:i/>
          <w:sz w:val="24"/>
          <w:szCs w:val="24"/>
        </w:rPr>
        <w:t>Research design: Qualitative, quantitative, and mixed methods approaches</w:t>
      </w:r>
      <w:r>
        <w:rPr>
          <w:rFonts w:ascii="Times New Roman" w:hAnsi="Times New Roman" w:cs="Times New Roman" w:eastAsia="Times New Roman"/>
          <w:b w:val="0"/>
          <w:i w:val="0"/>
          <w:sz w:val="24"/>
          <w:szCs w:val="24"/>
        </w:rPr>
        <w:t xml:space="preserve"> (Edisi ke-5). SAGE Publications.</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Databoks. (2024, 8 Agustus). Mayoritas penduduk Indonesia beragama Islam pada semester I 2024. </w:t>
      </w:r>
      <w:r>
        <w:rPr>
          <w:rFonts w:ascii="Times New Roman" w:hAnsi="Times New Roman" w:cs="Times New Roman" w:eastAsia="Times New Roman"/>
          <w:b w:val="0"/>
          <w:i/>
          <w:sz w:val="24"/>
          <w:szCs w:val="24"/>
        </w:rPr>
        <w:t>Katadata</w:t>
      </w:r>
      <w:r>
        <w:rPr>
          <w:rFonts w:ascii="Times New Roman" w:hAnsi="Times New Roman" w:cs="Times New Roman" w:eastAsia="Times New Roman"/>
          <w:b w:val="0"/>
          <w:i w:val="0"/>
          <w:sz w:val="24"/>
          <w:szCs w:val="24"/>
        </w:rPr>
        <w:t>. https://databoks.katadata.co.id/datapublish/2024/08/08/mayoritas-penduduk-indonesia-beragama-islam-pada-semester-i-2024</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Direktorat Pembelajaran dan Kemahasiswaan. (2025). </w:t>
      </w:r>
      <w:r>
        <w:rPr>
          <w:rFonts w:ascii="Times New Roman" w:hAnsi="Times New Roman" w:cs="Times New Roman" w:eastAsia="Times New Roman"/>
          <w:b w:val="0"/>
          <w:i/>
          <w:sz w:val="24"/>
          <w:szCs w:val="24"/>
        </w:rPr>
        <w:t>Panduan Musabaqah Tilawatil Qur'an Mahasiswa Nasional ke-XVIII tahun 2025</w:t>
      </w:r>
      <w:r>
        <w:rPr>
          <w:rFonts w:ascii="Times New Roman" w:hAnsi="Times New Roman" w:cs="Times New Roman" w:eastAsia="Times New Roman"/>
          <w:b w:val="0"/>
          <w:i w:val="0"/>
          <w:sz w:val="24"/>
          <w:szCs w:val="24"/>
        </w:rPr>
        <w:t>. Direktorat Jenderal Pendidikan Tinggi, Kementerian Pendidikan Tinggi, Sains, dan Teknologi Republik Indonesia.</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Google. (t.t.). </w:t>
      </w:r>
      <w:r>
        <w:rPr>
          <w:rFonts w:ascii="Times New Roman" w:hAnsi="Times New Roman" w:cs="Times New Roman" w:eastAsia="Times New Roman"/>
          <w:b w:val="0"/>
          <w:i/>
          <w:sz w:val="24"/>
          <w:szCs w:val="24"/>
        </w:rPr>
        <w:t>YouTube API Services: Developer policies</w:t>
      </w:r>
      <w:r>
        <w:rPr>
          <w:rFonts w:ascii="Times New Roman" w:hAnsi="Times New Roman" w:cs="Times New Roman" w:eastAsia="Times New Roman"/>
          <w:b w:val="0"/>
          <w:i w:val="0"/>
          <w:sz w:val="24"/>
          <w:szCs w:val="24"/>
        </w:rPr>
        <w:t>. Diakses 18 Oktober 2026, dari https://developers.google.com/youtube/terms/developer-policies</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Infobank. (2025, 26 Februari). Ngaji.ai hadirkan fitur baru bantu khatam Al-Qur'an selama Ramadan. </w:t>
      </w:r>
      <w:r>
        <w:rPr>
          <w:rFonts w:ascii="Times New Roman" w:hAnsi="Times New Roman" w:cs="Times New Roman" w:eastAsia="Times New Roman"/>
          <w:b w:val="0"/>
          <w:i/>
          <w:sz w:val="24"/>
          <w:szCs w:val="24"/>
        </w:rPr>
        <w:t>Infobanknews</w:t>
      </w:r>
      <w:r>
        <w:rPr>
          <w:rFonts w:ascii="Times New Roman" w:hAnsi="Times New Roman" w:cs="Times New Roman" w:eastAsia="Times New Roman"/>
          <w:b w:val="0"/>
          <w:i w:val="0"/>
          <w:sz w:val="24"/>
          <w:szCs w:val="24"/>
        </w:rPr>
        <w:t>. https://infobanknews.com/ngaji-ai-hadirkan-fitur-baru-bantu-khatam-al-quran-selama-ramadan</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Katz, W. F., &amp; Mehta, S. (2015). Visual feedback of tongue movement for novel speech sound learning. </w:t>
      </w:r>
      <w:r>
        <w:rPr>
          <w:rFonts w:ascii="Times New Roman" w:hAnsi="Times New Roman" w:cs="Times New Roman" w:eastAsia="Times New Roman"/>
          <w:b w:val="0"/>
          <w:i/>
          <w:sz w:val="24"/>
          <w:szCs w:val="24"/>
        </w:rPr>
        <w:t>Frontiers in Human Neuroscience, 9</w:t>
      </w:r>
      <w:r>
        <w:rPr>
          <w:rFonts w:ascii="Times New Roman" w:hAnsi="Times New Roman" w:cs="Times New Roman" w:eastAsia="Times New Roman"/>
          <w:b w:val="0"/>
          <w:i w:val="0"/>
          <w:sz w:val="24"/>
          <w:szCs w:val="24"/>
        </w:rPr>
        <w:t>, 612. https://doi.org/10.3389/fnhum.2015.00612</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Mayer, R. E. (2009). </w:t>
      </w:r>
      <w:r>
        <w:rPr>
          <w:rFonts w:ascii="Times New Roman" w:hAnsi="Times New Roman" w:cs="Times New Roman" w:eastAsia="Times New Roman"/>
          <w:b w:val="0"/>
          <w:i/>
          <w:sz w:val="24"/>
          <w:szCs w:val="24"/>
        </w:rPr>
        <w:t>Multimedia learning</w:t>
      </w:r>
      <w:r>
        <w:rPr>
          <w:rFonts w:ascii="Times New Roman" w:hAnsi="Times New Roman" w:cs="Times New Roman" w:eastAsia="Times New Roman"/>
          <w:b w:val="0"/>
          <w:i w:val="0"/>
          <w:sz w:val="24"/>
          <w:szCs w:val="24"/>
        </w:rPr>
        <w:t xml:space="preserve"> (Edisi ke-2). Cambridge University Press.</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NU Online. (2023, 12 Oktober). Gandeng LK3P UI, Kemenag rilis hasil survei indeks literasi Al-Qur'an. https://nu.or.id/nasional/gandeng-lk3p-ui-kemenag-rilis-hasil-survei-indeks-literasi-al-qur-an-hpt3q</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Salim, S. M. (2007). </w:t>
      </w:r>
      <w:r>
        <w:rPr>
          <w:rFonts w:ascii="Times New Roman" w:hAnsi="Times New Roman" w:cs="Times New Roman" w:eastAsia="Times New Roman"/>
          <w:b w:val="0"/>
          <w:i/>
          <w:sz w:val="24"/>
          <w:szCs w:val="24"/>
        </w:rPr>
        <w:t>Fath Rabb al-Bariyyah: Syarh al-Muqaddimah al-Jazariyyah fi 'ilm at-tajwid</w:t>
      </w:r>
      <w:r>
        <w:rPr>
          <w:rFonts w:ascii="Times New Roman" w:hAnsi="Times New Roman" w:cs="Times New Roman" w:eastAsia="Times New Roman"/>
          <w:b w:val="0"/>
          <w:i w:val="0"/>
          <w:sz w:val="24"/>
          <w:szCs w:val="24"/>
        </w:rPr>
        <w:t xml:space="preserve"> (Edisi ke-4). Dar al-Ghautsani li ad-Dirasat al-Qur'aniyyah.</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Sauro, J., &amp; Lewis, J. R. (2016). </w:t>
      </w:r>
      <w:r>
        <w:rPr>
          <w:rFonts w:ascii="Times New Roman" w:hAnsi="Times New Roman" w:cs="Times New Roman" w:eastAsia="Times New Roman"/>
          <w:b w:val="0"/>
          <w:i/>
          <w:sz w:val="24"/>
          <w:szCs w:val="24"/>
        </w:rPr>
        <w:t>Quantifying the user experience: Practical statistics for user research</w:t>
      </w:r>
      <w:r>
        <w:rPr>
          <w:rFonts w:ascii="Times New Roman" w:hAnsi="Times New Roman" w:cs="Times New Roman" w:eastAsia="Times New Roman"/>
          <w:b w:val="0"/>
          <w:i w:val="0"/>
          <w:sz w:val="24"/>
          <w:szCs w:val="24"/>
        </w:rPr>
        <w:t xml:space="preserve"> (Edisi ke-2). Morgan Kaufmann.</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Schwaber, K., &amp; Sutherland, J. (2020). </w:t>
      </w:r>
      <w:r>
        <w:rPr>
          <w:rFonts w:ascii="Times New Roman" w:hAnsi="Times New Roman" w:cs="Times New Roman" w:eastAsia="Times New Roman"/>
          <w:b w:val="0"/>
          <w:i/>
          <w:sz w:val="24"/>
          <w:szCs w:val="24"/>
        </w:rPr>
        <w:t>The Scrum guide</w:t>
      </w:r>
      <w:r>
        <w:rPr>
          <w:rFonts w:ascii="Times New Roman" w:hAnsi="Times New Roman" w:cs="Times New Roman" w:eastAsia="Times New Roman"/>
          <w:b w:val="0"/>
          <w:i w:val="0"/>
          <w:sz w:val="24"/>
          <w:szCs w:val="24"/>
        </w:rPr>
        <w:t>. https://scrumguides.org/scrum-guide.html</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Suryo, A. (2024, 6 Februari). Ngaji.ai, belajar mengaji kini bisa pakai AI. </w:t>
      </w:r>
      <w:r>
        <w:rPr>
          <w:rFonts w:ascii="Times New Roman" w:hAnsi="Times New Roman" w:cs="Times New Roman" w:eastAsia="Times New Roman"/>
          <w:b w:val="0"/>
          <w:i/>
          <w:sz w:val="24"/>
          <w:szCs w:val="24"/>
        </w:rPr>
        <w:t>detikInet</w:t>
      </w:r>
      <w:r>
        <w:rPr>
          <w:rFonts w:ascii="Times New Roman" w:hAnsi="Times New Roman" w:cs="Times New Roman" w:eastAsia="Times New Roman"/>
          <w:b w:val="0"/>
          <w:i w:val="0"/>
          <w:sz w:val="24"/>
          <w:szCs w:val="24"/>
        </w:rPr>
        <w:t>. https://inet.detik.com/mobile-apps/d-7179292/ngaji-ai-belajar-mengaji-kini-bisa-pakai-ai</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Suwaid, A. R. (2014). </w:t>
      </w:r>
      <w:r>
        <w:rPr>
          <w:rFonts w:ascii="Times New Roman" w:hAnsi="Times New Roman" w:cs="Times New Roman" w:eastAsia="Times New Roman"/>
          <w:b w:val="0"/>
          <w:i/>
          <w:sz w:val="24"/>
          <w:szCs w:val="24"/>
        </w:rPr>
        <w:t>At-Tajwid al-mushawwar</w:t>
      </w:r>
      <w:r>
        <w:rPr>
          <w:rFonts w:ascii="Times New Roman" w:hAnsi="Times New Roman" w:cs="Times New Roman" w:eastAsia="Times New Roman"/>
          <w:b w:val="0"/>
          <w:i w:val="0"/>
          <w:sz w:val="24"/>
          <w:szCs w:val="24"/>
        </w:rPr>
        <w:t xml:space="preserve"> (Jilid 1–2). Dar al-Ghautsani li ad-Dirasat al-Qur'aniyyah.</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Suwaid, A. R. (t.t.). </w:t>
      </w:r>
      <w:r>
        <w:rPr>
          <w:rFonts w:ascii="Times New Roman" w:hAnsi="Times New Roman" w:cs="Times New Roman" w:eastAsia="Times New Roman"/>
          <w:b w:val="0"/>
          <w:i/>
          <w:sz w:val="24"/>
          <w:szCs w:val="24"/>
        </w:rPr>
        <w:t>Silsilat al-huruf al-'Arabiyyah</w:t>
      </w:r>
      <w:r>
        <w:rPr>
          <w:rFonts w:ascii="Times New Roman" w:hAnsi="Times New Roman" w:cs="Times New Roman" w:eastAsia="Times New Roman"/>
          <w:b w:val="0"/>
          <w:i w:val="0"/>
          <w:sz w:val="24"/>
          <w:szCs w:val="24"/>
        </w:rPr>
        <w:t xml:space="preserve"> [Daftar putar video]. YouTube. https://www.youtube.com/playlist?list=PLJi21Zen45zT3XYozZ4BMaFxzuFb4xGcz</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Tanzil Project. (t.t.). </w:t>
      </w:r>
      <w:r>
        <w:rPr>
          <w:rFonts w:ascii="Times New Roman" w:hAnsi="Times New Roman" w:cs="Times New Roman" w:eastAsia="Times New Roman"/>
          <w:b w:val="0"/>
          <w:i/>
          <w:sz w:val="24"/>
          <w:szCs w:val="24"/>
        </w:rPr>
        <w:t>Quran text license</w:t>
      </w:r>
      <w:r>
        <w:rPr>
          <w:rFonts w:ascii="Times New Roman" w:hAnsi="Times New Roman" w:cs="Times New Roman" w:eastAsia="Times New Roman"/>
          <w:b w:val="0"/>
          <w:i w:val="0"/>
          <w:sz w:val="24"/>
          <w:szCs w:val="24"/>
        </w:rPr>
        <w:t>. Diakses 18 Oktober 2026, dari https://tanzil.net/docs/text_license</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Tarteel. (t.t.). </w:t>
      </w:r>
      <w:r>
        <w:rPr>
          <w:rFonts w:ascii="Times New Roman" w:hAnsi="Times New Roman" w:cs="Times New Roman" w:eastAsia="Times New Roman"/>
          <w:b w:val="0"/>
          <w:i/>
          <w:sz w:val="24"/>
          <w:szCs w:val="24"/>
        </w:rPr>
        <w:t>Introducing mistake detection</w:t>
      </w:r>
      <w:r>
        <w:rPr>
          <w:rFonts w:ascii="Times New Roman" w:hAnsi="Times New Roman" w:cs="Times New Roman" w:eastAsia="Times New Roman"/>
          <w:b w:val="0"/>
          <w:i w:val="0"/>
          <w:sz w:val="24"/>
          <w:szCs w:val="24"/>
        </w:rPr>
        <w:t>. Diakses 18 Oktober 2026, dari https://tarteel.ai/blog/introducing-mistake-detection/</w:t>
      </w:r>
    </w:p>
    <w:p>
      <w:r>
        <w:br w:type="page"/>
      </w:r>
    </w:p>
    <w:p>
      <w:pPr>
        <w:keepNext/>
        <w:widowControl/>
        <w:spacing w:line="276" w:lineRule="auto" w:before="0" w:after="120"/>
        <w:ind w:left="0" w:firstLine="0"/>
        <w:jc w:val="center"/>
      </w:pPr>
      <w:r>
        <w:rPr>
          <w:rFonts w:ascii="Times New Roman" w:hAnsi="Times New Roman" w:cs="Times New Roman" w:eastAsia="Times New Roman"/>
          <w:b/>
          <w:i w:val="0"/>
          <w:sz w:val="24"/>
          <w:szCs w:val="24"/>
          <w:bCs/>
        </w:rPr>
        <w:t>LAMPIRAN</w:t>
      </w:r>
    </w:p>
    <w:p>
      <w:pPr>
        <w:keepNext w:val="0"/>
        <w:widowControl/>
        <w:spacing w:line="276" w:lineRule="auto" w:before="0" w:after="60"/>
        <w:ind w:left="0" w:firstLine="0"/>
        <w:jc w:val="both"/>
      </w:pPr>
      <w:r>
        <w:rPr>
          <w:rFonts w:ascii="Times New Roman" w:hAnsi="Times New Roman" w:cs="Times New Roman" w:eastAsia="Times New Roman"/>
          <w:b w:val="0"/>
          <w:i w:val="0"/>
          <w:sz w:val="24"/>
          <w:szCs w:val="24"/>
        </w:rPr>
        <w:t>Lampiran ini berisi materi pendukung dan berada di luar batas 8-10 halaman isi proposal (Bagian 1-10 dan Daftar Pustaka).</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 xml:space="preserve">Lampiran 1. Hasil Pencocokan Materi dengan </w:t>
      </w:r>
      <w:r>
        <w:rPr>
          <w:rFonts w:ascii="Times New Roman" w:hAnsi="Times New Roman" w:cs="Times New Roman" w:eastAsia="Times New Roman"/>
          <w:b/>
          <w:i/>
          <w:sz w:val="24"/>
          <w:szCs w:val="24"/>
          <w:bCs/>
        </w:rPr>
        <w:t>Fath Rabb al-Bariyyah</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Data materi aplikasi dicocokkan dengan bab "Makharij al-Huruf" dan "Shifat al-Huruf" dalam </w:t>
      </w:r>
      <w:r>
        <w:rPr>
          <w:rFonts w:ascii="Times New Roman" w:hAnsi="Times New Roman" w:cs="Times New Roman" w:eastAsia="Times New Roman"/>
          <w:b w:val="0"/>
          <w:i/>
          <w:sz w:val="24"/>
          <w:szCs w:val="24"/>
        </w:rPr>
        <w:t>Fath Rabb al-Bariyyah</w:t>
      </w:r>
      <w:r>
        <w:rPr>
          <w:rFonts w:ascii="Times New Roman" w:hAnsi="Times New Roman" w:cs="Times New Roman" w:eastAsia="Times New Roman"/>
          <w:b w:val="0"/>
          <w:i w:val="0"/>
          <w:sz w:val="24"/>
          <w:szCs w:val="24"/>
        </w:rPr>
        <w:t xml:space="preserve"> (Salim, 2007), syarah </w:t>
      </w:r>
      <w:r>
        <w:rPr>
          <w:rFonts w:ascii="Times New Roman" w:hAnsi="Times New Roman" w:cs="Times New Roman" w:eastAsia="Times New Roman"/>
          <w:b w:val="0"/>
          <w:i/>
          <w:sz w:val="24"/>
          <w:szCs w:val="24"/>
        </w:rPr>
        <w:t>Al-Muqaddimah al-Jazariyyah</w:t>
      </w:r>
      <w:r>
        <w:rPr>
          <w:rFonts w:ascii="Times New Roman" w:hAnsi="Times New Roman" w:cs="Times New Roman" w:eastAsia="Times New Roman"/>
          <w:b w:val="0"/>
          <w:i w:val="0"/>
          <w:sz w:val="24"/>
          <w:szCs w:val="24"/>
        </w:rPr>
        <w:t xml:space="preserve">. Tabel A memuat seluruh butir yang diperiksa. Butir yang perlu disesuaikan masih berupa usulan dan baru diterapkan setelah disetujui pengajar tahsin bersanad. Beberapa rincian tidak dibahas dalam kitab ini, yaitu "bagian bibir yang basah" pada </w:t>
      </w:r>
      <w:r>
        <w:rPr>
          <w:rFonts w:ascii="Times New Roman" w:hAnsi="Times New Roman" w:cs="Times New Roman" w:eastAsia="Times New Roman"/>
          <w:b w:val="0"/>
          <w:i w:val="0"/>
          <w:sz w:val="24"/>
          <w:szCs w:val="24"/>
          <w:rtl/>
        </w:rPr>
        <w:t>ب</w:t>
      </w:r>
      <w:r>
        <w:rPr>
          <w:rFonts w:ascii="Times New Roman" w:hAnsi="Times New Roman" w:cs="Times New Roman" w:eastAsia="Times New Roman"/>
          <w:b w:val="0"/>
          <w:i w:val="0"/>
          <w:sz w:val="24"/>
          <w:szCs w:val="24"/>
        </w:rPr>
        <w:t xml:space="preserve">, perbandingan </w:t>
      </w:r>
      <w:r>
        <w:rPr>
          <w:rFonts w:ascii="Times New Roman" w:hAnsi="Times New Roman" w:cs="Times New Roman" w:eastAsia="Times New Roman"/>
          <w:b w:val="0"/>
          <w:i w:val="0"/>
          <w:sz w:val="24"/>
          <w:szCs w:val="24"/>
          <w:rtl/>
        </w:rPr>
        <w:t>ب</w:t>
      </w:r>
      <w:r>
        <w:rPr>
          <w:rFonts w:ascii="Times New Roman" w:hAnsi="Times New Roman" w:cs="Times New Roman" w:eastAsia="Times New Roman"/>
          <w:b w:val="0"/>
          <w:i w:val="0"/>
          <w:sz w:val="24"/>
          <w:szCs w:val="24"/>
        </w:rPr>
        <w:t xml:space="preserve"> dengan bunyi /p/, perumpamaan bunyi </w:t>
      </w:r>
      <w:r>
        <w:rPr>
          <w:rFonts w:ascii="Times New Roman" w:hAnsi="Times New Roman" w:cs="Times New Roman" w:eastAsia="Times New Roman"/>
          <w:b w:val="0"/>
          <w:i w:val="0"/>
          <w:sz w:val="24"/>
          <w:szCs w:val="24"/>
          <w:rtl/>
        </w:rPr>
        <w:t>ح</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val="0"/>
          <w:sz w:val="24"/>
          <w:szCs w:val="24"/>
          <w:rtl/>
        </w:rPr>
        <w:t>ه</w:t>
      </w:r>
      <w:r>
        <w:rPr>
          <w:rFonts w:ascii="Times New Roman" w:hAnsi="Times New Roman" w:cs="Times New Roman" w:eastAsia="Times New Roman"/>
          <w:b w:val="0"/>
          <w:i w:val="0"/>
          <w:sz w:val="24"/>
          <w:szCs w:val="24"/>
        </w:rPr>
        <w:t xml:space="preserve">, serta bentuk ilustrasi penampang. Rincian tersebut diperiksa dalam </w:t>
      </w:r>
      <w:r>
        <w:rPr>
          <w:rFonts w:ascii="Times New Roman" w:hAnsi="Times New Roman" w:cs="Times New Roman" w:eastAsia="Times New Roman"/>
          <w:b w:val="0"/>
          <w:i/>
          <w:sz w:val="24"/>
          <w:szCs w:val="24"/>
        </w:rPr>
        <w:t>At-Tajwid al-Mushawwar</w:t>
      </w:r>
      <w:r>
        <w:rPr>
          <w:rFonts w:ascii="Times New Roman" w:hAnsi="Times New Roman" w:cs="Times New Roman" w:eastAsia="Times New Roman"/>
          <w:b w:val="0"/>
          <w:i w:val="0"/>
          <w:sz w:val="24"/>
          <w:szCs w:val="24"/>
        </w:rPr>
        <w:t xml:space="preserve"> dan dikonfirmasi kepada pengajar, sedangkan ilustrasi dibandingkan dengan gambar makhraj di dalam kitab.</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A. </w:t>
      </w:r>
      <w:r>
        <w:rPr>
          <w:rFonts w:ascii="Times New Roman" w:hAnsi="Times New Roman" w:cs="Times New Roman" w:eastAsia="Times New Roman"/>
          <w:b w:val="0"/>
          <w:i w:val="0"/>
          <w:sz w:val="24"/>
          <w:szCs w:val="24"/>
        </w:rPr>
        <w:t xml:space="preserve">Pencocokan materi aplikasi dengan </w:t>
      </w:r>
      <w:r>
        <w:rPr>
          <w:rFonts w:ascii="Times New Roman" w:hAnsi="Times New Roman" w:cs="Times New Roman" w:eastAsia="Times New Roman"/>
          <w:b w:val="0"/>
          <w:i/>
          <w:sz w:val="24"/>
          <w:szCs w:val="24"/>
        </w:rPr>
        <w:t>Fath Rabb al-Bariyyah</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402"/>
        <w:gridCol w:w="3855"/>
        <w:gridCol w:w="1531"/>
      </w:tblGrid>
      <w:tr>
        <w:trPr>
          <w:cantSplit/>
          <w:tblHeader/>
        </w:trPr>
        <w:tc>
          <w:tcPr>
            <w:tcW w:type="dxa" w:w="3402"/>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Butir materi aplikasi</w:t>
            </w:r>
          </w:p>
        </w:tc>
        <w:tc>
          <w:tcPr>
            <w:tcW w:type="dxa" w:w="3855"/>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Keterangan kitab</w:t>
            </w:r>
          </w:p>
        </w:tc>
        <w:tc>
          <w:tcPr>
            <w:tcW w:type="dxa" w:w="153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Hasil</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17 titik makhraj dalam 5 area (</w:t>
            </w:r>
            <w:r>
              <w:rPr>
                <w:rFonts w:ascii="Times New Roman" w:hAnsi="Times New Roman" w:cs="Times New Roman" w:eastAsia="Times New Roman"/>
                <w:b w:val="0"/>
                <w:i/>
                <w:sz w:val="20"/>
                <w:szCs w:val="20"/>
              </w:rPr>
              <w:t>jauf</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halq</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lisan</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syafatain</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khaisyum</w:t>
            </w:r>
            <w:r>
              <w:rPr>
                <w:rFonts w:ascii="Times New Roman" w:hAnsi="Times New Roman" w:cs="Times New Roman" w:eastAsia="Times New Roman"/>
                <w:b w:val="0"/>
                <w:i w:val="0"/>
                <w:sz w:val="20"/>
                <w:szCs w:val="20"/>
              </w:rPr>
              <w:t>)</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Pendapat yang dipilih: 17 makhraj khusus dalam 5 makhraj umum</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Al-jauf</w:t>
            </w:r>
            <w:r>
              <w:rPr>
                <w:rFonts w:ascii="Times New Roman" w:hAnsi="Times New Roman" w:cs="Times New Roman" w:eastAsia="Times New Roman"/>
                <w:b w:val="0"/>
                <w:i w:val="0"/>
                <w:sz w:val="20"/>
                <w:szCs w:val="20"/>
              </w:rPr>
              <w:t>: rongga mulut dan tenggorokan, tempat huruf mad (alif, wau, ya)</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Ruang kosong di dalam mulut dan tenggorokan; tempat alif, wau, dan ya mad</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Al-halq</w:t>
            </w:r>
            <w:r>
              <w:rPr>
                <w:rFonts w:ascii="Times New Roman" w:hAnsi="Times New Roman" w:cs="Times New Roman" w:eastAsia="Times New Roman"/>
                <w:b w:val="0"/>
                <w:i w:val="0"/>
                <w:sz w:val="20"/>
                <w:szCs w:val="20"/>
              </w:rPr>
              <w:t>: pangkal (</w:t>
            </w:r>
            <w:r>
              <w:rPr>
                <w:rFonts w:ascii="Times New Roman" w:hAnsi="Times New Roman" w:cs="Times New Roman" w:eastAsia="Times New Roman"/>
                <w:b w:val="0"/>
                <w:i w:val="0"/>
                <w:sz w:val="20"/>
                <w:szCs w:val="20"/>
                <w:rtl/>
              </w:rPr>
              <w:t>ء</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ه</w:t>
            </w:r>
            <w:r>
              <w:rPr>
                <w:rFonts w:ascii="Times New Roman" w:hAnsi="Times New Roman" w:cs="Times New Roman" w:eastAsia="Times New Roman"/>
                <w:b w:val="0"/>
                <w:i w:val="0"/>
                <w:sz w:val="20"/>
                <w:szCs w:val="20"/>
              </w:rPr>
              <w:t>), tengah (</w:t>
            </w:r>
            <w:r>
              <w:rPr>
                <w:rFonts w:ascii="Times New Roman" w:hAnsi="Times New Roman" w:cs="Times New Roman" w:eastAsia="Times New Roman"/>
                <w:b w:val="0"/>
                <w:i w:val="0"/>
                <w:sz w:val="20"/>
                <w:szCs w:val="20"/>
                <w:rtl/>
              </w:rPr>
              <w:t>ع</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ح</w:t>
            </w:r>
            <w:r>
              <w:rPr>
                <w:rFonts w:ascii="Times New Roman" w:hAnsi="Times New Roman" w:cs="Times New Roman" w:eastAsia="Times New Roman"/>
                <w:b w:val="0"/>
                <w:i w:val="0"/>
                <w:sz w:val="20"/>
                <w:szCs w:val="20"/>
              </w:rPr>
              <w:t>), ujung (</w:t>
            </w:r>
            <w:r>
              <w:rPr>
                <w:rFonts w:ascii="Times New Roman" w:hAnsi="Times New Roman" w:cs="Times New Roman" w:eastAsia="Times New Roman"/>
                <w:b w:val="0"/>
                <w:i w:val="0"/>
                <w:sz w:val="20"/>
                <w:szCs w:val="20"/>
                <w:rtl/>
              </w:rPr>
              <w:t>غ</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خ</w:t>
            </w:r>
            <w:r>
              <w:rPr>
                <w:rFonts w:ascii="Times New Roman" w:hAnsi="Times New Roman" w:cs="Times New Roman" w:eastAsia="Times New Roman"/>
                <w:b w:val="0"/>
                <w:i w:val="0"/>
                <w:sz w:val="20"/>
                <w:szCs w:val="20"/>
              </w:rPr>
              <w:t>)</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Aqsha</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wasath</w:t>
            </w:r>
            <w:r>
              <w:rPr>
                <w:rFonts w:ascii="Times New Roman" w:hAnsi="Times New Roman" w:cs="Times New Roman" w:eastAsia="Times New Roman"/>
                <w:b w:val="0"/>
                <w:i w:val="0"/>
                <w:sz w:val="20"/>
                <w:szCs w:val="20"/>
              </w:rPr>
              <w:t xml:space="preserve">, dan </w:t>
            </w:r>
            <w:r>
              <w:rPr>
                <w:rFonts w:ascii="Times New Roman" w:hAnsi="Times New Roman" w:cs="Times New Roman" w:eastAsia="Times New Roman"/>
                <w:b w:val="0"/>
                <w:i/>
                <w:sz w:val="20"/>
                <w:szCs w:val="20"/>
              </w:rPr>
              <w:t>adna al-halq</w:t>
            </w:r>
            <w:r>
              <w:rPr>
                <w:rFonts w:ascii="Times New Roman" w:hAnsi="Times New Roman" w:cs="Times New Roman" w:eastAsia="Times New Roman"/>
                <w:b w:val="0"/>
                <w:i w:val="0"/>
                <w:sz w:val="20"/>
                <w:szCs w:val="20"/>
              </w:rPr>
              <w:t xml:space="preserve"> dengan pembagian yang sama</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Al-lisan</w:t>
            </w:r>
            <w:r>
              <w:rPr>
                <w:rFonts w:ascii="Times New Roman" w:hAnsi="Times New Roman" w:cs="Times New Roman" w:eastAsia="Times New Roman"/>
                <w:b w:val="0"/>
                <w:i w:val="0"/>
                <w:sz w:val="20"/>
                <w:szCs w:val="20"/>
              </w:rPr>
              <w:t>: 18 huruf</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Sepuluh makhraj di lidah dengan total 18 huruf</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Asy-syafatain</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ب</w:t>
            </w:r>
            <w:r>
              <w:rPr>
                <w:rFonts w:ascii="Times New Roman" w:hAnsi="Times New Roman" w:cs="Times New Roman" w:eastAsia="Times New Roman"/>
                <w:b w:val="0"/>
                <w:i w:val="0"/>
                <w:sz w:val="20"/>
                <w:szCs w:val="20"/>
              </w:rPr>
              <w:t xml:space="preserve"> dan </w:t>
            </w:r>
            <w:r>
              <w:rPr>
                <w:rFonts w:ascii="Times New Roman" w:hAnsi="Times New Roman" w:cs="Times New Roman" w:eastAsia="Times New Roman"/>
                <w:b w:val="0"/>
                <w:i w:val="0"/>
                <w:sz w:val="20"/>
                <w:szCs w:val="20"/>
                <w:rtl/>
              </w:rPr>
              <w:t>م</w:t>
            </w:r>
            <w:r>
              <w:rPr>
                <w:rFonts w:ascii="Times New Roman" w:hAnsi="Times New Roman" w:cs="Times New Roman" w:eastAsia="Times New Roman"/>
                <w:b w:val="0"/>
                <w:i w:val="0"/>
                <w:sz w:val="20"/>
                <w:szCs w:val="20"/>
              </w:rPr>
              <w:t xml:space="preserve"> dengan merapatkan bibir; </w:t>
            </w:r>
            <w:r>
              <w:rPr>
                <w:rFonts w:ascii="Times New Roman" w:hAnsi="Times New Roman" w:cs="Times New Roman" w:eastAsia="Times New Roman"/>
                <w:b w:val="0"/>
                <w:i w:val="0"/>
                <w:sz w:val="20"/>
                <w:szCs w:val="20"/>
                <w:rtl/>
              </w:rPr>
              <w:t>ف</w:t>
            </w:r>
            <w:r>
              <w:rPr>
                <w:rFonts w:ascii="Times New Roman" w:hAnsi="Times New Roman" w:cs="Times New Roman" w:eastAsia="Times New Roman"/>
                <w:b w:val="0"/>
                <w:i w:val="0"/>
                <w:sz w:val="20"/>
                <w:szCs w:val="20"/>
              </w:rPr>
              <w:t xml:space="preserve"> dari bibir bawah dan gigi atas</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Dua bibir bertemu rapat; </w:t>
            </w:r>
            <w:r>
              <w:rPr>
                <w:rFonts w:ascii="Times New Roman" w:hAnsi="Times New Roman" w:cs="Times New Roman" w:eastAsia="Times New Roman"/>
                <w:b w:val="0"/>
                <w:i w:val="0"/>
                <w:sz w:val="20"/>
                <w:szCs w:val="20"/>
                <w:rtl/>
              </w:rPr>
              <w:t>ف</w:t>
            </w:r>
            <w:r>
              <w:rPr>
                <w:rFonts w:ascii="Times New Roman" w:hAnsi="Times New Roman" w:cs="Times New Roman" w:eastAsia="Times New Roman"/>
                <w:b w:val="0"/>
                <w:i w:val="0"/>
                <w:sz w:val="20"/>
                <w:szCs w:val="20"/>
              </w:rPr>
              <w:t xml:space="preserve"> dari bagian dalam bibir bawah dengan ujung gigi seri atas</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Al-khaisyum</w:t>
            </w:r>
            <w:r>
              <w:rPr>
                <w:rFonts w:ascii="Times New Roman" w:hAnsi="Times New Roman" w:cs="Times New Roman" w:eastAsia="Times New Roman"/>
                <w:b w:val="0"/>
                <w:i w:val="0"/>
                <w:sz w:val="20"/>
                <w:szCs w:val="20"/>
              </w:rPr>
              <w:t>: tempat dengung (</w:t>
            </w:r>
            <w:r>
              <w:rPr>
                <w:rFonts w:ascii="Times New Roman" w:hAnsi="Times New Roman" w:cs="Times New Roman" w:eastAsia="Times New Roman"/>
                <w:b w:val="0"/>
                <w:i/>
                <w:sz w:val="20"/>
                <w:szCs w:val="20"/>
              </w:rPr>
              <w:t>ghunnah</w:t>
            </w:r>
            <w:r>
              <w:rPr>
                <w:rFonts w:ascii="Times New Roman" w:hAnsi="Times New Roman" w:cs="Times New Roman" w:eastAsia="Times New Roman"/>
                <w:b w:val="0"/>
                <w:i w:val="0"/>
                <w:sz w:val="20"/>
                <w:szCs w:val="20"/>
              </w:rPr>
              <w:t xml:space="preserve">) pada </w:t>
            </w:r>
            <w:r>
              <w:rPr>
                <w:rFonts w:ascii="Times New Roman" w:hAnsi="Times New Roman" w:cs="Times New Roman" w:eastAsia="Times New Roman"/>
                <w:b w:val="0"/>
                <w:i w:val="0"/>
                <w:sz w:val="20"/>
                <w:szCs w:val="20"/>
                <w:rtl/>
              </w:rPr>
              <w:t>ن</w:t>
            </w:r>
            <w:r>
              <w:rPr>
                <w:rFonts w:ascii="Times New Roman" w:hAnsi="Times New Roman" w:cs="Times New Roman" w:eastAsia="Times New Roman"/>
                <w:b w:val="0"/>
                <w:i w:val="0"/>
                <w:sz w:val="20"/>
                <w:szCs w:val="20"/>
              </w:rPr>
              <w:t xml:space="preserve"> dan </w:t>
            </w:r>
            <w:r>
              <w:rPr>
                <w:rFonts w:ascii="Times New Roman" w:hAnsi="Times New Roman" w:cs="Times New Roman" w:eastAsia="Times New Roman"/>
                <w:b w:val="0"/>
                <w:i w:val="0"/>
                <w:sz w:val="20"/>
                <w:szCs w:val="20"/>
                <w:rtl/>
              </w:rPr>
              <w:t>م</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Ghunnah</w:t>
            </w:r>
            <w:r>
              <w:rPr>
                <w:rFonts w:ascii="Times New Roman" w:hAnsi="Times New Roman" w:cs="Times New Roman" w:eastAsia="Times New Roman"/>
                <w:b w:val="0"/>
                <w:i w:val="0"/>
                <w:sz w:val="20"/>
                <w:szCs w:val="20"/>
              </w:rPr>
              <w:t xml:space="preserve"> keluar dari </w:t>
            </w:r>
            <w:r>
              <w:rPr>
                <w:rFonts w:ascii="Times New Roman" w:hAnsi="Times New Roman" w:cs="Times New Roman" w:eastAsia="Times New Roman"/>
                <w:b w:val="0"/>
                <w:i/>
                <w:sz w:val="20"/>
                <w:szCs w:val="20"/>
              </w:rPr>
              <w:t>khaisyum</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Enam sifat </w:t>
            </w:r>
            <w:r>
              <w:rPr>
                <w:rFonts w:ascii="Times New Roman" w:hAnsi="Times New Roman" w:cs="Times New Roman" w:eastAsia="Times New Roman"/>
                <w:b w:val="0"/>
                <w:i w:val="0"/>
                <w:sz w:val="20"/>
                <w:szCs w:val="20"/>
                <w:rtl/>
              </w:rPr>
              <w:t>ب</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jahr</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syiddah</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istifal</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infitah</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idzlaq</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qalqalah</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tl/>
              </w:rPr>
              <w:t>ب</w:t>
            </w:r>
            <w:r>
              <w:rPr>
                <w:rFonts w:ascii="Times New Roman" w:hAnsi="Times New Roman" w:cs="Times New Roman" w:eastAsia="Times New Roman"/>
                <w:b w:val="0"/>
                <w:i w:val="0"/>
                <w:sz w:val="20"/>
                <w:szCs w:val="20"/>
              </w:rPr>
              <w:t xml:space="preserve"> tidak termasuk huruf </w:t>
            </w:r>
            <w:r>
              <w:rPr>
                <w:rFonts w:ascii="Times New Roman" w:hAnsi="Times New Roman" w:cs="Times New Roman" w:eastAsia="Times New Roman"/>
                <w:b w:val="0"/>
                <w:i/>
                <w:sz w:val="20"/>
                <w:szCs w:val="20"/>
              </w:rPr>
              <w:t>hams</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isti'la</w:t>
            </w:r>
            <w:r>
              <w:rPr>
                <w:rFonts w:ascii="Times New Roman" w:hAnsi="Times New Roman" w:cs="Times New Roman" w:eastAsia="Times New Roman"/>
                <w:b w:val="0"/>
                <w:i w:val="0"/>
                <w:sz w:val="20"/>
                <w:szCs w:val="20"/>
              </w:rPr>
              <w:t xml:space="preserve">, dan </w:t>
            </w:r>
            <w:r>
              <w:rPr>
                <w:rFonts w:ascii="Times New Roman" w:hAnsi="Times New Roman" w:cs="Times New Roman" w:eastAsia="Times New Roman"/>
                <w:b w:val="0"/>
                <w:i/>
                <w:sz w:val="20"/>
                <w:szCs w:val="20"/>
              </w:rPr>
              <w:t>ithbaq</w:t>
            </w:r>
            <w:r>
              <w:rPr>
                <w:rFonts w:ascii="Times New Roman" w:hAnsi="Times New Roman" w:cs="Times New Roman" w:eastAsia="Times New Roman"/>
                <w:b w:val="0"/>
                <w:i w:val="0"/>
                <w:sz w:val="20"/>
                <w:szCs w:val="20"/>
              </w:rPr>
              <w:t xml:space="preserve">; termasuk huruf </w:t>
            </w:r>
            <w:r>
              <w:rPr>
                <w:rFonts w:ascii="Times New Roman" w:hAnsi="Times New Roman" w:cs="Times New Roman" w:eastAsia="Times New Roman"/>
                <w:b w:val="0"/>
                <w:i/>
                <w:sz w:val="20"/>
                <w:szCs w:val="20"/>
              </w:rPr>
              <w:t>syiddah</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idzlaq</w:t>
            </w:r>
            <w:r>
              <w:rPr>
                <w:rFonts w:ascii="Times New Roman" w:hAnsi="Times New Roman" w:cs="Times New Roman" w:eastAsia="Times New Roman"/>
                <w:b w:val="0"/>
                <w:i w:val="0"/>
                <w:sz w:val="20"/>
                <w:szCs w:val="20"/>
              </w:rPr>
              <w:t xml:space="preserve">, dan </w:t>
            </w:r>
            <w:r>
              <w:rPr>
                <w:rFonts w:ascii="Times New Roman" w:hAnsi="Times New Roman" w:cs="Times New Roman" w:eastAsia="Times New Roman"/>
                <w:b w:val="0"/>
                <w:i/>
                <w:sz w:val="20"/>
                <w:szCs w:val="20"/>
              </w:rPr>
              <w:t>qalqalah</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Arti </w:t>
            </w:r>
            <w:r>
              <w:rPr>
                <w:rFonts w:ascii="Times New Roman" w:hAnsi="Times New Roman" w:cs="Times New Roman" w:eastAsia="Times New Roman"/>
                <w:b w:val="0"/>
                <w:i/>
                <w:sz w:val="20"/>
                <w:szCs w:val="20"/>
              </w:rPr>
              <w:t>jahr</w:t>
            </w:r>
            <w:r>
              <w:rPr>
                <w:rFonts w:ascii="Times New Roman" w:hAnsi="Times New Roman" w:cs="Times New Roman" w:eastAsia="Times New Roman"/>
                <w:b w:val="0"/>
                <w:i w:val="0"/>
                <w:sz w:val="20"/>
                <w:szCs w:val="20"/>
              </w:rPr>
              <w:t xml:space="preserve"> "napas tertahan" dan </w:t>
            </w:r>
            <w:r>
              <w:rPr>
                <w:rFonts w:ascii="Times New Roman" w:hAnsi="Times New Roman" w:cs="Times New Roman" w:eastAsia="Times New Roman"/>
                <w:b w:val="0"/>
                <w:i/>
                <w:sz w:val="20"/>
                <w:szCs w:val="20"/>
              </w:rPr>
              <w:t>syiddah</w:t>
            </w:r>
            <w:r>
              <w:rPr>
                <w:rFonts w:ascii="Times New Roman" w:hAnsi="Times New Roman" w:cs="Times New Roman" w:eastAsia="Times New Roman"/>
                <w:b w:val="0"/>
                <w:i w:val="0"/>
                <w:sz w:val="20"/>
                <w:szCs w:val="20"/>
              </w:rPr>
              <w:t xml:space="preserve"> "suara tertahan" pada </w:t>
            </w:r>
            <w:r>
              <w:rPr>
                <w:rFonts w:ascii="Times New Roman" w:hAnsi="Times New Roman" w:cs="Times New Roman" w:eastAsia="Times New Roman"/>
                <w:b w:val="0"/>
                <w:i w:val="0"/>
                <w:sz w:val="20"/>
                <w:szCs w:val="20"/>
                <w:rtl/>
              </w:rPr>
              <w:t>ب</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Jahr</w:t>
            </w:r>
            <w:r>
              <w:rPr>
                <w:rFonts w:ascii="Times New Roman" w:hAnsi="Times New Roman" w:cs="Times New Roman" w:eastAsia="Times New Roman"/>
                <w:b w:val="0"/>
                <w:i w:val="0"/>
                <w:sz w:val="20"/>
                <w:szCs w:val="20"/>
              </w:rPr>
              <w:t xml:space="preserve">: tertahannya napas; </w:t>
            </w:r>
            <w:r>
              <w:rPr>
                <w:rFonts w:ascii="Times New Roman" w:hAnsi="Times New Roman" w:cs="Times New Roman" w:eastAsia="Times New Roman"/>
                <w:b w:val="0"/>
                <w:i/>
                <w:sz w:val="20"/>
                <w:szCs w:val="20"/>
              </w:rPr>
              <w:t>syiddah</w:t>
            </w:r>
            <w:r>
              <w:rPr>
                <w:rFonts w:ascii="Times New Roman" w:hAnsi="Times New Roman" w:cs="Times New Roman" w:eastAsia="Times New Roman"/>
                <w:b w:val="0"/>
                <w:i w:val="0"/>
                <w:sz w:val="20"/>
                <w:szCs w:val="20"/>
              </w:rPr>
              <w:t>: tertahannya suara</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Qalqalah</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ب</w:t>
            </w:r>
            <w:r>
              <w:rPr>
                <w:rFonts w:ascii="Times New Roman" w:hAnsi="Times New Roman" w:cs="Times New Roman" w:eastAsia="Times New Roman"/>
                <w:b w:val="0"/>
                <w:i w:val="0"/>
                <w:sz w:val="20"/>
                <w:szCs w:val="20"/>
              </w:rPr>
              <w:t xml:space="preserve"> hanya saat bersukun (latihan </w:t>
            </w:r>
            <w:r>
              <w:rPr>
                <w:rFonts w:ascii="Times New Roman" w:hAnsi="Times New Roman" w:cs="Times New Roman" w:eastAsia="Times New Roman"/>
                <w:b w:val="0"/>
                <w:i w:val="0"/>
                <w:sz w:val="20"/>
                <w:szCs w:val="20"/>
                <w:rtl/>
              </w:rPr>
              <w:t>أَبْ</w:t>
            </w:r>
            <w:r>
              <w:rPr>
                <w:rFonts w:ascii="Times New Roman" w:hAnsi="Times New Roman" w:cs="Times New Roman" w:eastAsia="Times New Roman"/>
                <w:b w:val="0"/>
                <w:i w:val="0"/>
                <w:sz w:val="20"/>
                <w:szCs w:val="20"/>
              </w:rPr>
              <w:t>)</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Syarat </w:t>
            </w:r>
            <w:r>
              <w:rPr>
                <w:rFonts w:ascii="Times New Roman" w:hAnsi="Times New Roman" w:cs="Times New Roman" w:eastAsia="Times New Roman"/>
                <w:b w:val="0"/>
                <w:i/>
                <w:sz w:val="20"/>
                <w:szCs w:val="20"/>
              </w:rPr>
              <w:t>qalqalah</w:t>
            </w:r>
            <w:r>
              <w:rPr>
                <w:rFonts w:ascii="Times New Roman" w:hAnsi="Times New Roman" w:cs="Times New Roman" w:eastAsia="Times New Roman"/>
                <w:b w:val="0"/>
                <w:i w:val="0"/>
                <w:sz w:val="20"/>
                <w:szCs w:val="20"/>
              </w:rPr>
              <w:t>: hurufnya bersukun</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tl/>
              </w:rPr>
              <w:t>ح</w:t>
            </w:r>
            <w:r>
              <w:rPr>
                <w:rFonts w:ascii="Times New Roman" w:hAnsi="Times New Roman" w:cs="Times New Roman" w:eastAsia="Times New Roman"/>
                <w:b w:val="0"/>
                <w:i w:val="0"/>
                <w:sz w:val="20"/>
                <w:szCs w:val="20"/>
              </w:rPr>
              <w:t xml:space="preserve"> dari tengah tenggorokan, </w:t>
            </w:r>
            <w:r>
              <w:rPr>
                <w:rFonts w:ascii="Times New Roman" w:hAnsi="Times New Roman" w:cs="Times New Roman" w:eastAsia="Times New Roman"/>
                <w:b w:val="0"/>
                <w:i w:val="0"/>
                <w:sz w:val="20"/>
                <w:szCs w:val="20"/>
                <w:rtl/>
              </w:rPr>
              <w:t>ه</w:t>
            </w:r>
            <w:r>
              <w:rPr>
                <w:rFonts w:ascii="Times New Roman" w:hAnsi="Times New Roman" w:cs="Times New Roman" w:eastAsia="Times New Roman"/>
                <w:b w:val="0"/>
                <w:i w:val="0"/>
                <w:sz w:val="20"/>
                <w:szCs w:val="20"/>
              </w:rPr>
              <w:t xml:space="preserve"> dari pangkal tenggorokan (kuis huruf mirip)</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Pembagian yang sama</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Sesuai</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Khaisyum</w:t>
            </w:r>
            <w:r>
              <w:rPr>
                <w:rFonts w:ascii="Times New Roman" w:hAnsi="Times New Roman" w:cs="Times New Roman" w:eastAsia="Times New Roman"/>
                <w:b w:val="0"/>
                <w:i w:val="0"/>
                <w:sz w:val="20"/>
                <w:szCs w:val="20"/>
              </w:rPr>
              <w:t xml:space="preserve"> ditulis "pangkal hidung"</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Rongga hidung bagian dalam yang tersambung ke mulut</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Perlu disesuaikan</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tl/>
              </w:rPr>
              <w:t>و</w:t>
            </w:r>
            <w:r>
              <w:rPr>
                <w:rFonts w:ascii="Times New Roman" w:hAnsi="Times New Roman" w:cs="Times New Roman" w:eastAsia="Times New Roman"/>
                <w:b w:val="0"/>
                <w:i w:val="0"/>
                <w:sz w:val="20"/>
                <w:szCs w:val="20"/>
              </w:rPr>
              <w:t xml:space="preserve"> ditulis "dengan memonyongkan bibir"</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Dua bibir membulat dan terbuka, tidak dirapatkan</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Perlu disesuaikan</w:t>
            </w:r>
          </w:p>
        </w:tc>
      </w:tr>
      <w:tr>
        <w:trPr>
          <w:cantSplit/>
        </w:trPr>
        <w:tc>
          <w:tcPr>
            <w:tcW w:type="dxa" w:w="3402"/>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Istifal</w:t>
            </w:r>
            <w:r>
              <w:rPr>
                <w:rFonts w:ascii="Times New Roman" w:hAnsi="Times New Roman" w:cs="Times New Roman" w:eastAsia="Times New Roman"/>
                <w:b w:val="0"/>
                <w:i w:val="0"/>
                <w:sz w:val="20"/>
                <w:szCs w:val="20"/>
              </w:rPr>
              <w:t xml:space="preserve"> diartikan "tipis"</w:t>
            </w:r>
          </w:p>
        </w:tc>
        <w:tc>
          <w:tcPr>
            <w:tcW w:type="dxa" w:w="385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Pangkal lidah turun dari langit-langit; tipis adalah akibatnya</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Perlu disesuaikan</w:t>
            </w:r>
          </w:p>
        </w:tc>
      </w:tr>
      <w:tr>
        <w:trPr>
          <w:cantSplit/>
        </w:trPr>
        <w:tc>
          <w:tcPr>
            <w:tcW w:type="dxa" w:w="3402"/>
            <w:vAlign w:val="center"/>
          </w:tcPr>
          <w:p>
            <w:pPr>
              <w:keepNext w:val="0"/>
              <w:widowControl/>
              <w:spacing w:line="240" w:lineRule="auto" w:before="0" w:after="0"/>
              <w:ind w:left="0" w:firstLine="0"/>
              <w:jc w:val="left"/>
            </w:pPr>
            <w:r>
              <w:rPr>
                <w:rFonts w:ascii="Times New Roman" w:hAnsi="Times New Roman" w:cs="Times New Roman" w:eastAsia="Times New Roman"/>
                <w:b w:val="0"/>
                <w:i/>
                <w:sz w:val="20"/>
                <w:szCs w:val="20"/>
              </w:rPr>
              <w:t>Idzlaq</w:t>
            </w:r>
            <w:r>
              <w:rPr>
                <w:rFonts w:ascii="Times New Roman" w:hAnsi="Times New Roman" w:cs="Times New Roman" w:eastAsia="Times New Roman"/>
                <w:b w:val="0"/>
                <w:i w:val="0"/>
                <w:sz w:val="20"/>
                <w:szCs w:val="20"/>
              </w:rPr>
              <w:t xml:space="preserve"> diartikan "ringan diucapkan"</w:t>
            </w:r>
          </w:p>
        </w:tc>
        <w:tc>
          <w:tcPr>
            <w:tcW w:type="dxa" w:w="3855"/>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 xml:space="preserve">Definisi sesuai, tetapi </w:t>
            </w:r>
            <w:r>
              <w:rPr>
                <w:rFonts w:ascii="Times New Roman" w:hAnsi="Times New Roman" w:cs="Times New Roman" w:eastAsia="Times New Roman"/>
                <w:b w:val="0"/>
                <w:i/>
                <w:sz w:val="20"/>
                <w:szCs w:val="20"/>
              </w:rPr>
              <w:t>idzlaq</w:t>
            </w:r>
            <w:r>
              <w:rPr>
                <w:rFonts w:ascii="Times New Roman" w:hAnsi="Times New Roman" w:cs="Times New Roman" w:eastAsia="Times New Roman"/>
                <w:b w:val="0"/>
                <w:i w:val="0"/>
                <w:sz w:val="20"/>
                <w:szCs w:val="20"/>
              </w:rPr>
              <w:t xml:space="preserve"> tidak memengaruhi cara pelafalan</w:t>
            </w:r>
          </w:p>
        </w:tc>
        <w:tc>
          <w:tcPr>
            <w:tcW w:type="dxa" w:w="153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Perlu disesuaikan: tidak dijadikan bahan latihan</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Pemilihan enam pasangan huruf mirip juga diperiksa terhadap pola kesalahan penutur Indonesia. Suryana dkk. (2026) menemukan bahwa penutur dewasa berbahasa Jawa cenderung mengganti </w:t>
      </w:r>
      <w:r>
        <w:rPr>
          <w:rFonts w:ascii="Times New Roman" w:hAnsi="Times New Roman" w:cs="Times New Roman" w:eastAsia="Times New Roman"/>
          <w:b w:val="0"/>
          <w:i w:val="0"/>
          <w:sz w:val="24"/>
          <w:szCs w:val="24"/>
          <w:rtl/>
        </w:rPr>
        <w:t>ق</w:t>
      </w:r>
      <w:r>
        <w:rPr>
          <w:rFonts w:ascii="Times New Roman" w:hAnsi="Times New Roman" w:cs="Times New Roman" w:eastAsia="Times New Roman"/>
          <w:b w:val="0"/>
          <w:i w:val="0"/>
          <w:sz w:val="24"/>
          <w:szCs w:val="24"/>
        </w:rPr>
        <w:t xml:space="preserve"> dengan </w:t>
      </w:r>
      <w:r>
        <w:rPr>
          <w:rFonts w:ascii="Times New Roman" w:hAnsi="Times New Roman" w:cs="Times New Roman" w:eastAsia="Times New Roman"/>
          <w:b w:val="0"/>
          <w:i w:val="0"/>
          <w:sz w:val="24"/>
          <w:szCs w:val="24"/>
          <w:rtl/>
        </w:rPr>
        <w:t>ك</w:t>
      </w:r>
      <w:r>
        <w:rPr>
          <w:rFonts w:ascii="Times New Roman" w:hAnsi="Times New Roman" w:cs="Times New Roman" w:eastAsia="Times New Roman"/>
          <w:b w:val="0"/>
          <w:i w:val="0"/>
          <w:sz w:val="24"/>
          <w:szCs w:val="24"/>
        </w:rPr>
        <w:t xml:space="preserve">, sedangkan penutur berbahasa Sunda cenderung melemahkan </w:t>
      </w:r>
      <w:r>
        <w:rPr>
          <w:rFonts w:ascii="Times New Roman" w:hAnsi="Times New Roman" w:cs="Times New Roman" w:eastAsia="Times New Roman"/>
          <w:b w:val="0"/>
          <w:i w:val="0"/>
          <w:sz w:val="24"/>
          <w:szCs w:val="24"/>
          <w:rtl/>
        </w:rPr>
        <w:t>ع</w:t>
      </w:r>
      <w:r>
        <w:rPr>
          <w:rFonts w:ascii="Times New Roman" w:hAnsi="Times New Roman" w:cs="Times New Roman" w:eastAsia="Times New Roman"/>
          <w:b w:val="0"/>
          <w:i w:val="0"/>
          <w:sz w:val="24"/>
          <w:szCs w:val="24"/>
        </w:rPr>
        <w:t xml:space="preserve">. Temuan ini sejalan dengan pasangan </w:t>
      </w:r>
      <w:r>
        <w:rPr>
          <w:rFonts w:ascii="Times New Roman" w:hAnsi="Times New Roman" w:cs="Times New Roman" w:eastAsia="Times New Roman"/>
          <w:b w:val="0"/>
          <w:i w:val="0"/>
          <w:sz w:val="24"/>
          <w:szCs w:val="24"/>
          <w:rtl/>
        </w:rPr>
        <w:t>ق</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ك</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val="0"/>
          <w:sz w:val="24"/>
          <w:szCs w:val="24"/>
          <w:rtl/>
        </w:rPr>
        <w:t>ع</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ء</w:t>
      </w:r>
      <w:r>
        <w:rPr>
          <w:rFonts w:ascii="Times New Roman" w:hAnsi="Times New Roman" w:cs="Times New Roman" w:eastAsia="Times New Roman"/>
          <w:b w:val="0"/>
          <w:i w:val="0"/>
          <w:sz w:val="24"/>
          <w:szCs w:val="24"/>
        </w:rPr>
        <w:t xml:space="preserve"> di aplikasi. Pemetaan kesalahan yang lebih rinci, misalnya </w:t>
      </w:r>
      <w:r>
        <w:rPr>
          <w:rFonts w:ascii="Times New Roman" w:hAnsi="Times New Roman" w:cs="Times New Roman" w:eastAsia="Times New Roman"/>
          <w:b w:val="0"/>
          <w:i w:val="0"/>
          <w:sz w:val="24"/>
          <w:szCs w:val="24"/>
          <w:rtl/>
        </w:rPr>
        <w:t>ف</w:t>
      </w:r>
      <w:r>
        <w:rPr>
          <w:rFonts w:ascii="Times New Roman" w:hAnsi="Times New Roman" w:cs="Times New Roman" w:eastAsia="Times New Roman"/>
          <w:b w:val="0"/>
          <w:i w:val="0"/>
          <w:sz w:val="24"/>
          <w:szCs w:val="24"/>
        </w:rPr>
        <w:t xml:space="preserve"> menjadi /p/, belum dimasukkan ke materi karena sumbernya baru terbaca dari abstrak.</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2. Rincian Analisis Pasar dan SWOT</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Ukuran pasar dihitung dari jumlah penduduk Muslim (Databoks, 2024), proporsi survei literasi (Asrori, 2023), dan penetrasi internet (Bisnis.com, 2025). TAM = 245,97 juta × (100% − 44,57%) = 136,3 juta orang yang belum lancar membaca sesuai tajwid. SAM = TAM × 80,66% = 110,0 juta orang yang dapat dijangkau aplikasi. SOM = 100 ribu pengguna aktif bulanan pada tahun ketiga. Proporsi survei diterapkan pada seluruh penduduk Muslim, termasuk anak usia dini, sehingga TAM dan SAM merupakan batas atas. Gambar A menggambarkan ukuran pasar dan posisi Makhraj di antara aplikasi sejenis.</w:t>
      </w:r>
    </w:p>
    <w:p>
      <w:pPr>
        <w:keepNext/>
        <w:widowControl/>
        <w:spacing w:line="240" w:lineRule="auto" w:before="80" w:after="40"/>
        <w:ind w:left="0" w:firstLine="0"/>
        <w:jc w:val="center"/>
      </w:pPr>
      <w:r>
        <w:drawing>
          <wp:inline xmlns:a="http://schemas.openxmlformats.org/drawingml/2006/main" xmlns:pic="http://schemas.openxmlformats.org/drawingml/2006/picture">
            <wp:extent cx="5040000" cy="2180662"/>
            <wp:docPr id="10" name="Picture 10"/>
            <wp:cNvGraphicFramePr>
              <a:graphicFrameLocks noChangeAspect="1"/>
            </wp:cNvGraphicFramePr>
            <a:graphic>
              <a:graphicData uri="http://schemas.openxmlformats.org/drawingml/2006/picture">
                <pic:pic>
                  <pic:nvPicPr>
                    <pic:cNvPr id="0" name="fig03_pasar.png"/>
                    <pic:cNvPicPr/>
                  </pic:nvPicPr>
                  <pic:blipFill>
                    <a:blip r:embed="rId19"/>
                    <a:stretch>
                      <a:fillRect/>
                    </a:stretch>
                  </pic:blipFill>
                  <pic:spPr>
                    <a:xfrm>
                      <a:off x="0" y="0"/>
                      <a:ext cx="5040000" cy="2180662"/>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A. </w:t>
      </w:r>
      <w:r>
        <w:rPr>
          <w:rFonts w:ascii="Times New Roman" w:hAnsi="Times New Roman" w:cs="Times New Roman" w:eastAsia="Times New Roman"/>
          <w:b w:val="0"/>
          <w:i w:val="0"/>
          <w:sz w:val="24"/>
          <w:szCs w:val="24"/>
        </w:rPr>
        <w:t>Ukuran pasar dan posisi Makhraj terhadap aplikasi sejenis</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B. </w:t>
      </w:r>
      <w:r>
        <w:rPr>
          <w:rFonts w:ascii="Times New Roman" w:hAnsi="Times New Roman" w:cs="Times New Roman" w:eastAsia="Times New Roman"/>
          <w:b w:val="0"/>
          <w:i w:val="0"/>
          <w:sz w:val="24"/>
          <w:szCs w:val="24"/>
        </w:rPr>
        <w:t>Analisis SWOT Makhraj beserta mitigasinya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4394"/>
        <w:gridCol w:w="4394"/>
      </w:tblGrid>
      <w:tr>
        <w:trPr>
          <w:cantSplit/>
          <w:tblHeader/>
        </w:trPr>
        <w:tc>
          <w:tcPr>
            <w:tcW w:type="dxa" w:w="439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Kekuatan (</w:t>
            </w:r>
            <w:r>
              <w:rPr>
                <w:rFonts w:ascii="Times New Roman" w:hAnsi="Times New Roman" w:cs="Times New Roman" w:eastAsia="Times New Roman"/>
                <w:b/>
                <w:i/>
                <w:sz w:val="20"/>
                <w:szCs w:val="20"/>
                <w:bCs/>
              </w:rPr>
              <w:t>strengths</w:t>
            </w:r>
            <w:r>
              <w:rPr>
                <w:rFonts w:ascii="Times New Roman" w:hAnsi="Times New Roman" w:cs="Times New Roman" w:eastAsia="Times New Roman"/>
                <w:b/>
                <w:i w:val="0"/>
                <w:sz w:val="20"/>
                <w:szCs w:val="20"/>
                <w:bCs/>
              </w:rPr>
              <w:t>)</w:t>
            </w:r>
          </w:p>
        </w:tc>
        <w:tc>
          <w:tcPr>
            <w:tcW w:type="dxa" w:w="439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Kelemahan (</w:t>
            </w:r>
            <w:r>
              <w:rPr>
                <w:rFonts w:ascii="Times New Roman" w:hAnsi="Times New Roman" w:cs="Times New Roman" w:eastAsia="Times New Roman"/>
                <w:b/>
                <w:i/>
                <w:sz w:val="20"/>
                <w:szCs w:val="20"/>
                <w:bCs/>
              </w:rPr>
              <w:t>weaknesses</w:t>
            </w:r>
            <w:r>
              <w:rPr>
                <w:rFonts w:ascii="Times New Roman" w:hAnsi="Times New Roman" w:cs="Times New Roman" w:eastAsia="Times New Roman"/>
                <w:b/>
                <w:i w:val="0"/>
                <w:sz w:val="20"/>
                <w:szCs w:val="20"/>
                <w:bCs/>
              </w:rPr>
              <w:t>)</w:t>
            </w:r>
          </w:p>
        </w:tc>
      </w:tr>
      <w:tr>
        <w:trPr>
          <w:cantSplit/>
        </w:trPr>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Perpaduan penampang makhraj, contoh guru yang disebut namanya, latihan rekam, dan sorot huruf di mushaf dalam satu alur; rujukan guru bersanad yang jelas; materi dicocokkan dengan kitab syarah; inti gratis</w:t>
            </w:r>
          </w:p>
        </w:tc>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Belum ada penilaian otomatis pada MVP; contoh suara bergantung pada video pihak lain dan belum tersedia untuk </w:t>
            </w:r>
            <w:r>
              <w:rPr>
                <w:rFonts w:ascii="Times New Roman" w:hAnsi="Times New Roman" w:cs="Times New Roman" w:eastAsia="Times New Roman"/>
                <w:b w:val="0"/>
                <w:i w:val="0"/>
                <w:sz w:val="20"/>
                <w:szCs w:val="20"/>
                <w:rtl/>
              </w:rPr>
              <w:t>ا</w:t>
            </w:r>
            <w:r>
              <w:rPr>
                <w:rFonts w:ascii="Times New Roman" w:hAnsi="Times New Roman" w:cs="Times New Roman" w:eastAsia="Times New Roman"/>
                <w:b w:val="0"/>
                <w:i w:val="0"/>
                <w:sz w:val="20"/>
                <w:szCs w:val="20"/>
              </w:rPr>
              <w:t>; pelajaran rinci baru tiga huruf</w:t>
            </w:r>
          </w:p>
        </w:tc>
      </w:tr>
      <w:tr>
        <w:trPr>
          <w:cantSplit/>
        </w:trPr>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Peluang</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opportunities</w:t>
            </w:r>
            <w:r>
              <w:rPr>
                <w:rFonts w:ascii="Times New Roman" w:hAnsi="Times New Roman" w:cs="Times New Roman" w:eastAsia="Times New Roman"/>
                <w:b w:val="0"/>
                <w:i w:val="0"/>
                <w:sz w:val="20"/>
                <w:szCs w:val="20"/>
              </w:rPr>
              <w:t>)</w:t>
            </w:r>
          </w:p>
        </w:tc>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Ancaman</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sz w:val="20"/>
                <w:szCs w:val="20"/>
              </w:rPr>
              <w:t>threats</w:t>
            </w:r>
            <w:r>
              <w:rPr>
                <w:rFonts w:ascii="Times New Roman" w:hAnsi="Times New Roman" w:cs="Times New Roman" w:eastAsia="Times New Roman"/>
                <w:b w:val="0"/>
                <w:i w:val="0"/>
                <w:sz w:val="20"/>
                <w:szCs w:val="20"/>
              </w:rPr>
              <w:t>)</w:t>
            </w:r>
          </w:p>
        </w:tc>
      </w:tr>
      <w:tr>
        <w:trPr>
          <w:cantSplit/>
        </w:trPr>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Penetrasi internet 80,66%; program literasi Al-Qur'an pemerintah; kebutuhan tutorial baca Al-Qur'an di kampus; pengajar tahsin yang mencari penghasilan daring</w:t>
            </w:r>
          </w:p>
        </w:tc>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Pesaing dapat menambah materi makhraj; izin konten ditolak; retensi pengguna aplikasi edukasi rendah</w:t>
            </w:r>
          </w:p>
        </w:tc>
      </w:tr>
      <w:tr>
        <w:trPr>
          <w:cantSplit/>
        </w:trPr>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Mitigasi kelemahan</w:t>
            </w:r>
          </w:p>
        </w:tc>
        <w:tc>
          <w:tcPr>
            <w:tcW w:type="dxa" w:w="4394"/>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Mitigasi ancaman</w:t>
            </w:r>
          </w:p>
        </w:tc>
      </w:tr>
      <w:tr>
        <w:trPr>
          <w:cantSplit/>
        </w:trPr>
        <w:tc>
          <w:tcPr>
            <w:tcW w:type="dxa" w:w="439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 xml:space="preserve">Koreksi pengajar dibuka pada Tahap 2 sebelum penilaian AI; klip yang kosong diisi rekaman pengajar mitra bersanad; pelajaran 26 huruf disusun pada </w:t>
            </w:r>
            <w:r>
              <w:rPr>
                <w:rFonts w:ascii="Times New Roman" w:hAnsi="Times New Roman" w:cs="Times New Roman" w:eastAsia="Times New Roman"/>
                <w:b w:val="0"/>
                <w:i/>
                <w:sz w:val="20"/>
                <w:szCs w:val="20"/>
              </w:rPr>
              <w:t>sprint</w:t>
            </w:r>
            <w:r>
              <w:rPr>
                <w:rFonts w:ascii="Times New Roman" w:hAnsi="Times New Roman" w:cs="Times New Roman" w:eastAsia="Times New Roman"/>
                <w:b w:val="0"/>
                <w:i w:val="0"/>
                <w:sz w:val="20"/>
                <w:szCs w:val="20"/>
              </w:rPr>
              <w:t xml:space="preserve"> kedua</w:t>
            </w:r>
          </w:p>
        </w:tc>
        <w:tc>
          <w:tcPr>
            <w:tcW w:type="dxa" w:w="439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Keunggulan dijaga melalui validasi materi dan jaringan pengajar; jika izin kanal ditolak, seluruh klip diganti rekaman pengajar mitra; retensi dijaga dengan target harian kecil dan hari beruntun</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3. Pemetaan Model Bisnis dan Rencana Implementasi</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Lampiran ini memetakan cara Makhraj menciptakan, menyalurkan, dan menjaga nilainya. Seluruh angka keuangan merupakan asumsi perencanaan dalam juta rupiah dan akan diperbarui setelah uji pengguna.</w:t>
      </w:r>
    </w:p>
    <w:p>
      <w:pPr>
        <w:keepNext w:val="0"/>
        <w:widowControl/>
        <w:spacing w:line="276" w:lineRule="auto" w:before="0" w:after="60"/>
        <w:ind w:left="0" w:firstLine="0"/>
        <w:jc w:val="both"/>
      </w:pPr>
      <w:r>
        <w:rPr>
          <w:rFonts w:ascii="Times New Roman" w:hAnsi="Times New Roman" w:cs="Times New Roman" w:eastAsia="Times New Roman"/>
          <w:b/>
          <w:i w:val="0"/>
          <w:sz w:val="24"/>
          <w:szCs w:val="24"/>
          <w:bCs/>
        </w:rPr>
        <w:t>a. Kanvas model bisnis.</w:t>
      </w:r>
      <w:r>
        <w:rPr>
          <w:rFonts w:ascii="Times New Roman" w:hAnsi="Times New Roman" w:cs="Times New Roman" w:eastAsia="Times New Roman"/>
          <w:b w:val="0"/>
          <w:i w:val="0"/>
          <w:sz w:val="24"/>
          <w:szCs w:val="24"/>
        </w:rPr>
        <w:t xml:space="preserve"> Gambar B memetakan model bisnis Makhraj dengan kerangka </w:t>
      </w:r>
      <w:r>
        <w:rPr>
          <w:rFonts w:ascii="Times New Roman" w:hAnsi="Times New Roman" w:cs="Times New Roman" w:eastAsia="Times New Roman"/>
          <w:b w:val="0"/>
          <w:i/>
          <w:sz w:val="24"/>
          <w:szCs w:val="24"/>
        </w:rPr>
        <w:t>Business Model Canvas</w:t>
      </w:r>
      <w:r>
        <w:rPr>
          <w:rFonts w:ascii="Times New Roman" w:hAnsi="Times New Roman" w:cs="Times New Roman" w:eastAsia="Times New Roman"/>
          <w:b w:val="0"/>
          <w:i w:val="0"/>
          <w:sz w:val="24"/>
          <w:szCs w:val="24"/>
        </w:rPr>
        <w:t xml:space="preserve"> (Osterwalder &amp; Pigneur, 2010) dan dibaca mengikuti nomor blok, dari segmen pengguna sampai struktur biaya. Proposisi nilai di tengah menjadi pembeda utama: Makhraj tidak berhenti pada penilaian benar atau salah, tetapi menunjukkan letak kesalahan dan cara membetulkannya.</w:t>
      </w:r>
    </w:p>
    <w:p>
      <w:pPr>
        <w:keepNext/>
        <w:widowControl/>
        <w:spacing w:line="240" w:lineRule="auto" w:before="80" w:after="40"/>
        <w:ind w:left="0" w:firstLine="0"/>
        <w:jc w:val="center"/>
      </w:pPr>
      <w:r>
        <w:drawing>
          <wp:inline xmlns:a="http://schemas.openxmlformats.org/drawingml/2006/main" xmlns:pic="http://schemas.openxmlformats.org/drawingml/2006/picture">
            <wp:extent cx="5580000" cy="2762825"/>
            <wp:docPr id="11" name="Picture 11"/>
            <wp:cNvGraphicFramePr>
              <a:graphicFrameLocks noChangeAspect="1"/>
            </wp:cNvGraphicFramePr>
            <a:graphic>
              <a:graphicData uri="http://schemas.openxmlformats.org/drawingml/2006/picture">
                <pic:pic>
                  <pic:nvPicPr>
                    <pic:cNvPr id="0" name="fig11_bmc.png"/>
                    <pic:cNvPicPr/>
                  </pic:nvPicPr>
                  <pic:blipFill>
                    <a:blip r:embed="rId20"/>
                    <a:stretch>
                      <a:fillRect/>
                    </a:stretch>
                  </pic:blipFill>
                  <pic:spPr>
                    <a:xfrm>
                      <a:off x="0" y="0"/>
                      <a:ext cx="5580000" cy="2762825"/>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B. </w:t>
      </w:r>
      <w:r>
        <w:rPr>
          <w:rFonts w:ascii="Times New Roman" w:hAnsi="Times New Roman" w:cs="Times New Roman" w:eastAsia="Times New Roman"/>
          <w:b w:val="0"/>
          <w:i w:val="0"/>
          <w:sz w:val="24"/>
          <w:szCs w:val="24"/>
        </w:rPr>
        <w:t>Kanvas model bisnis Makhraj</w:t>
      </w:r>
    </w:p>
    <w:p>
      <w:pPr>
        <w:keepNext w:val="0"/>
        <w:widowControl/>
        <w:spacing w:line="276" w:lineRule="auto" w:before="0" w:after="60"/>
        <w:ind w:left="0" w:firstLine="0"/>
        <w:jc w:val="both"/>
      </w:pPr>
      <w:r>
        <w:rPr>
          <w:rFonts w:ascii="Times New Roman" w:hAnsi="Times New Roman" w:cs="Times New Roman" w:eastAsia="Times New Roman"/>
          <w:b/>
          <w:i w:val="0"/>
          <w:sz w:val="24"/>
          <w:szCs w:val="24"/>
          <w:bCs/>
        </w:rPr>
        <w:t>b. Aliran nilai dan dana.</w:t>
      </w:r>
      <w:r>
        <w:rPr>
          <w:rFonts w:ascii="Times New Roman" w:hAnsi="Times New Roman" w:cs="Times New Roman" w:eastAsia="Times New Roman"/>
          <w:b w:val="0"/>
          <w:i w:val="0"/>
          <w:sz w:val="24"/>
          <w:szCs w:val="24"/>
        </w:rPr>
        <w:t xml:space="preserve"> Gambar C menunjukkan pertukaran antarpihak. Pengguna hanya membayar koreksi oleh manusia, sedangkan materi tetap gratis. Bagi hasil 70% menjadi insentif bagi pengajar untuk bergabung, lembaga membayar dasbor kelas, dan mitra ZISWAF menerima laporan dampak atas subsidi yang diberikan.</w:t>
      </w:r>
    </w:p>
    <w:p>
      <w:pPr>
        <w:keepNext/>
        <w:widowControl/>
        <w:spacing w:line="240" w:lineRule="auto" w:before="80" w:after="40"/>
        <w:ind w:left="0" w:firstLine="0"/>
        <w:jc w:val="center"/>
      </w:pPr>
      <w:r>
        <w:drawing>
          <wp:inline xmlns:a="http://schemas.openxmlformats.org/drawingml/2006/main" xmlns:pic="http://schemas.openxmlformats.org/drawingml/2006/picture">
            <wp:extent cx="5040000" cy="2754545"/>
            <wp:docPr id="12" name="Picture 12"/>
            <wp:cNvGraphicFramePr>
              <a:graphicFrameLocks noChangeAspect="1"/>
            </wp:cNvGraphicFramePr>
            <a:graphic>
              <a:graphicData uri="http://schemas.openxmlformats.org/drawingml/2006/picture">
                <pic:pic>
                  <pic:nvPicPr>
                    <pic:cNvPr id="0" name="fig12_ekosistem.png"/>
                    <pic:cNvPicPr/>
                  </pic:nvPicPr>
                  <pic:blipFill>
                    <a:blip r:embed="rId21"/>
                    <a:stretch>
                      <a:fillRect/>
                    </a:stretch>
                  </pic:blipFill>
                  <pic:spPr>
                    <a:xfrm>
                      <a:off x="0" y="0"/>
                      <a:ext cx="5040000" cy="2754545"/>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C. </w:t>
      </w:r>
      <w:r>
        <w:rPr>
          <w:rFonts w:ascii="Times New Roman" w:hAnsi="Times New Roman" w:cs="Times New Roman" w:eastAsia="Times New Roman"/>
          <w:b w:val="0"/>
          <w:i w:val="0"/>
          <w:sz w:val="24"/>
          <w:szCs w:val="24"/>
        </w:rPr>
        <w:t>Aliran nilai dan aliran dana dalam ekosistem Makhraj</w:t>
      </w:r>
    </w:p>
    <w:p>
      <w:pPr>
        <w:keepNext w:val="0"/>
        <w:widowControl/>
        <w:spacing w:line="276" w:lineRule="auto" w:before="0" w:after="60"/>
        <w:ind w:left="0" w:firstLine="0"/>
        <w:jc w:val="both"/>
      </w:pPr>
      <w:r>
        <w:rPr>
          <w:rFonts w:ascii="Times New Roman" w:hAnsi="Times New Roman" w:cs="Times New Roman" w:eastAsia="Times New Roman"/>
          <w:b/>
          <w:i w:val="0"/>
          <w:sz w:val="24"/>
          <w:szCs w:val="24"/>
          <w:bCs/>
        </w:rPr>
        <w:t>c. Proyeksi keuangan.</w:t>
      </w:r>
      <w:r>
        <w:rPr>
          <w:rFonts w:ascii="Times New Roman" w:hAnsi="Times New Roman" w:cs="Times New Roman" w:eastAsia="Times New Roman"/>
          <w:b w:val="0"/>
          <w:i w:val="0"/>
          <w:sz w:val="24"/>
          <w:szCs w:val="24"/>
        </w:rPr>
        <w:t xml:space="preserve"> Tabel C dan Gambar Da merinci skenario dasar. Biaya pengembangan oleh tim tidak dihitung karena dikerjakan mahasiswa secara sukarela, dan dana ZISWAF tidak dicatat sebagai pendapatan karena seluruhnya disalurkan untuk subsidi setoran. Biaya Firebase memakai perkiraan riset tim (sekitar US$85 per bulan pada 100 ribu pengguna aktif, kurs Rp16.000) dan belum memasukkan biaya autentikasi di atas 50 ribu pengguna, yang dikendalikan dengan menghapus akun anonim yang tidak aktif.</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C. </w:t>
      </w:r>
      <w:r>
        <w:rPr>
          <w:rFonts w:ascii="Times New Roman" w:hAnsi="Times New Roman" w:cs="Times New Roman" w:eastAsia="Times New Roman"/>
          <w:b w:val="0"/>
          <w:i w:val="0"/>
          <w:sz w:val="24"/>
          <w:szCs w:val="24"/>
        </w:rPr>
        <w:t>Proyeksi biaya dan pendapatan Makhraj (juta rupiah)</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5159"/>
        <w:gridCol w:w="1191"/>
        <w:gridCol w:w="1191"/>
        <w:gridCol w:w="1247"/>
      </w:tblGrid>
      <w:tr>
        <w:trPr>
          <w:cantSplit/>
          <w:tblHeader/>
        </w:trPr>
        <w:tc>
          <w:tcPr>
            <w:tcW w:type="dxa" w:w="5159"/>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Komponen</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Tahun 1</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Tahun 2</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Tahun 3</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Target pengguna aktif bulanan</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5.000</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30.000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100.000</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Biaya</w:t>
            </w:r>
          </w:p>
        </w:tc>
        <w:tc>
          <w:tcPr>
            <w:tcW w:type="dxa" w:w="1191"/>
            <w:vAlign w:val="center"/>
          </w:tcPr>
          <w:p>
            <w:pPr>
              <w:keepNext/>
              <w:widowControl/>
              <w:spacing w:line="240" w:lineRule="auto" w:before="0" w:after="0"/>
              <w:ind w:left="0" w:firstLine="0"/>
              <w:jc w:val="center"/>
            </w:pPr>
          </w:p>
        </w:tc>
        <w:tc>
          <w:tcPr>
            <w:tcW w:type="dxa" w:w="1191"/>
            <w:vAlign w:val="center"/>
          </w:tcPr>
          <w:p>
            <w:pPr>
              <w:keepNext/>
              <w:widowControl/>
              <w:spacing w:line="240" w:lineRule="auto" w:before="0" w:after="0"/>
              <w:ind w:left="0" w:firstLine="0"/>
              <w:jc w:val="center"/>
            </w:pPr>
          </w:p>
        </w:tc>
        <w:tc>
          <w:tcPr>
            <w:tcW w:type="dxa" w:w="1247"/>
            <w:vAlign w:val="center"/>
          </w:tcPr>
          <w:p>
            <w:pPr>
              <w:keepNext/>
              <w:widowControl/>
              <w:spacing w:line="240" w:lineRule="auto" w:before="0" w:after="0"/>
              <w:ind w:left="0" w:firstLine="0"/>
              <w:jc w:val="center"/>
            </w:pP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Akun pengembang Google Play (sekali bayar, US$25)</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0,4</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Domain dan layanan Firebase (paket gratis pada Tahun 1, lalu sekitar US$25 dan US$85 per bulan)</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0,2</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5,0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16,6</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Honor tinjauan materi oleh pengajar tahsin bersanad</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3,0</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2,0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2,0</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Sewa GPU untuk melatih model penilai makhraj (Tahap 3)</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5,0</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Promosi dan kerja sama kampus</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1,0</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3,0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6,0</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Total biaya</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4,6</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10,0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29,6</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Pendapatan</w:t>
            </w:r>
          </w:p>
        </w:tc>
        <w:tc>
          <w:tcPr>
            <w:tcW w:type="dxa" w:w="1191"/>
            <w:vAlign w:val="center"/>
          </w:tcPr>
          <w:p>
            <w:pPr>
              <w:keepNext/>
              <w:widowControl/>
              <w:spacing w:line="240" w:lineRule="auto" w:before="0" w:after="0"/>
              <w:ind w:left="0" w:firstLine="0"/>
              <w:jc w:val="center"/>
            </w:pPr>
          </w:p>
        </w:tc>
        <w:tc>
          <w:tcPr>
            <w:tcW w:type="dxa" w:w="1191"/>
            <w:vAlign w:val="center"/>
          </w:tcPr>
          <w:p>
            <w:pPr>
              <w:keepNext/>
              <w:widowControl/>
              <w:spacing w:line="240" w:lineRule="auto" w:before="0" w:after="0"/>
              <w:ind w:left="0" w:firstLine="0"/>
              <w:jc w:val="center"/>
            </w:pPr>
          </w:p>
        </w:tc>
        <w:tc>
          <w:tcPr>
            <w:tcW w:type="dxa" w:w="1247"/>
            <w:vAlign w:val="center"/>
          </w:tcPr>
          <w:p>
            <w:pPr>
              <w:keepNext/>
              <w:widowControl/>
              <w:spacing w:line="240" w:lineRule="auto" w:before="0" w:after="0"/>
              <w:ind w:left="0" w:firstLine="0"/>
              <w:jc w:val="center"/>
            </w:pP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Setor ke Pengajar: 1% pengguna × 4 paket × Rp20.000, porsi operasional 30%</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7,2</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24,0</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Lisensi lembaga Rp0,3 juta per kelas (10 kelas, lalu 40 kelas)</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3,0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12,0</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Total pendapatan</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10,2</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36,0</w:t>
            </w:r>
          </w:p>
        </w:tc>
      </w:tr>
      <w:tr>
        <w:trPr>
          <w:cantSplit/>
        </w:trPr>
        <w:tc>
          <w:tcPr>
            <w:tcW w:type="dxa" w:w="5159"/>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Selisih tahunan</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−4,6</w:t>
            </w:r>
          </w:p>
        </w:tc>
        <w:tc>
          <w:tcPr>
            <w:tcW w:type="dxa" w:w="119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+0,2</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+6,4</w:t>
            </w:r>
          </w:p>
        </w:tc>
      </w:tr>
      <w:tr>
        <w:trPr>
          <w:cantSplit/>
        </w:trPr>
        <w:tc>
          <w:tcPr>
            <w:tcW w:type="dxa" w:w="5159"/>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Bagian pengajar mitra dari Setor ke Pengajar (70%)</w:t>
            </w:r>
          </w:p>
        </w:tc>
        <w:tc>
          <w:tcPr>
            <w:tcW w:type="dxa" w:w="1191"/>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w:t>
            </w:r>
          </w:p>
        </w:tc>
        <w:tc>
          <w:tcPr>
            <w:tcW w:type="dxa" w:w="1191"/>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16,8</w:t>
            </w:r>
          </w:p>
        </w:tc>
        <w:tc>
          <w:tcPr>
            <w:tcW w:type="dxa" w:w="1247"/>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56,0</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40" w:lineRule="auto" w:before="80" w:after="40"/>
        <w:ind w:left="0" w:firstLine="0"/>
        <w:jc w:val="center"/>
      </w:pPr>
      <w:r>
        <w:drawing>
          <wp:inline xmlns:a="http://schemas.openxmlformats.org/drawingml/2006/main" xmlns:pic="http://schemas.openxmlformats.org/drawingml/2006/picture">
            <wp:extent cx="5580000" cy="2186884"/>
            <wp:docPr id="13" name="Picture 13"/>
            <wp:cNvGraphicFramePr>
              <a:graphicFrameLocks noChangeAspect="1"/>
            </wp:cNvGraphicFramePr>
            <a:graphic>
              <a:graphicData uri="http://schemas.openxmlformats.org/drawingml/2006/picture">
                <pic:pic>
                  <pic:nvPicPr>
                    <pic:cNvPr id="0" name="fig13_keuangan.png"/>
                    <pic:cNvPicPr/>
                  </pic:nvPicPr>
                  <pic:blipFill>
                    <a:blip r:embed="rId22"/>
                    <a:stretch>
                      <a:fillRect/>
                    </a:stretch>
                  </pic:blipFill>
                  <pic:spPr>
                    <a:xfrm>
                      <a:off x="0" y="0"/>
                      <a:ext cx="5580000" cy="2186884"/>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D. </w:t>
      </w:r>
      <w:r>
        <w:rPr>
          <w:rFonts w:ascii="Times New Roman" w:hAnsi="Times New Roman" w:cs="Times New Roman" w:eastAsia="Times New Roman"/>
          <w:b w:val="0"/>
          <w:i w:val="0"/>
          <w:sz w:val="24"/>
          <w:szCs w:val="24"/>
        </w:rPr>
        <w:t>Proyeksi keuangan dan sensitivitas skenario Makhraj</w:t>
      </w:r>
    </w:p>
    <w:p>
      <w:pPr>
        <w:keepNext w:val="0"/>
        <w:widowControl/>
        <w:spacing w:line="276" w:lineRule="auto" w:before="0" w:after="60"/>
        <w:ind w:left="0" w:firstLine="0"/>
        <w:jc w:val="both"/>
      </w:pPr>
      <w:r>
        <w:rPr>
          <w:rFonts w:ascii="Times New Roman" w:hAnsi="Times New Roman" w:cs="Times New Roman" w:eastAsia="Times New Roman"/>
          <w:b/>
          <w:i w:val="0"/>
          <w:sz w:val="24"/>
          <w:szCs w:val="24"/>
          <w:bCs/>
        </w:rPr>
        <w:t>d. Uji skenario.</w:t>
      </w:r>
      <w:r>
        <w:rPr>
          <w:rFonts w:ascii="Times New Roman" w:hAnsi="Times New Roman" w:cs="Times New Roman" w:eastAsia="Times New Roman"/>
          <w:b w:val="0"/>
          <w:i w:val="0"/>
          <w:sz w:val="24"/>
          <w:szCs w:val="24"/>
        </w:rPr>
        <w:t xml:space="preserve"> Tabel D dan Gambar Db menguji tiga kombinasi jumlah pengguna, konversi, dan jumlah kelas. Biaya Firebase naik sebanding dengan jumlah pengguna. Pada skenario pesimis, defisit Rp9,4 juta ditutup dengan menunda sewa GPU, memangkas biaya promosi, dan memindahkan </w:t>
      </w:r>
      <w:r>
        <w:rPr>
          <w:rFonts w:ascii="Times New Roman" w:hAnsi="Times New Roman" w:cs="Times New Roman" w:eastAsia="Times New Roman"/>
          <w:b w:val="0"/>
          <w:i/>
          <w:sz w:val="24"/>
          <w:szCs w:val="24"/>
        </w:rPr>
        <w:t>hosting</w:t>
      </w:r>
      <w:r>
        <w:rPr>
          <w:rFonts w:ascii="Times New Roman" w:hAnsi="Times New Roman" w:cs="Times New Roman" w:eastAsia="Times New Roman"/>
          <w:b w:val="0"/>
          <w:i w:val="0"/>
          <w:sz w:val="24"/>
          <w:szCs w:val="24"/>
        </w:rPr>
        <w:t xml:space="preserve"> web ke layanan statis gratis. Dengan 100 ribu pengguna dan 40 kelas, titik impas tahunan tercapai pada konversi 0,73%.</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D. </w:t>
      </w:r>
      <w:r>
        <w:rPr>
          <w:rFonts w:ascii="Times New Roman" w:hAnsi="Times New Roman" w:cs="Times New Roman" w:eastAsia="Times New Roman"/>
          <w:b w:val="0"/>
          <w:i w:val="0"/>
          <w:sz w:val="24"/>
          <w:szCs w:val="24"/>
        </w:rPr>
        <w:t>Uji skenario pada Tahun 3 (juta rupiah)</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247"/>
        <w:gridCol w:w="1361"/>
        <w:gridCol w:w="1361"/>
        <w:gridCol w:w="1247"/>
        <w:gridCol w:w="1247"/>
        <w:gridCol w:w="1020"/>
        <w:gridCol w:w="1304"/>
      </w:tblGrid>
      <w:tr>
        <w:trPr>
          <w:cantSplit/>
          <w:tblHeader/>
        </w:trPr>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Skenario</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Pengguna aktif</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Konversi setoran</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Kelas lembaga</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Pendapatan</w:t>
            </w:r>
          </w:p>
        </w:tc>
        <w:tc>
          <w:tcPr>
            <w:tcW w:type="dxa" w:w="1020"/>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Biaya</w:t>
            </w:r>
          </w:p>
        </w:tc>
        <w:tc>
          <w:tcPr>
            <w:tcW w:type="dxa" w:w="130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Selisih</w:t>
            </w:r>
          </w:p>
        </w:tc>
      </w:tr>
      <w:tr>
        <w:trPr>
          <w:cantSplit/>
        </w:trPr>
        <w:tc>
          <w:tcPr>
            <w:tcW w:type="dxa" w:w="124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Pesimis</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50.000</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0,5%</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20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12,0</w:t>
            </w:r>
          </w:p>
        </w:tc>
        <w:tc>
          <w:tcPr>
            <w:tcW w:type="dxa" w:w="1020"/>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21,4</w:t>
            </w:r>
          </w:p>
        </w:tc>
        <w:tc>
          <w:tcPr>
            <w:tcW w:type="dxa" w:w="1304"/>
            <w:vAlign w:val="center"/>
          </w:tcPr>
          <w:p>
            <w:pPr>
              <w:keepNext/>
              <w:widowControl/>
              <w:spacing w:line="240" w:lineRule="auto" w:before="0" w:after="0"/>
              <w:ind w:left="0" w:firstLine="0"/>
              <w:jc w:val="center"/>
            </w:pPr>
            <w:r>
              <w:rPr>
                <w:rFonts w:ascii="Times New Roman" w:hAnsi="Times New Roman" w:cs="Times New Roman" w:eastAsia="Times New Roman"/>
                <w:b w:val="0"/>
                <w:i w:val="0"/>
                <w:sz w:val="20"/>
                <w:szCs w:val="20"/>
              </w:rPr>
              <w:t>−9,4</w:t>
            </w:r>
          </w:p>
        </w:tc>
      </w:tr>
      <w:tr>
        <w:trPr>
          <w:cantSplit/>
        </w:trPr>
        <w:tc>
          <w:tcPr>
            <w:tcW w:type="dxa" w:w="1247"/>
            <w:vAlign w:val="center"/>
          </w:tcPr>
          <w:p>
            <w:pPr>
              <w:keepNext/>
              <w:widowControl/>
              <w:spacing w:line="240" w:lineRule="auto" w:before="0" w:after="0"/>
              <w:ind w:left="0" w:firstLine="0"/>
              <w:jc w:val="left"/>
            </w:pPr>
            <w:r>
              <w:rPr>
                <w:rFonts w:ascii="Times New Roman" w:hAnsi="Times New Roman" w:cs="Times New Roman" w:eastAsia="Times New Roman"/>
                <w:b/>
                <w:i w:val="0"/>
                <w:sz w:val="20"/>
                <w:szCs w:val="20"/>
                <w:bCs/>
              </w:rPr>
              <w:t>Dasar</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100.000</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1%</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40</w:t>
            </w:r>
          </w:p>
        </w:tc>
        <w:tc>
          <w:tcPr>
            <w:tcW w:type="dxa" w:w="124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36,0</w:t>
            </w:r>
          </w:p>
        </w:tc>
        <w:tc>
          <w:tcPr>
            <w:tcW w:type="dxa" w:w="1020"/>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29,6</w:t>
            </w:r>
          </w:p>
        </w:tc>
        <w:tc>
          <w:tcPr>
            <w:tcW w:type="dxa" w:w="130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+6,4</w:t>
            </w:r>
          </w:p>
        </w:tc>
      </w:tr>
      <w:tr>
        <w:trPr>
          <w:cantSplit/>
        </w:trPr>
        <w:tc>
          <w:tcPr>
            <w:tcW w:type="dxa" w:w="1247"/>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Optimis</w:t>
            </w:r>
          </w:p>
        </w:tc>
        <w:tc>
          <w:tcPr>
            <w:tcW w:type="dxa" w:w="1361"/>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150.000</w:t>
            </w:r>
          </w:p>
        </w:tc>
        <w:tc>
          <w:tcPr>
            <w:tcW w:type="dxa" w:w="1361"/>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2%</w:t>
            </w:r>
          </w:p>
        </w:tc>
        <w:tc>
          <w:tcPr>
            <w:tcW w:type="dxa" w:w="1247"/>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80</w:t>
            </w:r>
          </w:p>
        </w:tc>
        <w:tc>
          <w:tcPr>
            <w:tcW w:type="dxa" w:w="1247"/>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96,0</w:t>
            </w:r>
          </w:p>
        </w:tc>
        <w:tc>
          <w:tcPr>
            <w:tcW w:type="dxa" w:w="1020"/>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37,7</w:t>
            </w:r>
          </w:p>
        </w:tc>
        <w:tc>
          <w:tcPr>
            <w:tcW w:type="dxa" w:w="1304"/>
            <w:vAlign w:val="center"/>
          </w:tcPr>
          <w:p>
            <w:pPr>
              <w:keepNext w:val="0"/>
              <w:widowControl/>
              <w:spacing w:line="240" w:lineRule="auto" w:before="0" w:after="0"/>
              <w:ind w:left="0" w:firstLine="0"/>
              <w:jc w:val="center"/>
            </w:pPr>
            <w:r>
              <w:rPr>
                <w:rFonts w:ascii="Times New Roman" w:hAnsi="Times New Roman" w:cs="Times New Roman" w:eastAsia="Times New Roman"/>
                <w:b w:val="0"/>
                <w:i w:val="0"/>
                <w:sz w:val="20"/>
                <w:szCs w:val="20"/>
              </w:rPr>
              <w:t>+58,3</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0"/>
        <w:jc w:val="both"/>
      </w:pPr>
      <w:r>
        <w:rPr>
          <w:rFonts w:ascii="Times New Roman" w:hAnsi="Times New Roman" w:cs="Times New Roman" w:eastAsia="Times New Roman"/>
          <w:b/>
          <w:i w:val="0"/>
          <w:sz w:val="24"/>
          <w:szCs w:val="24"/>
          <w:bCs/>
        </w:rPr>
        <w:t>e. Strategi pemasaran.</w:t>
      </w:r>
      <w:r>
        <w:rPr>
          <w:rFonts w:ascii="Times New Roman" w:hAnsi="Times New Roman" w:cs="Times New Roman" w:eastAsia="Times New Roman"/>
          <w:b w:val="0"/>
          <w:i w:val="0"/>
          <w:sz w:val="24"/>
          <w:szCs w:val="24"/>
        </w:rPr>
        <w:t xml:space="preserve"> Setiap segmen dijangkau melalui kanal yang sudah dipercaya segmen itu, dengan penawaran dan target awal pada Tabel E. Singkatan UKM berarti unit kegiatan mahasiswa, sedangkan LAZ berarti lembaga amil zakat.</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E. </w:t>
      </w:r>
      <w:r>
        <w:rPr>
          <w:rFonts w:ascii="Times New Roman" w:hAnsi="Times New Roman" w:cs="Times New Roman" w:eastAsia="Times New Roman"/>
          <w:b w:val="0"/>
          <w:i w:val="0"/>
          <w:sz w:val="24"/>
          <w:szCs w:val="24"/>
        </w:rPr>
        <w:t>Strategi pemasaran per segmen pengguna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757"/>
        <w:gridCol w:w="2494"/>
        <w:gridCol w:w="2608"/>
        <w:gridCol w:w="1928"/>
      </w:tblGrid>
      <w:tr>
        <w:trPr>
          <w:cantSplit/>
          <w:tblHeader/>
        </w:trPr>
        <w:tc>
          <w:tcPr>
            <w:tcW w:type="dxa" w:w="175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Segmen</w:t>
            </w:r>
          </w:p>
        </w:tc>
        <w:tc>
          <w:tcPr>
            <w:tcW w:type="dxa" w:w="249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Kanal utama</w:t>
            </w:r>
          </w:p>
        </w:tc>
        <w:tc>
          <w:tcPr>
            <w:tcW w:type="dxa" w:w="260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Penawaran</w:t>
            </w:r>
          </w:p>
        </w:tc>
        <w:tc>
          <w:tcPr>
            <w:tcW w:type="dxa" w:w="192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Target awal</w:t>
            </w:r>
          </w:p>
        </w:tc>
      </w:tr>
      <w:tr>
        <w:trPr>
          <w:cantSplit/>
        </w:trPr>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Mahasiswa dan pekerja muda</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Tutorial BTQ kampus, UKM kerohanian, dan media sosial</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Belajar privat tanpa canggung; peluang menjadi relawan pengajar</w:t>
            </w:r>
          </w:p>
        </w:tc>
        <w:tc>
          <w:tcPr>
            <w:tcW w:type="dxa" w:w="192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2.000 pengguna dari 5 kampus (Tahun 1)</w:t>
            </w:r>
          </w:p>
        </w:tc>
      </w:tr>
      <w:tr>
        <w:trPr>
          <w:cantSplit/>
        </w:trPr>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Orang tua dan anak</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TPQ, majelis taklim, dan grup orang tua</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Belajar bersama anak dengan inti gratis</w:t>
            </w:r>
          </w:p>
        </w:tc>
        <w:tc>
          <w:tcPr>
            <w:tcW w:type="dxa" w:w="192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1.500 keluarga (Tahun 1)</w:t>
            </w:r>
          </w:p>
        </w:tc>
      </w:tr>
      <w:tr>
        <w:trPr>
          <w:cantSplit/>
        </w:trPr>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Mualaf dan lansia</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Pusat pembinaan mualaf, majelis taklim, dan LAZ</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Pendampingan dan setoran bersubsidi ZISWAF</w:t>
            </w:r>
          </w:p>
        </w:tc>
        <w:tc>
          <w:tcPr>
            <w:tcW w:type="dxa" w:w="192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300 penerima subsidi (Tahun 2)</w:t>
            </w:r>
          </w:p>
        </w:tc>
      </w:tr>
      <w:tr>
        <w:trPr>
          <w:cantSplit/>
        </w:trPr>
        <w:tc>
          <w:tcPr>
            <w:tcW w:type="dxa" w:w="1757"/>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Lembaga</w:t>
            </w:r>
          </w:p>
        </w:tc>
        <w:tc>
          <w:tcPr>
            <w:tcW w:type="dxa" w:w="249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Kemitraan langsung, dimulai dari kampus tim</w:t>
            </w:r>
          </w:p>
        </w:tc>
        <w:tc>
          <w:tcPr>
            <w:tcW w:type="dxa" w:w="260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Dasbor kelas Rp300.000 per kelas per tahun</w:t>
            </w:r>
          </w:p>
        </w:tc>
        <w:tc>
          <w:tcPr>
            <w:tcW w:type="dxa" w:w="192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10 kelas (Tahun 2) dan 40 kelas (Tahun 3)</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0"/>
        <w:jc w:val="both"/>
      </w:pPr>
      <w:r>
        <w:rPr>
          <w:rFonts w:ascii="Times New Roman" w:hAnsi="Times New Roman" w:cs="Times New Roman" w:eastAsia="Times New Roman"/>
          <w:b/>
          <w:i w:val="0"/>
          <w:sz w:val="24"/>
          <w:szCs w:val="24"/>
          <w:bCs/>
        </w:rPr>
        <w:t>f. Rencana implementasi.</w:t>
      </w:r>
      <w:r>
        <w:rPr>
          <w:rFonts w:ascii="Times New Roman" w:hAnsi="Times New Roman" w:cs="Times New Roman" w:eastAsia="Times New Roman"/>
          <w:b w:val="0"/>
          <w:i w:val="0"/>
          <w:sz w:val="24"/>
          <w:szCs w:val="24"/>
        </w:rPr>
        <w:t xml:space="preserve"> Gambar E menjabarkan peta jalan pada Gambar 3 menjadi lima jalur kerja selama 36 bulan dengan empat tonggak: rilis publik (bulan ke-6), pembukaan layanan setoran (bulan ke-13), uji beta penilaian AI (bulan ke-30), dan kas kumulatif positif (bulan ke-36).</w:t>
      </w:r>
    </w:p>
    <w:p>
      <w:pPr>
        <w:keepNext/>
        <w:widowControl/>
        <w:spacing w:line="240" w:lineRule="auto" w:before="80" w:after="40"/>
        <w:ind w:left="0" w:firstLine="0"/>
        <w:jc w:val="center"/>
      </w:pPr>
      <w:r>
        <w:drawing>
          <wp:inline xmlns:a="http://schemas.openxmlformats.org/drawingml/2006/main" xmlns:pic="http://schemas.openxmlformats.org/drawingml/2006/picture">
            <wp:extent cx="5580000" cy="3504664"/>
            <wp:docPr id="14" name="Picture 14"/>
            <wp:cNvGraphicFramePr>
              <a:graphicFrameLocks noChangeAspect="1"/>
            </wp:cNvGraphicFramePr>
            <a:graphic>
              <a:graphicData uri="http://schemas.openxmlformats.org/drawingml/2006/picture">
                <pic:pic>
                  <pic:nvPicPr>
                    <pic:cNvPr id="0" name="fig14_gantt.png"/>
                    <pic:cNvPicPr/>
                  </pic:nvPicPr>
                  <pic:blipFill>
                    <a:blip r:embed="rId23"/>
                    <a:stretch>
                      <a:fillRect/>
                    </a:stretch>
                  </pic:blipFill>
                  <pic:spPr>
                    <a:xfrm>
                      <a:off x="0" y="0"/>
                      <a:ext cx="5580000" cy="3504664"/>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E. </w:t>
      </w:r>
      <w:r>
        <w:rPr>
          <w:rFonts w:ascii="Times New Roman" w:hAnsi="Times New Roman" w:cs="Times New Roman" w:eastAsia="Times New Roman"/>
          <w:b w:val="0"/>
          <w:i w:val="0"/>
          <w:sz w:val="24"/>
          <w:szCs w:val="24"/>
        </w:rPr>
        <w:t>Rencana implementasi Makhraj selama 36 bulan</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4. Implementasi dan Status Fitur MVP</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Tabel F merinci masukan, proses, dan keluaran setiap fitur utama beserta statusnya pada MVP. Kode MVP juga dilengkapi dua belas tes unit untuk materi, sifat, sorot huruf, soal, SUS, dan hari belajar, serta empat belas tes ujung ke ujung di peramban untuk aksesibilitas, alur rekam, dan cermin kamera.</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F. </w:t>
      </w:r>
      <w:r>
        <w:rPr>
          <w:rFonts w:ascii="Times New Roman" w:hAnsi="Times New Roman" w:cs="Times New Roman" w:eastAsia="Times New Roman"/>
          <w:b w:val="0"/>
          <w:i w:val="0"/>
          <w:sz w:val="24"/>
          <w:szCs w:val="24"/>
        </w:rPr>
        <w:t>Implementasi dan status fitur utama MVP</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417"/>
        <w:gridCol w:w="1361"/>
        <w:gridCol w:w="2608"/>
        <w:gridCol w:w="1757"/>
        <w:gridCol w:w="1644"/>
      </w:tblGrid>
      <w:tr>
        <w:trPr>
          <w:cantSplit/>
          <w:tblHeader/>
        </w:trPr>
        <w:tc>
          <w:tcPr>
            <w:tcW w:type="dxa" w:w="141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Fitur</w:t>
            </w:r>
          </w:p>
        </w:tc>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Masukan</w:t>
            </w:r>
          </w:p>
        </w:tc>
        <w:tc>
          <w:tcPr>
            <w:tcW w:type="dxa" w:w="260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Proses</w:t>
            </w:r>
          </w:p>
        </w:tc>
        <w:tc>
          <w:tcPr>
            <w:tcW w:type="dxa" w:w="175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Keluaran</w:t>
            </w:r>
          </w:p>
        </w:tc>
        <w:tc>
          <w:tcPr>
            <w:tcW w:type="dxa" w:w="164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Status MVP</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Peta makhraj</w:t>
            </w:r>
          </w:p>
        </w:tc>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Ketukan pada area atau titik</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Penampang kepala SVG; 5 area dan 17 titik dipetakan ke huruf</w:t>
            </w:r>
          </w:p>
        </w:tc>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Titik tersorot dan daftar huruf</w:t>
            </w:r>
          </w:p>
        </w:tc>
        <w:tc>
          <w:tcPr>
            <w:tcW w:type="dxa" w:w="164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Berjalan, 17 titik dan 29 huruf</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Pelajaran huruf</w:t>
            </w:r>
          </w:p>
        </w:tc>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Huruf yang dipilih</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Lima langkah: lihat, dengar, tiru, bandingkan, terapkan; sifat dihitung otomatis dari matan</w:t>
            </w:r>
          </w:p>
        </w:tc>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Pemahaman letak dan sifat huruf</w:t>
            </w:r>
          </w:p>
        </w:tc>
        <w:tc>
          <w:tcPr>
            <w:tcW w:type="dxa" w:w="164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Rinci untuk </w:t>
            </w:r>
            <w:r>
              <w:rPr>
                <w:rFonts w:ascii="Times New Roman" w:hAnsi="Times New Roman" w:cs="Times New Roman" w:eastAsia="Times New Roman"/>
                <w:b w:val="0"/>
                <w:i w:val="0"/>
                <w:sz w:val="20"/>
                <w:szCs w:val="20"/>
                <w:rtl/>
              </w:rPr>
              <w:t>ب</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ح</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ه</w:t>
            </w:r>
            <w:r>
              <w:rPr>
                <w:rFonts w:ascii="Times New Roman" w:hAnsi="Times New Roman" w:cs="Times New Roman" w:eastAsia="Times New Roman"/>
                <w:b w:val="0"/>
                <w:i w:val="0"/>
                <w:sz w:val="20"/>
                <w:szCs w:val="20"/>
              </w:rPr>
              <w:t xml:space="preserve">; klip untuk 28 huruf; klip </w:t>
            </w:r>
            <w:r>
              <w:rPr>
                <w:rFonts w:ascii="Times New Roman" w:hAnsi="Times New Roman" w:cs="Times New Roman" w:eastAsia="Times New Roman"/>
                <w:b w:val="0"/>
                <w:i w:val="0"/>
                <w:sz w:val="20"/>
                <w:szCs w:val="20"/>
                <w:rtl/>
              </w:rPr>
              <w:t>ض</w:t>
            </w:r>
            <w:r>
              <w:rPr>
                <w:rFonts w:ascii="Times New Roman" w:hAnsi="Times New Roman" w:cs="Times New Roman" w:eastAsia="Times New Roman"/>
                <w:b w:val="0"/>
                <w:i w:val="0"/>
                <w:sz w:val="20"/>
                <w:szCs w:val="20"/>
              </w:rPr>
              <w:t xml:space="preserve"> dan </w:t>
            </w:r>
            <w:r>
              <w:rPr>
                <w:rFonts w:ascii="Times New Roman" w:hAnsi="Times New Roman" w:cs="Times New Roman" w:eastAsia="Times New Roman"/>
                <w:b w:val="0"/>
                <w:i w:val="0"/>
                <w:sz w:val="20"/>
                <w:szCs w:val="20"/>
                <w:rtl/>
              </w:rPr>
              <w:t>ط</w:t>
            </w:r>
            <w:r>
              <w:rPr>
                <w:rFonts w:ascii="Times New Roman" w:hAnsi="Times New Roman" w:cs="Times New Roman" w:eastAsia="Times New Roman"/>
                <w:b w:val="0"/>
                <w:i w:val="0"/>
                <w:sz w:val="20"/>
                <w:szCs w:val="20"/>
              </w:rPr>
              <w:t xml:space="preserve"> dari kanal resmi Dr. Ayman Swaid</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Rekam dan bandingkan</w:t>
            </w:r>
          </w:p>
        </w:tc>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Suara dan kamera depan</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Rekaman di IndexedDB diputar bergantian dengan klip guru; gelombang suara; kamera seperti cermin</w:t>
            </w:r>
          </w:p>
        </w:tc>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Rekaman dan daftar periksa mandiri</w:t>
            </w:r>
          </w:p>
        </w:tc>
        <w:tc>
          <w:tcPr>
            <w:tcW w:type="dxa" w:w="164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Berjalan</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Huruf mirip</w:t>
            </w:r>
          </w:p>
        </w:tc>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Pasangan huruf</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Dua penampang berdampingan; tabel perbandingan sifat; kuis otomatis</w:t>
            </w:r>
          </w:p>
        </w:tc>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Skor kuis</w:t>
            </w:r>
          </w:p>
        </w:tc>
        <w:tc>
          <w:tcPr>
            <w:tcW w:type="dxa" w:w="164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Berjalan, 6 pasangan</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Sorot huruf</w:t>
            </w:r>
          </w:p>
        </w:tc>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Huruf yang dipelajari</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Harakat diabaikan saat pencarian; kata yang memuat huruf ditandai</w:t>
            </w:r>
          </w:p>
        </w:tc>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Ayat dengan kata tersorot</w:t>
            </w:r>
          </w:p>
        </w:tc>
        <w:tc>
          <w:tcPr>
            <w:tcW w:type="dxa" w:w="164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Berjalan, 114 surah</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Progres</w:t>
            </w:r>
          </w:p>
        </w:tc>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Hasil latihan</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Disimpan di localStorage; sinkronisasi Firestore pada Tahap 2</w:t>
            </w:r>
          </w:p>
        </w:tc>
        <w:tc>
          <w:tcPr>
            <w:tcW w:type="dxa" w:w="175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Huruf dikuasai dan hari belajar</w:t>
            </w:r>
          </w:p>
        </w:tc>
        <w:tc>
          <w:tcPr>
            <w:tcW w:type="dxa" w:w="164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Berjalan (lokal)</w:t>
            </w:r>
          </w:p>
        </w:tc>
      </w:tr>
      <w:tr>
        <w:trPr>
          <w:cantSplit/>
        </w:trPr>
        <w:tc>
          <w:tcPr>
            <w:tcW w:type="dxa" w:w="1417"/>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Uji coba</w:t>
            </w:r>
          </w:p>
        </w:tc>
        <w:tc>
          <w:tcPr>
            <w:tcW w:type="dxa" w:w="136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Persetujuan dan jawaban peserta</w:t>
            </w:r>
          </w:p>
        </w:tc>
        <w:tc>
          <w:tcPr>
            <w:tcW w:type="dxa" w:w="260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Tes 20 soal bentuk A/B bergantian, SUS 10 butir, catatan pemakaian</w:t>
            </w:r>
          </w:p>
        </w:tc>
        <w:tc>
          <w:tcPr>
            <w:tcW w:type="dxa" w:w="1757"/>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Berkas JSON untuk analisis</w:t>
            </w:r>
          </w:p>
        </w:tc>
        <w:tc>
          <w:tcPr>
            <w:tcW w:type="dxa" w:w="164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Berjalan</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Rekaman baru diunggah ketika pengguna menyetor bacaan pada Tahap 2, dengan persetujuan sesuai dengan Undang-Undang Nomor 27 Tahun 2022 tentang Pelindungan Data Pribadi. Pada Tahap 3, model wav2vec 2.0 (Baevski dkk., 2020) dilatih ulang dengan rekaman terkoreksi untuk menilai makhraj per huruf; nilai yang meragukan diteruskan kepada pengajar.</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5. Tampilan Purwarupa Lanjutan</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Gambar F melanjutkan Gambar 8. Layar rekam dan bandingkan (d) memberi bacaan latihan per harakat, misalnya </w:t>
      </w:r>
      <w:r>
        <w:rPr>
          <w:rFonts w:ascii="Times New Roman" w:hAnsi="Times New Roman" w:cs="Times New Roman" w:eastAsia="Times New Roman"/>
          <w:b w:val="0"/>
          <w:i w:val="0"/>
          <w:sz w:val="24"/>
          <w:szCs w:val="24"/>
          <w:rtl/>
        </w:rPr>
        <w:t>أَبْ</w:t>
      </w:r>
      <w:r>
        <w:rPr>
          <w:rFonts w:ascii="Times New Roman" w:hAnsi="Times New Roman" w:cs="Times New Roman" w:eastAsia="Times New Roman"/>
          <w:b w:val="0"/>
          <w:i w:val="0"/>
          <w:sz w:val="24"/>
          <w:szCs w:val="24"/>
        </w:rPr>
        <w:t xml:space="preserve"> untuk melatih pantulan </w:t>
      </w:r>
      <w:r>
        <w:rPr>
          <w:rFonts w:ascii="Times New Roman" w:hAnsi="Times New Roman" w:cs="Times New Roman" w:eastAsia="Times New Roman"/>
          <w:b w:val="0"/>
          <w:i/>
          <w:sz w:val="24"/>
          <w:szCs w:val="24"/>
        </w:rPr>
        <w:t>qalqalah</w:t>
      </w:r>
      <w:r>
        <w:rPr>
          <w:rFonts w:ascii="Times New Roman" w:hAnsi="Times New Roman" w:cs="Times New Roman" w:eastAsia="Times New Roman"/>
          <w:b w:val="0"/>
          <w:i w:val="0"/>
          <w:sz w:val="24"/>
          <w:szCs w:val="24"/>
        </w:rPr>
        <w:t xml:space="preserve">, lalu menyediakan cermin kamera, tombol rekam, dan klip contoh dari Syaikh Aiman; rekaman pengguna diputar bergantian dengan contoh guru dan ditampilkan bentuk gelombangnya. Layar huruf mirip (e) menampilkan penampang </w:t>
      </w:r>
      <w:r>
        <w:rPr>
          <w:rFonts w:ascii="Times New Roman" w:hAnsi="Times New Roman" w:cs="Times New Roman" w:eastAsia="Times New Roman"/>
          <w:b w:val="0"/>
          <w:i w:val="0"/>
          <w:sz w:val="24"/>
          <w:szCs w:val="24"/>
          <w:rtl/>
        </w:rPr>
        <w:t>ح</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val="0"/>
          <w:sz w:val="24"/>
          <w:szCs w:val="24"/>
          <w:rtl/>
        </w:rPr>
        <w:t>ه</w:t>
      </w:r>
      <w:r>
        <w:rPr>
          <w:rFonts w:ascii="Times New Roman" w:hAnsi="Times New Roman" w:cs="Times New Roman" w:eastAsia="Times New Roman"/>
          <w:b w:val="0"/>
          <w:i w:val="0"/>
          <w:sz w:val="24"/>
          <w:szCs w:val="24"/>
        </w:rPr>
        <w:t xml:space="preserve"> berdampingan beserta tabel perbandingan sifatnya, lalu kuis yang dibuat otomatis. Layar mushaf (f) menyorot empat kata berhuruf </w:t>
      </w:r>
      <w:r>
        <w:rPr>
          <w:rFonts w:ascii="Times New Roman" w:hAnsi="Times New Roman" w:cs="Times New Roman" w:eastAsia="Times New Roman"/>
          <w:b w:val="0"/>
          <w:i w:val="0"/>
          <w:sz w:val="24"/>
          <w:szCs w:val="24"/>
          <w:rtl/>
        </w:rPr>
        <w:t>ب</w:t>
      </w:r>
      <w:r>
        <w:rPr>
          <w:rFonts w:ascii="Times New Roman" w:hAnsi="Times New Roman" w:cs="Times New Roman" w:eastAsia="Times New Roman"/>
          <w:b w:val="0"/>
          <w:i w:val="0"/>
          <w:sz w:val="24"/>
          <w:szCs w:val="24"/>
        </w:rPr>
        <w:t xml:space="preserve"> pada Surah Al-Fatihah dan mencantumkan atribusi teks Tanzil serta terjemahan Kemenag via Tanzil di bagian bawah.</w:t>
      </w:r>
    </w:p>
    <w:p>
      <w:pPr>
        <w:keepNext/>
        <w:widowControl/>
        <w:spacing w:line="240" w:lineRule="auto" w:before="80" w:after="40"/>
        <w:ind w:left="0" w:firstLine="0"/>
        <w:jc w:val="center"/>
      </w:pPr>
      <w:r>
        <w:drawing>
          <wp:inline xmlns:a="http://schemas.openxmlformats.org/drawingml/2006/main" xmlns:pic="http://schemas.openxmlformats.org/drawingml/2006/picture">
            <wp:extent cx="4680000" cy="3367947"/>
            <wp:docPr id="15" name="Picture 15"/>
            <wp:cNvGraphicFramePr>
              <a:graphicFrameLocks noChangeAspect="1"/>
            </wp:cNvGraphicFramePr>
            <a:graphic>
              <a:graphicData uri="http://schemas.openxmlformats.org/drawingml/2006/picture">
                <pic:pic>
                  <pic:nvPicPr>
                    <pic:cNvPr id="0" name="fig10_screens_b.png"/>
                    <pic:cNvPicPr/>
                  </pic:nvPicPr>
                  <pic:blipFill>
                    <a:blip r:embed="rId24"/>
                    <a:stretch>
                      <a:fillRect/>
                    </a:stretch>
                  </pic:blipFill>
                  <pic:spPr>
                    <a:xfrm>
                      <a:off x="0" y="0"/>
                      <a:ext cx="4680000" cy="3367947"/>
                    </a:xfrm>
                    <a:prstGeom prst="rect"/>
                  </pic:spPr>
                </pic:pic>
              </a:graphicData>
            </a:graphic>
          </wp:inline>
        </w:drawing>
      </w:r>
    </w:p>
    <w:p>
      <w:pPr>
        <w:keepNext w:val="0"/>
        <w:widowControl/>
        <w:spacing w:line="240" w:lineRule="auto" w:before="0" w:after="160"/>
        <w:ind w:left="0" w:firstLine="0"/>
        <w:jc w:val="center"/>
      </w:pPr>
      <w:r>
        <w:rPr>
          <w:rFonts w:ascii="Times New Roman" w:hAnsi="Times New Roman" w:cs="Times New Roman" w:eastAsia="Times New Roman"/>
          <w:b/>
          <w:sz w:val="24"/>
          <w:szCs w:val="24"/>
          <w:bCs/>
        </w:rPr>
        <w:t xml:space="preserve">Gambar F. </w:t>
      </w:r>
      <w:r>
        <w:rPr>
          <w:rFonts w:ascii="Times New Roman" w:hAnsi="Times New Roman" w:cs="Times New Roman" w:eastAsia="Times New Roman"/>
          <w:b w:val="0"/>
          <w:i w:val="0"/>
          <w:sz w:val="24"/>
          <w:szCs w:val="24"/>
        </w:rPr>
        <w:t>Tampilan MVP Makhraj: rekam, huruf mirip, dan mushaf</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6. Keputusan Teknologi Purwarupa</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MVP pertama Makhraj ditulis dengan Flutter. Setelah fitur inti berjalan, tim memindahkannya ke React dengan tiga pertimbangan. Pertama, Capacitor membungkus folder hasil </w:t>
      </w:r>
      <w:r>
        <w:rPr>
          <w:rFonts w:ascii="Times New Roman" w:hAnsi="Times New Roman" w:cs="Times New Roman" w:eastAsia="Times New Roman"/>
          <w:b w:val="0"/>
          <w:i/>
          <w:sz w:val="24"/>
          <w:szCs w:val="24"/>
        </w:rPr>
        <w:t>build</w:t>
      </w:r>
      <w:r>
        <w:rPr>
          <w:rFonts w:ascii="Times New Roman" w:hAnsi="Times New Roman" w:cs="Times New Roman" w:eastAsia="Times New Roman"/>
          <w:b w:val="0"/>
          <w:i w:val="0"/>
          <w:sz w:val="24"/>
          <w:szCs w:val="24"/>
        </w:rPr>
        <w:t xml:space="preserve"> yang sama dengan versi web menjadi APK Android, sehingga yang diuji juri di peramban dan di ponsel adalah kode yang sama. Kedua, perekaman suara (MediaRecorder), kamera depan (getUserMedia), dan mode luring (</w:t>
      </w:r>
      <w:r>
        <w:rPr>
          <w:rFonts w:ascii="Times New Roman" w:hAnsi="Times New Roman" w:cs="Times New Roman" w:eastAsia="Times New Roman"/>
          <w:b w:val="0"/>
          <w:i/>
          <w:sz w:val="24"/>
          <w:szCs w:val="24"/>
        </w:rPr>
        <w:t>service worker</w:t>
      </w:r>
      <w:r>
        <w:rPr>
          <w:rFonts w:ascii="Times New Roman" w:hAnsi="Times New Roman" w:cs="Times New Roman" w:eastAsia="Times New Roman"/>
          <w:b w:val="0"/>
          <w:i w:val="0"/>
          <w:sz w:val="24"/>
          <w:szCs w:val="24"/>
        </w:rPr>
        <w:t>) sudah tersedia sebagai API bawaan peramban, sehingga tidak perlu plugin tambahan. Ketiga, teks Arab dan penampang kepala dirender sebagai DOM dan SVG biasa, sehingga bisa diberi label aksesibilitas dan diperiksa langsung di peramban. Tabel G merangkum pilihan per lapisan. Capacitor 8 mensyaratkan Node.js 22, minSdk 24, dan targetSdk 36 (Ionic, t.t.).</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G. </w:t>
      </w:r>
      <w:r>
        <w:rPr>
          <w:rFonts w:ascii="Times New Roman" w:hAnsi="Times New Roman" w:cs="Times New Roman" w:eastAsia="Times New Roman"/>
          <w:b w:val="0"/>
          <w:i w:val="0"/>
          <w:sz w:val="24"/>
          <w:szCs w:val="24"/>
        </w:rPr>
        <w:t>Pilihan teknologi purwarupa React dan alasannya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361"/>
        <w:gridCol w:w="2041"/>
        <w:gridCol w:w="3005"/>
        <w:gridCol w:w="2381"/>
      </w:tblGrid>
      <w:tr>
        <w:trPr>
          <w:cantSplit/>
          <w:tblHeader/>
        </w:trPr>
        <w:tc>
          <w:tcPr>
            <w:tcW w:type="dxa" w:w="136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Lapisan</w:t>
            </w:r>
          </w:p>
        </w:tc>
        <w:tc>
          <w:tcPr>
            <w:tcW w:type="dxa" w:w="204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Pilihan</w:t>
            </w:r>
          </w:p>
        </w:tc>
        <w:tc>
          <w:tcPr>
            <w:tcW w:type="dxa" w:w="3005"/>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Alasan</w:t>
            </w:r>
          </w:p>
        </w:tc>
        <w:tc>
          <w:tcPr>
            <w:tcW w:type="dxa" w:w="238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Alternatif yang tidak dipakai</w:t>
            </w:r>
          </w:p>
        </w:tc>
      </w:tr>
      <w:tr>
        <w:trPr>
          <w:cantSplit/>
        </w:trPr>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Tampilan dan </w:t>
            </w:r>
            <w:r>
              <w:rPr>
                <w:rFonts w:ascii="Times New Roman" w:hAnsi="Times New Roman" w:cs="Times New Roman" w:eastAsia="Times New Roman"/>
                <w:b w:val="0"/>
                <w:i/>
                <w:sz w:val="20"/>
                <w:szCs w:val="20"/>
              </w:rPr>
              <w:t>build</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React 19, TypeScript, Vite 8</w:t>
            </w:r>
          </w:p>
        </w:tc>
        <w:tc>
          <w:tcPr>
            <w:tcW w:type="dxa" w:w="300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Aplikasi satu halaman tanpa server; hasil </w:t>
            </w:r>
            <w:r>
              <w:rPr>
                <w:rFonts w:ascii="Times New Roman" w:hAnsi="Times New Roman" w:cs="Times New Roman" w:eastAsia="Times New Roman"/>
                <w:b w:val="0"/>
                <w:i/>
                <w:sz w:val="20"/>
                <w:szCs w:val="20"/>
              </w:rPr>
              <w:t>build</w:t>
            </w:r>
            <w:r>
              <w:rPr>
                <w:rFonts w:ascii="Times New Roman" w:hAnsi="Times New Roman" w:cs="Times New Roman" w:eastAsia="Times New Roman"/>
                <w:b w:val="0"/>
                <w:i w:val="0"/>
                <w:sz w:val="20"/>
                <w:szCs w:val="20"/>
              </w:rPr>
              <w:t xml:space="preserve"> statis</w:t>
            </w:r>
          </w:p>
        </w:tc>
        <w:tc>
          <w:tcPr>
            <w:tcW w:type="dxa" w:w="238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Next.js: fitur </w:t>
            </w:r>
            <w:r>
              <w:rPr>
                <w:rFonts w:ascii="Times New Roman" w:hAnsi="Times New Roman" w:cs="Times New Roman" w:eastAsia="Times New Roman"/>
                <w:b w:val="0"/>
                <w:i/>
                <w:sz w:val="20"/>
                <w:szCs w:val="20"/>
              </w:rPr>
              <w:t>server rendering</w:t>
            </w:r>
            <w:r>
              <w:rPr>
                <w:rFonts w:ascii="Times New Roman" w:hAnsi="Times New Roman" w:cs="Times New Roman" w:eastAsia="Times New Roman"/>
                <w:b w:val="0"/>
                <w:i w:val="0"/>
                <w:sz w:val="20"/>
                <w:szCs w:val="20"/>
              </w:rPr>
              <w:t xml:space="preserve"> tidak terpakai</w:t>
            </w:r>
          </w:p>
        </w:tc>
      </w:tr>
      <w:tr>
        <w:trPr>
          <w:cantSplit/>
        </w:trPr>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Android</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Capacitor 8</w:t>
            </w:r>
          </w:p>
        </w:tc>
        <w:tc>
          <w:tcPr>
            <w:tcW w:type="dxa" w:w="300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Satu folder </w:t>
            </w:r>
            <w:r>
              <w:rPr>
                <w:rFonts w:ascii="Times New Roman" w:hAnsi="Times New Roman" w:cs="Times New Roman" w:eastAsia="Times New Roman"/>
                <w:b w:val="0"/>
                <w:i/>
                <w:sz w:val="20"/>
                <w:szCs w:val="20"/>
              </w:rPr>
              <w:t>build</w:t>
            </w:r>
            <w:r>
              <w:rPr>
                <w:rFonts w:ascii="Times New Roman" w:hAnsi="Times New Roman" w:cs="Times New Roman" w:eastAsia="Times New Roman"/>
                <w:b w:val="0"/>
                <w:i w:val="0"/>
                <w:sz w:val="20"/>
                <w:szCs w:val="20"/>
              </w:rPr>
              <w:t xml:space="preserve"> untuk web dan APK; izin mikrofon dan kamera diteruskan dari WebView</w:t>
            </w:r>
          </w:p>
        </w:tc>
        <w:tc>
          <w:tcPr>
            <w:tcW w:type="dxa" w:w="238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TWA: bergantung pada Chrome dan koneksi; React Native: tampilan harus ditulis ulang</w:t>
            </w:r>
          </w:p>
        </w:tc>
      </w:tr>
      <w:tr>
        <w:trPr>
          <w:cantSplit/>
        </w:trPr>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Navigasi</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React Router (mode </w:t>
            </w:r>
            <w:r>
              <w:rPr>
                <w:rFonts w:ascii="Times New Roman" w:hAnsi="Times New Roman" w:cs="Times New Roman" w:eastAsia="Times New Roman"/>
                <w:b w:val="0"/>
                <w:i/>
                <w:sz w:val="20"/>
                <w:szCs w:val="20"/>
              </w:rPr>
              <w:t>hash</w:t>
            </w:r>
            <w:r>
              <w:rPr>
                <w:rFonts w:ascii="Times New Roman" w:hAnsi="Times New Roman" w:cs="Times New Roman" w:eastAsia="Times New Roman"/>
                <w:b w:val="0"/>
                <w:i w:val="0"/>
                <w:sz w:val="20"/>
                <w:szCs w:val="20"/>
              </w:rPr>
              <w:t>)</w:t>
            </w:r>
          </w:p>
        </w:tc>
        <w:tc>
          <w:tcPr>
            <w:tcW w:type="dxa" w:w="300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Berjalan sama di </w:t>
            </w:r>
            <w:r>
              <w:rPr>
                <w:rFonts w:ascii="Times New Roman" w:hAnsi="Times New Roman" w:cs="Times New Roman" w:eastAsia="Times New Roman"/>
                <w:b w:val="0"/>
                <w:i/>
                <w:sz w:val="20"/>
                <w:szCs w:val="20"/>
              </w:rPr>
              <w:t>hosting</w:t>
            </w:r>
            <w:r>
              <w:rPr>
                <w:rFonts w:ascii="Times New Roman" w:hAnsi="Times New Roman" w:cs="Times New Roman" w:eastAsia="Times New Roman"/>
                <w:b w:val="0"/>
                <w:i w:val="0"/>
                <w:sz w:val="20"/>
                <w:szCs w:val="20"/>
              </w:rPr>
              <w:t xml:space="preserve"> statis dan WebView tanpa pengaturan server</w:t>
            </w:r>
          </w:p>
        </w:tc>
        <w:tc>
          <w:tcPr>
            <w:tcW w:type="dxa" w:w="238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w:t>
            </w:r>
          </w:p>
        </w:tc>
      </w:tr>
      <w:tr>
        <w:trPr>
          <w:cantSplit/>
        </w:trPr>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Penyimpanan</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Zustand + localStorage; IndexedDB</w:t>
            </w:r>
          </w:p>
        </w:tc>
        <w:tc>
          <w:tcPr>
            <w:tcW w:type="dxa" w:w="300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Progres kecil berupa teks; rekaman berupa </w:t>
            </w:r>
            <w:r>
              <w:rPr>
                <w:rFonts w:ascii="Times New Roman" w:hAnsi="Times New Roman" w:cs="Times New Roman" w:eastAsia="Times New Roman"/>
                <w:b w:val="0"/>
                <w:i/>
                <w:sz w:val="20"/>
                <w:szCs w:val="20"/>
              </w:rPr>
              <w:t>blob</w:t>
            </w:r>
            <w:r>
              <w:rPr>
                <w:rFonts w:ascii="Times New Roman" w:hAnsi="Times New Roman" w:cs="Times New Roman" w:eastAsia="Times New Roman"/>
                <w:b w:val="0"/>
                <w:i w:val="0"/>
                <w:sz w:val="20"/>
                <w:szCs w:val="20"/>
              </w:rPr>
              <w:t xml:space="preserve"> yang terlalu besar untuk localStorage</w:t>
            </w:r>
          </w:p>
        </w:tc>
        <w:tc>
          <w:tcPr>
            <w:tcW w:type="dxa" w:w="238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Basis data daring pada Tahap 1</w:t>
            </w:r>
          </w:p>
        </w:tc>
      </w:tr>
      <w:tr>
        <w:trPr>
          <w:cantSplit/>
        </w:trPr>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Gaya dan huruf</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Tailwind CSS 4; Scheherazade New dan Plus Jakarta Sans</w:t>
            </w:r>
          </w:p>
        </w:tc>
        <w:tc>
          <w:tcPr>
            <w:tcW w:type="dxa" w:w="300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Fon berlisensi SIL OFL boleh dibundel; tanda khusus rasm Utsmani tampil benar</w:t>
            </w:r>
          </w:p>
        </w:tc>
        <w:tc>
          <w:tcPr>
            <w:tcW w:type="dxa" w:w="238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Fon KFGQPC: lisensinya melarang reproduksi tanpa izin</w:t>
            </w:r>
          </w:p>
        </w:tc>
      </w:tr>
      <w:tr>
        <w:trPr>
          <w:cantSplit/>
        </w:trPr>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Luring</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vite-plugin-pwa</w:t>
            </w:r>
          </w:p>
        </w:tc>
        <w:tc>
          <w:tcPr>
            <w:tcW w:type="dxa" w:w="300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Aplikasi, fon, materi, dan teks Al-Qur'an tersimpan untuk dipakai tanpa internet</w:t>
            </w:r>
          </w:p>
        </w:tc>
        <w:tc>
          <w:tcPr>
            <w:tcW w:type="dxa" w:w="238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w:t>
            </w:r>
          </w:p>
        </w:tc>
      </w:tr>
      <w:tr>
        <w:trPr>
          <w:cantSplit/>
        </w:trPr>
        <w:tc>
          <w:tcPr>
            <w:tcW w:type="dxa" w:w="136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Rekam dan cermin</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MediaRecorder dan getUserMedia</w:t>
            </w:r>
          </w:p>
        </w:tc>
        <w:tc>
          <w:tcPr>
            <w:tcW w:type="dxa" w:w="300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API bawaan; format rekaman dipilih sesuai dukungan perangkat</w:t>
            </w:r>
          </w:p>
        </w:tc>
        <w:tc>
          <w:tcPr>
            <w:tcW w:type="dxa" w:w="238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Plugin perekam native</w:t>
            </w:r>
          </w:p>
        </w:tc>
      </w:tr>
      <w:tr>
        <w:trPr>
          <w:cantSplit/>
        </w:trPr>
        <w:tc>
          <w:tcPr>
            <w:tcW w:type="dxa" w:w="136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Pengujian</w:t>
            </w:r>
          </w:p>
        </w:tc>
        <w:tc>
          <w:tcPr>
            <w:tcW w:type="dxa" w:w="204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Vitest (12 tes); Playwright + axe-core (14 tes)</w:t>
            </w:r>
          </w:p>
        </w:tc>
        <w:tc>
          <w:tcPr>
            <w:tcW w:type="dxa" w:w="3005"/>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Menguji logika materi dan soal, aksesibilitas 12 layar, alur rekam, dan cermin kamera</w:t>
            </w:r>
          </w:p>
        </w:tc>
        <w:tc>
          <w:tcPr>
            <w:tcW w:type="dxa" w:w="238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7. Sumber Konten, Lisensi, dan Kebijakan Pemutar Video</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Setiap fitur Makhraj bergantung pada data dengan syarat pakai yang berbeda, sehingga sumber data dikunci sebelum fitur dibangun (Tabel H). Teks Al-Qur'an dari Tanzil berlisensi CC BY 3.0 dan tidak boleh diubah (Tanzil Project, t.t.). Karena itu, fitur sorot huruf tidak menyentuh teks yang ditampilkan: aplikasi hanya membandingkan huruf dasar pada salinan setiap kata, sehingga harakat dan tanda waqaf otomatis diabaikan. Teks yang dipakai adalah rasm Utsmani riwayat Hafsh dari Tanzil, bukan Mushaf Standar Indonesia, karena teks digital Mushaf Standar Indonesia belum tersedia secara terbuka. Terjemahan Kemenag yang disebarkan Tanzil adalah edisi lama dan hanya boleh dipakai untuk keperluan nonkomersial.</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H. </w:t>
      </w:r>
      <w:r>
        <w:rPr>
          <w:rFonts w:ascii="Times New Roman" w:hAnsi="Times New Roman" w:cs="Times New Roman" w:eastAsia="Times New Roman"/>
          <w:b w:val="0"/>
          <w:i w:val="0"/>
          <w:sz w:val="24"/>
          <w:szCs w:val="24"/>
        </w:rPr>
        <w:t>Sumber konten, syarat pemakaian, dan status pada MVP</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417"/>
        <w:gridCol w:w="2438"/>
        <w:gridCol w:w="2608"/>
        <w:gridCol w:w="2324"/>
      </w:tblGrid>
      <w:tr>
        <w:trPr>
          <w:cantSplit/>
          <w:tblHeader/>
        </w:trPr>
        <w:tc>
          <w:tcPr>
            <w:tcW w:type="dxa" w:w="141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Data</w:t>
            </w:r>
          </w:p>
        </w:tc>
        <w:tc>
          <w:tcPr>
            <w:tcW w:type="dxa" w:w="243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Sumber</w:t>
            </w:r>
          </w:p>
        </w:tc>
        <w:tc>
          <w:tcPr>
            <w:tcW w:type="dxa" w:w="260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Syarat utama</w:t>
            </w:r>
          </w:p>
        </w:tc>
        <w:tc>
          <w:tcPr>
            <w:tcW w:type="dxa" w:w="232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Status MVP</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Teks ayat</w:t>
            </w:r>
          </w:p>
        </w:tc>
        <w:tc>
          <w:tcPr>
            <w:tcW w:type="dxa" w:w="243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Tanzil Uthmani 1.1</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CC BY 3.0; tanpa perubahan; atribusi dan tautan</w:t>
            </w:r>
          </w:p>
        </w:tc>
        <w:tc>
          <w:tcPr>
            <w:tcW w:type="dxa" w:w="232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Dipakai, 114 surah</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Pencocokan huruf</w:t>
            </w:r>
          </w:p>
        </w:tc>
        <w:tc>
          <w:tcPr>
            <w:tcW w:type="dxa" w:w="243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Salinan kata dari teks Tanzil</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Teks yang tampil tidak diubah</w:t>
            </w:r>
          </w:p>
        </w:tc>
        <w:tc>
          <w:tcPr>
            <w:tcW w:type="dxa" w:w="232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Dipakai</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Terjemahan</w:t>
            </w:r>
          </w:p>
        </w:tc>
        <w:tc>
          <w:tcPr>
            <w:tcW w:type="dxa" w:w="243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Terjemahan Kemenag edisi lama via Tanzil</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Nonkomersial; izin LPMQ sebelum layanan berbayar</w:t>
            </w:r>
          </w:p>
        </w:tc>
        <w:tc>
          <w:tcPr>
            <w:tcW w:type="dxa" w:w="232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Dipakai dengan label edisi</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Fon ayat</w:t>
            </w:r>
          </w:p>
        </w:tc>
        <w:tc>
          <w:tcPr>
            <w:tcW w:type="dxa" w:w="243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Scheherazade New (SIL OFL)</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Bebas dibundel</w:t>
            </w:r>
          </w:p>
        </w:tc>
        <w:tc>
          <w:tcPr>
            <w:tcW w:type="dxa" w:w="232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Dipakai</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Klip guru</w:t>
            </w:r>
          </w:p>
        </w:tc>
        <w:tc>
          <w:tcPr>
            <w:tcW w:type="dxa" w:w="243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Kanal Al-Andalasy dan kanal resmi Dr. Ayman Swaid</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Pemutar resmi YouTube; tanpa unduh dan tanpa </w:t>
            </w:r>
            <w:r>
              <w:rPr>
                <w:rFonts w:ascii="Times New Roman" w:hAnsi="Times New Roman" w:cs="Times New Roman" w:eastAsia="Times New Roman"/>
                <w:b w:val="0"/>
                <w:i/>
                <w:sz w:val="20"/>
                <w:szCs w:val="20"/>
              </w:rPr>
              <w:t>cache</w:t>
            </w:r>
          </w:p>
        </w:tc>
        <w:tc>
          <w:tcPr>
            <w:tcW w:type="dxa" w:w="232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28 dari 29 huruf; alif belum ada</w:t>
            </w:r>
          </w:p>
        </w:tc>
      </w:tr>
      <w:tr>
        <w:trPr>
          <w:cantSplit/>
        </w:trPr>
        <w:tc>
          <w:tcPr>
            <w:tcW w:type="dxa" w:w="141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Makhraj dan sifat</w:t>
            </w:r>
          </w:p>
        </w:tc>
        <w:tc>
          <w:tcPr>
            <w:tcW w:type="dxa" w:w="2438"/>
            <w:vAlign w:val="center"/>
          </w:tcPr>
          <w:p>
            <w:pPr>
              <w:keepNext/>
              <w:widowControl/>
              <w:spacing w:line="240" w:lineRule="auto" w:before="0" w:after="0"/>
              <w:ind w:left="0" w:firstLine="0"/>
              <w:jc w:val="left"/>
            </w:pPr>
            <w:r>
              <w:rPr>
                <w:rFonts w:ascii="Times New Roman" w:hAnsi="Times New Roman" w:cs="Times New Roman" w:eastAsia="Times New Roman"/>
                <w:b w:val="0"/>
                <w:i/>
                <w:sz w:val="20"/>
                <w:szCs w:val="20"/>
              </w:rPr>
              <w:t>Fath Rabb al-Bariyyah</w:t>
            </w:r>
            <w:r>
              <w:rPr>
                <w:rFonts w:ascii="Times New Roman" w:hAnsi="Times New Roman" w:cs="Times New Roman" w:eastAsia="Times New Roman"/>
                <w:b w:val="0"/>
                <w:i w:val="0"/>
                <w:sz w:val="20"/>
                <w:szCs w:val="20"/>
              </w:rPr>
              <w:t xml:space="preserve"> dan </w:t>
            </w:r>
            <w:r>
              <w:rPr>
                <w:rFonts w:ascii="Times New Roman" w:hAnsi="Times New Roman" w:cs="Times New Roman" w:eastAsia="Times New Roman"/>
                <w:b w:val="0"/>
                <w:i/>
                <w:sz w:val="20"/>
                <w:szCs w:val="20"/>
              </w:rPr>
              <w:t>At-Tajwid al-Mushawwar</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Divalidasi pengajar bersanad</w:t>
            </w:r>
          </w:p>
        </w:tc>
        <w:tc>
          <w:tcPr>
            <w:tcW w:type="dxa" w:w="232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3 pelajaran rinci; belum divalidasi</w:t>
            </w:r>
          </w:p>
        </w:tc>
      </w:tr>
      <w:tr>
        <w:trPr>
          <w:cantSplit/>
        </w:trPr>
        <w:tc>
          <w:tcPr>
            <w:tcW w:type="dxa" w:w="1417"/>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Penampang kepala</w:t>
            </w:r>
          </w:p>
        </w:tc>
        <w:tc>
          <w:tcPr>
            <w:tcW w:type="dxa" w:w="243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Gambar sendiri; basis CC0 (Wright &amp; McCloy, 2011) untuk versi berikutnya</w:t>
            </w:r>
          </w:p>
        </w:tc>
        <w:tc>
          <w:tcPr>
            <w:tcW w:type="dxa" w:w="260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Diperiksa pengajar</w:t>
            </w:r>
          </w:p>
        </w:tc>
        <w:tc>
          <w:tcPr>
            <w:tcW w:type="dxa" w:w="232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Ilustrasi sederhana</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Klip guru diambil dari dua kanal (Tabel I). Kebijakan pengembang YouTube melarang pengunduhan, penyimpanan untuk pemutaran luring, pemisahan audio dari video, dan penutupan pemutar (Google, t.t.). Akibatnya, perbandingan suara dilakukan bergantian: klip guru diputar di pemutar YouTube, lalu rekaman pengguna diputar terpisah. Risiko teknis terbesar adalah galat pemutaran YouTube di WebView Android. Aplikasi sudah menyediakan tautan "Buka di YouTube" sebagai cadangan, dan uji di perangkat nyata dijadwalkan sebelum uji lapangan. Untuk jangka panjang, tim akan merekam contoh pendek per huruf dan harakat dari pengajar validator dengan izin tertulis, sehingga contoh itu dapat diputar luring dan dipakai pada Tahap 3.</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I. </w:t>
      </w:r>
      <w:r>
        <w:rPr>
          <w:rFonts w:ascii="Times New Roman" w:hAnsi="Times New Roman" w:cs="Times New Roman" w:eastAsia="Times New Roman"/>
          <w:b w:val="0"/>
          <w:i w:val="0"/>
          <w:sz w:val="24"/>
          <w:szCs w:val="24"/>
        </w:rPr>
        <w:t>Pembagian peran klip guru</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154"/>
        <w:gridCol w:w="2098"/>
        <w:gridCol w:w="2041"/>
        <w:gridCol w:w="2494"/>
      </w:tblGrid>
      <w:tr>
        <w:trPr>
          <w:cantSplit/>
          <w:tblHeader/>
        </w:trPr>
        <w:tc>
          <w:tcPr>
            <w:tcW w:type="dxa" w:w="215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Peran klip</w:t>
            </w:r>
          </w:p>
        </w:tc>
        <w:tc>
          <w:tcPr>
            <w:tcW w:type="dxa" w:w="209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Sumber</w:t>
            </w:r>
          </w:p>
        </w:tc>
        <w:tc>
          <w:tcPr>
            <w:tcW w:type="dxa" w:w="204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Huruf yang hanya ada di sumber ini</w:t>
            </w:r>
          </w:p>
        </w:tc>
        <w:tc>
          <w:tcPr>
            <w:tcW w:type="dxa" w:w="249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Catatan</w:t>
            </w:r>
          </w:p>
        </w:tc>
      </w:tr>
      <w:tr>
        <w:trPr>
          <w:cantSplit/>
        </w:trPr>
        <w:tc>
          <w:tcPr>
            <w:tcW w:type="dxa" w:w="215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Dengar: klip pendek 1 sampai 4 menit</w:t>
            </w:r>
          </w:p>
        </w:tc>
        <w:tc>
          <w:tcPr>
            <w:tcW w:type="dxa" w:w="209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Kanal resmi Dr. Ayman Swaid</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tl/>
              </w:rPr>
              <w:t>ض</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ط</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Diunggah pemilik kanal sendiri</w:t>
            </w:r>
          </w:p>
        </w:tc>
      </w:tr>
      <w:tr>
        <w:trPr>
          <w:cantSplit/>
        </w:trPr>
        <w:tc>
          <w:tcPr>
            <w:tcW w:type="dxa" w:w="215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Dengar dan tiru per harakat</w:t>
            </w:r>
          </w:p>
        </w:tc>
        <w:tc>
          <w:tcPr>
            <w:tcW w:type="dxa" w:w="209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Kanal Al-Andalasy (Tahsin Camp)</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tl/>
              </w:rPr>
              <w:t>ص</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ق</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غ</w:t>
            </w:r>
            <w:r>
              <w:rPr>
                <w:rFonts w:ascii="Times New Roman" w:hAnsi="Times New Roman" w:cs="Times New Roman" w:eastAsia="Times New Roman"/>
                <w:b w:val="0"/>
                <w:i w:val="0"/>
                <w:sz w:val="20"/>
                <w:szCs w:val="20"/>
              </w:rPr>
              <w:t xml:space="preserve">, </w:t>
            </w:r>
            <w:r>
              <w:rPr>
                <w:rFonts w:ascii="Times New Roman" w:hAnsi="Times New Roman" w:cs="Times New Roman" w:eastAsia="Times New Roman"/>
                <w:b w:val="0"/>
                <w:i w:val="0"/>
                <w:sz w:val="20"/>
                <w:szCs w:val="20"/>
                <w:rtl/>
              </w:rPr>
              <w:t>ء</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Konteks Indonesia; beberapa huruf digabung dalam satu video</w:t>
            </w:r>
          </w:p>
        </w:tc>
      </w:tr>
      <w:tr>
        <w:trPr>
          <w:cantSplit/>
        </w:trPr>
        <w:tc>
          <w:tcPr>
            <w:tcW w:type="dxa" w:w="215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Alif</w:t>
            </w:r>
          </w:p>
        </w:tc>
        <w:tc>
          <w:tcPr>
            <w:tcW w:type="dxa" w:w="209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Belum ada klip khusus</w:t>
            </w:r>
          </w:p>
        </w:tc>
        <w:tc>
          <w:tcPr>
            <w:tcW w:type="dxa" w:w="204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w:t>
            </w:r>
          </w:p>
        </w:tc>
        <w:tc>
          <w:tcPr>
            <w:tcW w:type="dxa" w:w="249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 xml:space="preserve">Ditampilkan sebagai huruf mad dari </w:t>
            </w:r>
            <w:r>
              <w:rPr>
                <w:rFonts w:ascii="Times New Roman" w:hAnsi="Times New Roman" w:cs="Times New Roman" w:eastAsia="Times New Roman"/>
                <w:b w:val="0"/>
                <w:i/>
                <w:sz w:val="20"/>
                <w:szCs w:val="20"/>
              </w:rPr>
              <w:t>al-jauf</w:t>
            </w:r>
            <w:r>
              <w:rPr>
                <w:rFonts w:ascii="Times New Roman" w:hAnsi="Times New Roman" w:cs="Times New Roman" w:eastAsia="Times New Roman"/>
                <w:b w:val="0"/>
                <w:i w:val="0"/>
                <w:sz w:val="20"/>
                <w:szCs w:val="20"/>
              </w:rPr>
              <w:t xml:space="preserve"> tanpa video</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8. Rancangan Uji Coba dan Instrumen</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Uji coba mengukur perubahan pemahaman dan bacaan peserta, selain kegunaan aplikasi (Tabel J). Semua instrumen yang diisi peserta sudah tersedia di menu Saya pada aplikasi. Peserta memasukkan kode dari peneliti, menyatakan berusia minimal 18 tahun, dan menyetujui lembar penjelasan. Data tersimpan di perangkat dan baru sampai ke peneliti ketika peserta sendiri mengunduh berkas ekspor JSON dan menyerahkannya. Rekaman suara tidak ikut diekspor.</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J. </w:t>
      </w:r>
      <w:r>
        <w:rPr>
          <w:rFonts w:ascii="Times New Roman" w:hAnsi="Times New Roman" w:cs="Times New Roman" w:eastAsia="Times New Roman"/>
          <w:b w:val="0"/>
          <w:i w:val="0"/>
          <w:sz w:val="24"/>
          <w:szCs w:val="24"/>
        </w:rPr>
        <w:t>Tahapan uji coba, instrumen, dan analisis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474"/>
        <w:gridCol w:w="1871"/>
        <w:gridCol w:w="2835"/>
        <w:gridCol w:w="2608"/>
      </w:tblGrid>
      <w:tr>
        <w:trPr>
          <w:cantSplit/>
          <w:tblHeader/>
        </w:trPr>
        <w:tc>
          <w:tcPr>
            <w:tcW w:type="dxa" w:w="147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Tahap</w:t>
            </w:r>
          </w:p>
        </w:tc>
        <w:tc>
          <w:tcPr>
            <w:tcW w:type="dxa" w:w="187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Peserta</w:t>
            </w:r>
          </w:p>
        </w:tc>
        <w:tc>
          <w:tcPr>
            <w:tcW w:type="dxa" w:w="2835"/>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Instrumen</w:t>
            </w:r>
          </w:p>
        </w:tc>
        <w:tc>
          <w:tcPr>
            <w:tcW w:type="dxa" w:w="260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Analisis</w:t>
            </w:r>
          </w:p>
        </w:tc>
      </w:tr>
      <w:tr>
        <w:trPr>
          <w:cantSplit/>
        </w:trPr>
        <w:tc>
          <w:tcPr>
            <w:tcW w:type="dxa" w:w="147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Uji kegunaan formatif</w:t>
            </w:r>
          </w:p>
        </w:tc>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5 sampai 8 orang campuran: mahasiswa, orang tua, lansia</w:t>
            </w:r>
          </w:p>
        </w:tc>
        <w:tc>
          <w:tcPr>
            <w:tcW w:type="dxa" w:w="283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8 tugas </w:t>
            </w:r>
            <w:r>
              <w:rPr>
                <w:rFonts w:ascii="Times New Roman" w:hAnsi="Times New Roman" w:cs="Times New Roman" w:eastAsia="Times New Roman"/>
                <w:b w:val="0"/>
                <w:i/>
                <w:sz w:val="20"/>
                <w:szCs w:val="20"/>
              </w:rPr>
              <w:t>think-aloud</w:t>
            </w:r>
            <w:r>
              <w:rPr>
                <w:rFonts w:ascii="Times New Roman" w:hAnsi="Times New Roman" w:cs="Times New Roman" w:eastAsia="Times New Roman"/>
                <w:b w:val="0"/>
                <w:i w:val="0"/>
                <w:sz w:val="20"/>
                <w:szCs w:val="20"/>
              </w:rPr>
              <w:t xml:space="preserve">, termasuk menolak izin kamera; </w:t>
            </w:r>
            <w:r>
              <w:rPr>
                <w:rFonts w:ascii="Times New Roman" w:hAnsi="Times New Roman" w:cs="Times New Roman" w:eastAsia="Times New Roman"/>
                <w:b w:val="0"/>
                <w:i/>
                <w:sz w:val="20"/>
                <w:szCs w:val="20"/>
              </w:rPr>
              <w:t>Single Ease Question</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Tingkat penyelesaian tugas dan tingkat keparahan masalah; perbaikan dicatat per versi</w:t>
            </w:r>
          </w:p>
        </w:tc>
      </w:tr>
      <w:tr>
        <w:trPr>
          <w:cantSplit/>
        </w:trPr>
        <w:tc>
          <w:tcPr>
            <w:tcW w:type="dxa" w:w="147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Tes pemahaman</w:t>
            </w:r>
          </w:p>
        </w:tc>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20 pemula, minimal 18 tahun</w:t>
            </w:r>
          </w:p>
        </w:tc>
        <w:tc>
          <w:tcPr>
            <w:tcW w:type="dxa" w:w="283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20 soal: 7 area, 7 titik, 6 sifat; bentuk A dan B dengan urutan ditukar antarpeserta</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 xml:space="preserve">Uji Wilcoxon bertanda, median dan rentang antarkuartil, ukuran efek </w:t>
            </w:r>
            <w:r>
              <w:rPr>
                <w:rFonts w:ascii="Times New Roman" w:hAnsi="Times New Roman" w:cs="Times New Roman" w:eastAsia="Times New Roman"/>
                <w:b w:val="0"/>
                <w:i/>
                <w:sz w:val="20"/>
                <w:szCs w:val="20"/>
              </w:rPr>
              <w:t>r</w:t>
            </w:r>
          </w:p>
        </w:tc>
      </w:tr>
      <w:tr>
        <w:trPr>
          <w:cantSplit/>
        </w:trPr>
        <w:tc>
          <w:tcPr>
            <w:tcW w:type="dxa" w:w="147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Kualitas bacaan</w:t>
            </w:r>
          </w:p>
        </w:tc>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Peserta yang sama</w:t>
            </w:r>
          </w:p>
        </w:tc>
        <w:tc>
          <w:tcPr>
            <w:tcW w:type="dxa" w:w="283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10 kata direkam pada hari ke-0 dan ke-14; rubrik 0 sampai 2 per huruf sasaran</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Dinilai dua pengajar tanpa mengetahui urutan rekaman; kappa Cohen</w:t>
            </w:r>
          </w:p>
        </w:tc>
      </w:tr>
      <w:tr>
        <w:trPr>
          <w:cantSplit/>
        </w:trPr>
        <w:tc>
          <w:tcPr>
            <w:tcW w:type="dxa" w:w="147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Kegunaan</w:t>
            </w:r>
          </w:p>
        </w:tc>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Peserta yang sama</w:t>
            </w:r>
          </w:p>
        </w:tc>
        <w:tc>
          <w:tcPr>
            <w:tcW w:type="dxa" w:w="283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SUS 10 butir versi Indonesia (Sharfina &amp; Santoso, 2016)</w:t>
            </w:r>
          </w:p>
        </w:tc>
        <w:tc>
          <w:tcPr>
            <w:tcW w:type="dxa" w:w="260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Rata-rata dan interval kepercayaan 95% dibandingkan dengan ambang 68</w:t>
            </w:r>
          </w:p>
        </w:tc>
      </w:tr>
      <w:tr>
        <w:trPr>
          <w:cantSplit/>
        </w:trPr>
        <w:tc>
          <w:tcPr>
            <w:tcW w:type="dxa" w:w="147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Keterlibatan</w:t>
            </w:r>
          </w:p>
        </w:tc>
        <w:tc>
          <w:tcPr>
            <w:tcW w:type="dxa" w:w="187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Peserta yang sama</w:t>
            </w:r>
          </w:p>
        </w:tc>
        <w:tc>
          <w:tcPr>
            <w:tcW w:type="dxa" w:w="2835"/>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Log pemakaian dari berkas ekspor</w:t>
            </w:r>
          </w:p>
        </w:tc>
        <w:tc>
          <w:tcPr>
            <w:tcW w:type="dxa" w:w="260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Persentase peserta yang aktif minimal 4 hari per pekan</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Soal tes dibangkitkan dari data materi dengan bilangan acak berbenih tetap, sehingga setiap peserta menerima soal yang sama untuk bentuk yang sama. Peserta bernomor ganjil mengerjakan bentuk A sebelum belajar dan bentuk B sesudahnya, sedangkan peserta bernomor genap sebaliknya. Aplikasi menghitung hari aktif sebagai hari dengan minimal satu kegiatan bermakna, yaitu membuka langkah pelajaran, merekam, menjawab kuis, atau membaca surah; membuka aplikasi saja tetap tercatat di log, tetapi tidak dihitung sebagai hari aktif. Butir SUS di aplikasi masih berupa terjemahan kerja dan akan diganti dengan versi Indonesia yang sudah divalidasi sebelum studi resmi.</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Target rekaman ditetapkan sebagai "jumlah kesalahan menurun", bukan "bacaan menjadi benar". Meta-analisis pelatihan fonetik dengan variasi tinggi menemukan efek besar pada kemampuan membedakan bunyi (</w:t>
      </w:r>
      <w:r>
        <w:rPr>
          <w:rFonts w:ascii="Times New Roman" w:hAnsi="Times New Roman" w:cs="Times New Roman" w:eastAsia="Times New Roman"/>
          <w:b w:val="0"/>
          <w:i/>
          <w:sz w:val="24"/>
          <w:szCs w:val="24"/>
        </w:rPr>
        <w:t>g</w:t>
      </w:r>
      <w:r>
        <w:rPr>
          <w:rFonts w:ascii="Times New Roman" w:hAnsi="Times New Roman" w:cs="Times New Roman" w:eastAsia="Times New Roman"/>
          <w:b w:val="0"/>
          <w:i w:val="0"/>
          <w:sz w:val="24"/>
          <w:szCs w:val="24"/>
        </w:rPr>
        <w:t xml:space="preserve"> = 0,92 untuk tes awal dan akhir; Uchihara dkk., 2025), tetapi perbaikan pengucapan jauh lebih kecil, yaitu 10,5% pada butir yang dilatih dan 4,5% pada butir yang tidak dilatih (Uchihara dkk., 2024). Penilaian diri pengucapan juga sering tidak akurat; penutur yang lemah cenderung menilai dirinya terlalu tinggi (Trofimovich dkk., 2016). Karena itu, daftar periksa di aplikasi memakai butir yang dapat diamati, label "belum divalidasi pengajar" tetap tampil, dan penilaian akhir diserahkan kepada pengajar. Hasil Katz dan Mehta (2015) juga hanya berasal dari lima peserta dengan umpan balik lidah secara langsung, sehingga dipakai sebagai alasan desain, bukan sebagai perkiraan besar efek.</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9. Kajian Kesiapan Penilaian Bacaan Otomatis</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 xml:space="preserve">MVP sengaja tidak menilai bacaan secara otomatis. Tabel K merangkum hasil penelitian terbaru tentang deteksi kesalahan pelafalan bacaan Al-Qur'an. Sistem terbaik pada Iqra'Eval 2025 hanya mencapai presisi 0,37, artinya hampir dua pertiga bacaan yang ditandai salah sebenarnya benar, dan 35% kesalahan nyata lolos (El Kheir dkk., 2025b). Angka ini diukur pada penutur asli bahasa Arab; belum ada angka untuk penutur Indonesia ataupun untuk pasangan huruf seperti </w:t>
      </w:r>
      <w:r>
        <w:rPr>
          <w:rFonts w:ascii="Times New Roman" w:hAnsi="Times New Roman" w:cs="Times New Roman" w:eastAsia="Times New Roman"/>
          <w:b w:val="0"/>
          <w:i w:val="0"/>
          <w:sz w:val="24"/>
          <w:szCs w:val="24"/>
          <w:rtl/>
        </w:rPr>
        <w:t>ح</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ه</w:t>
      </w:r>
      <w:r>
        <w:rPr>
          <w:rFonts w:ascii="Times New Roman" w:hAnsi="Times New Roman" w:cs="Times New Roman" w:eastAsia="Times New Roman"/>
          <w:b w:val="0"/>
          <w:i w:val="0"/>
          <w:sz w:val="24"/>
          <w:szCs w:val="24"/>
        </w:rPr>
        <w:t xml:space="preserve"> dan </w:t>
      </w:r>
      <w:r>
        <w:rPr>
          <w:rFonts w:ascii="Times New Roman" w:hAnsi="Times New Roman" w:cs="Times New Roman" w:eastAsia="Times New Roman"/>
          <w:b w:val="0"/>
          <w:i w:val="0"/>
          <w:sz w:val="24"/>
          <w:szCs w:val="24"/>
          <w:rtl/>
        </w:rPr>
        <w:t>ق</w:t>
      </w:r>
      <w:r>
        <w:rPr>
          <w:rFonts w:ascii="Times New Roman" w:hAnsi="Times New Roman" w:cs="Times New Roman" w:eastAsia="Times New Roman"/>
          <w:b w:val="0"/>
          <w:i w:val="0"/>
          <w:sz w:val="24"/>
          <w:szCs w:val="24"/>
        </w:rPr>
        <w:t>-</w:t>
      </w:r>
      <w:r>
        <w:rPr>
          <w:rFonts w:ascii="Times New Roman" w:hAnsi="Times New Roman" w:cs="Times New Roman" w:eastAsia="Times New Roman"/>
          <w:b w:val="0"/>
          <w:i w:val="0"/>
          <w:sz w:val="24"/>
          <w:szCs w:val="24"/>
          <w:rtl/>
        </w:rPr>
        <w:t>ك</w:t>
      </w:r>
      <w:r>
        <w:rPr>
          <w:rFonts w:ascii="Times New Roman" w:hAnsi="Times New Roman" w:cs="Times New Roman" w:eastAsia="Times New Roman"/>
          <w:b w:val="0"/>
          <w:i w:val="0"/>
          <w:sz w:val="24"/>
          <w:szCs w:val="24"/>
        </w:rPr>
        <w:t>. Memberi skor yang sering keliru kepada pemula akan merusak kepercayaan pada aplikasi yang bersandar pada rujukan guru.</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K. </w:t>
      </w:r>
      <w:r>
        <w:rPr>
          <w:rFonts w:ascii="Times New Roman" w:hAnsi="Times New Roman" w:cs="Times New Roman" w:eastAsia="Times New Roman"/>
          <w:b w:val="0"/>
          <w:i w:val="0"/>
          <w:sz w:val="24"/>
          <w:szCs w:val="24"/>
        </w:rPr>
        <w:t>Hasil penelitian deteksi kesalahan pelafalan bacaan Al-Qur'an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984"/>
        <w:gridCol w:w="2494"/>
        <w:gridCol w:w="2041"/>
        <w:gridCol w:w="2268"/>
      </w:tblGrid>
      <w:tr>
        <w:trPr>
          <w:cantSplit/>
          <w:tblHeader/>
        </w:trPr>
        <w:tc>
          <w:tcPr>
            <w:tcW w:type="dxa" w:w="198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Studi</w:t>
            </w:r>
          </w:p>
        </w:tc>
        <w:tc>
          <w:tcPr>
            <w:tcW w:type="dxa" w:w="249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Data uji</w:t>
            </w:r>
          </w:p>
        </w:tc>
        <w:tc>
          <w:tcPr>
            <w:tcW w:type="dxa" w:w="204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Hasil terbaik</w:t>
            </w:r>
          </w:p>
        </w:tc>
        <w:tc>
          <w:tcPr>
            <w:tcW w:type="dxa" w:w="226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Catatan untuk Makhraj</w:t>
            </w:r>
          </w:p>
        </w:tc>
      </w:tr>
      <w:tr>
        <w:trPr>
          <w:cantSplit/>
        </w:trPr>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QuranMB.v1 (El Kheir dkk., 2025a)</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98 ayat, 18 penutur asli yang sengaja membuat kesalahan tertentu</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F1 29,88%; presisi 18,70%</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Kesalahan buatan, bukan kesalahan pemula</w:t>
            </w:r>
          </w:p>
        </w:tc>
      </w:tr>
      <w:tr>
        <w:trPr>
          <w:cantSplit/>
        </w:trPr>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Iqra'Eval 2025 (El Kheir dkk., 2025b)</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Tolok ukur yang sama, 2025</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F1 0,4726; presisi 0,3713; penerimaan salah 0,3499</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Sebagian besar tanda kesalahan keliru</w:t>
            </w:r>
          </w:p>
        </w:tc>
      </w:tr>
      <w:tr>
        <w:trPr>
          <w:cantSplit/>
        </w:trPr>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IQRA 2026 (El Kheir dkk., 2026)</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QuranMB.v2, 1.643 ujaran beranotasi ahli</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F1 0,7201</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Membaik, tetapi belum diuji pada penutur Indonesia</w:t>
            </w:r>
          </w:p>
        </w:tc>
      </w:tr>
      <w:tr>
        <w:trPr>
          <w:cantSplit/>
        </w:trPr>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Abdelfattah dkk. (2025)</w:t>
            </w:r>
          </w:p>
        </w:tc>
        <w:tc>
          <w:tcPr>
            <w:tcW w:type="dxa" w:w="249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848 jam audio bacaan</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 0,21%; F1 tajwid 75,8%</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Data latih dari qari, bukan pemula</w:t>
            </w:r>
          </w:p>
        </w:tc>
      </w:tr>
      <w:tr>
        <w:trPr>
          <w:cantSplit/>
        </w:trPr>
        <w:tc>
          <w:tcPr>
            <w:tcW w:type="dxa" w:w="198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Salameh dkk. (2024)</w:t>
            </w:r>
          </w:p>
        </w:tc>
        <w:tc>
          <w:tcPr>
            <w:tcW w:type="dxa" w:w="249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Sekitar 7.000 bacaan dari 1.287 peserta non-Arab</w:t>
            </w:r>
          </w:p>
        </w:tc>
        <w:tc>
          <w:tcPr>
            <w:tcW w:type="dxa" w:w="204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Kesepakatan antaranotator 0,63</w:t>
            </w:r>
          </w:p>
        </w:tc>
        <w:tc>
          <w:tcPr>
            <w:tcW w:type="dxa" w:w="226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Label per bacaan, bukan per huruf</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Kekurangan terbesar ada pada data: belum ada data publik berisi bacaan penutur Indonesia dengan label kesalahan makhraj dari pengajar. Tahap 2 Makhraj menghasilkan data semacam itu sebagai hasil sampingan koreksi. Rekaman baru dipakai untuk riset bila pemiliknya memberi persetujuan terpisah yang dapat ditarik kembali. Label mengikuti rubrik pengajar (tepat, bergeser ke huruf lain, atau kurang jelas), sebagian rekaman dinilai dua kali untuk menghitung kappa, dan metadata yang disimpan hanya kelompok usia, jenis kelamin, bahasa ibu, dan jenis perangkat. Model pada Tahap 3 dibangun dari data tersebut, dan setiap hasil yang meragukan tetap diteruskan kepada pengajar.</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 xml:space="preserve">Lampiran 10. Pelindungan Data dan Rencana </w:t>
      </w:r>
      <w:r>
        <w:rPr>
          <w:rFonts w:ascii="Times New Roman" w:hAnsi="Times New Roman" w:cs="Times New Roman" w:eastAsia="Times New Roman"/>
          <w:b/>
          <w:i/>
          <w:sz w:val="24"/>
          <w:szCs w:val="24"/>
          <w:bCs/>
        </w:rPr>
        <w:t>Backend</w:t>
      </w:r>
      <w:r>
        <w:rPr>
          <w:rFonts w:ascii="Times New Roman" w:hAnsi="Times New Roman" w:cs="Times New Roman" w:eastAsia="Times New Roman"/>
          <w:b/>
          <w:i w:val="0"/>
          <w:sz w:val="24"/>
          <w:szCs w:val="24"/>
          <w:bCs/>
        </w:rPr>
        <w:t xml:space="preserve"> Tahap 2</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Pada MVP tidak ada data pengguna yang dikirim ke server. Tabel L memetakan letak setiap jenis data sekarang dan pada Tahap 2. Firebase dipilih untuk Tahap 2 karena Firestore dapat ditempatkan di Jakarta (asia-southeast2) dan paket gratisnya mencakup 1 GiB data, 50 ribu baca dan 20 ribu tulis per hari, serta autentikasi hingga 50 ribu pengguna aktif bulanan (Firebase, t.t.-b). Kuota ini jauh di atas kebutuhan uji 20 peserta. Sejak 3 Februari 2026, proyek dengan paket gratis tidak lagi dapat membaca dan menulis Cloud Storage (Firebase, t.t.-a). Karena itu, unggah rekaman baru dibangun bersama layanan setoran berbayar, saat proyek pindah ke paket Blaze dengan peringatan anggaran.</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L. </w:t>
      </w:r>
      <w:r>
        <w:rPr>
          <w:rFonts w:ascii="Times New Roman" w:hAnsi="Times New Roman" w:cs="Times New Roman" w:eastAsia="Times New Roman"/>
          <w:b w:val="0"/>
          <w:i w:val="0"/>
          <w:sz w:val="24"/>
          <w:szCs w:val="24"/>
        </w:rPr>
        <w:t>Letak dan perlindungan data pengguna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71"/>
        <w:gridCol w:w="2041"/>
        <w:gridCol w:w="2041"/>
        <w:gridCol w:w="2835"/>
      </w:tblGrid>
      <w:tr>
        <w:trPr>
          <w:cantSplit/>
          <w:tblHeader/>
        </w:trPr>
        <w:tc>
          <w:tcPr>
            <w:tcW w:type="dxa" w:w="187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Data</w:t>
            </w:r>
          </w:p>
        </w:tc>
        <w:tc>
          <w:tcPr>
            <w:tcW w:type="dxa" w:w="204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MVP (Tahap 1)</w:t>
            </w:r>
          </w:p>
        </w:tc>
        <w:tc>
          <w:tcPr>
            <w:tcW w:type="dxa" w:w="204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Tahap 2</w:t>
            </w:r>
          </w:p>
        </w:tc>
        <w:tc>
          <w:tcPr>
            <w:tcW w:type="dxa" w:w="2835"/>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Perlindungan</w:t>
            </w:r>
          </w:p>
        </w:tc>
      </w:tr>
      <w:tr>
        <w:trPr>
          <w:cantSplit/>
        </w:trPr>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Progres, pengaturan, log pemakaian</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localStorage perangkat</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Firestore Jakarta, per akun</w:t>
            </w:r>
          </w:p>
        </w:tc>
        <w:tc>
          <w:tcPr>
            <w:tcW w:type="dxa" w:w="283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Pengguna hanya dapat membaca dan menulis datanya sendiri</w:t>
            </w:r>
          </w:p>
        </w:tc>
      </w:tr>
      <w:tr>
        <w:trPr>
          <w:cantSplit/>
        </w:trPr>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Rekaman suara</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IndexedDB perangkat</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Cloud Storage hanya saat disetor</w:t>
            </w:r>
          </w:p>
        </w:tc>
        <w:tc>
          <w:tcPr>
            <w:tcW w:type="dxa" w:w="283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Persetujuan per setoran; batas ukuran; dihapus 90 hari setelah dikoreksi</w:t>
            </w:r>
          </w:p>
        </w:tc>
      </w:tr>
      <w:tr>
        <w:trPr>
          <w:cantSplit/>
        </w:trPr>
        <w:tc>
          <w:tcPr>
            <w:tcW w:type="dxa" w:w="187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Hasil tes dan SUS</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Perangkat; ekspor JSON oleh peserta</w:t>
            </w:r>
          </w:p>
        </w:tc>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Firestore, koleksi studi</w:t>
            </w:r>
          </w:p>
        </w:tc>
        <w:tc>
          <w:tcPr>
            <w:tcW w:type="dxa" w:w="283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Kode peserta, tanpa nama; peserta minimal 18 tahun</w:t>
            </w:r>
          </w:p>
        </w:tc>
      </w:tr>
      <w:tr>
        <w:trPr>
          <w:cantSplit/>
        </w:trPr>
        <w:tc>
          <w:tcPr>
            <w:tcW w:type="dxa" w:w="187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Akun</w:t>
            </w:r>
          </w:p>
        </w:tc>
        <w:tc>
          <w:tcPr>
            <w:tcW w:type="dxa" w:w="204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Tidak ada</w:t>
            </w:r>
          </w:p>
        </w:tc>
        <w:tc>
          <w:tcPr>
            <w:tcW w:type="dxa" w:w="204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Login anonim, lalu Google atau tautan surel</w:t>
            </w:r>
          </w:p>
        </w:tc>
        <w:tc>
          <w:tcPr>
            <w:tcW w:type="dxa" w:w="2835"/>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Tanpa nomor telepon; akun dapat dihapus</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Persetujuan disusun per tujuan: data progres untuk akun, ikut riset, unggah rekaman per setoran, dan analitik. Setiap persetujuan dapat ditarik dari menu Saya, dan pengguna dapat mengunduh atau menghapus seluruh datanya. Peraturan pelaksana Undang-Undang Nomor 27 Tahun 2022 dilaporkan ditetapkan sebagai PP Nomor 33 Tahun 2026 dengan masa transisi enam bulan, tetapi belum diundangkan secara resmi saat proposal ini ditulis (Mediana, 2026). Tim akan mencocokkan kewajiban teknisnya, seperti tenggat penarikan persetujuan dan pemberitahuan insiden, dengan teks resmi sebelum Tahap 2 dibuka. Satu anggota tim ditunjuk sebagai kontak pelindungan data.</w:t>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11. Aksesibilitas dan Adab Desain</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Pengguna Makhraj mencakup lansia, sehingga aksesibilitas diperlakukan sebagai syarat. Acuannya adalah WCAG 2.2, yang meminta kontras minimal 4,5:1 untuk teks dan 3:1 untuk penanda nonteks (W3C, 2023). Pada palet awal, teks berwarna emas di atas latar krem hanya mencapai kontras 2,65:1. Tabel M merinci perbaikan yang sudah diterapkan di purwarupa React.</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M. </w:t>
      </w:r>
      <w:r>
        <w:rPr>
          <w:rFonts w:ascii="Times New Roman" w:hAnsi="Times New Roman" w:cs="Times New Roman" w:eastAsia="Times New Roman"/>
          <w:b w:val="0"/>
          <w:i w:val="0"/>
          <w:sz w:val="24"/>
          <w:szCs w:val="24"/>
        </w:rPr>
        <w:t>Penerapan aksesibilitas dan adab desain pada purwarupa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5443"/>
        <w:gridCol w:w="1531"/>
      </w:tblGrid>
      <w:tr>
        <w:trPr>
          <w:cantSplit/>
          <w:tblHeader/>
        </w:trPr>
        <w:tc>
          <w:tcPr>
            <w:tcW w:type="dxa" w:w="181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Aspek</w:t>
            </w:r>
          </w:p>
        </w:tc>
        <w:tc>
          <w:tcPr>
            <w:tcW w:type="dxa" w:w="5443"/>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Penerapan</w:t>
            </w:r>
          </w:p>
        </w:tc>
        <w:tc>
          <w:tcPr>
            <w:tcW w:type="dxa" w:w="153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Status</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Kontras warna</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Emas hanya untuk hiasan; teks memakai emas gelap yang lolos AA</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Diterapkan</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Sorot kata di mushaf</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Latar emas muda dan garis bawah teal 3 px; fon dan ukuran tidak diubah agar sambungan huruf Arab tetap utuh</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Diterapkan</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Ukuran sentuh dan teks</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Tombol minimal 48 px; ukuran teks dapat diperbesar dari menu Saya</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Diterapkan</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Gerak</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Animasi dimatikan bila perangkat meminta gerak dikurangi</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Diterapkan</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Navigasi papan ketik</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Garis fokus yang jelas; tombol ikon memakai label</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Diterapkan</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Gamifikasi</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Tanpa papan peringkat, poin, dan iklan; hari belajar pekan ini dapat disembunyikan</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Diterapkan</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Kejujuran materi</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Label "Belum divalidasi pengajar" pada setiap pelajaran sampai ditinjau</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Diterapkan</w:t>
            </w:r>
          </w:p>
        </w:tc>
      </w:tr>
      <w:tr>
        <w:trPr>
          <w:cantSplit/>
        </w:trPr>
        <w:tc>
          <w:tcPr>
            <w:tcW w:type="dxa" w:w="181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Audit otomatis</w:t>
            </w:r>
          </w:p>
        </w:tc>
        <w:tc>
          <w:tcPr>
            <w:tcW w:type="dxa" w:w="5443"/>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axe-core (WCAG 2.2 A dan AA) pada 12 layar; satu temuan label tombol harakat sudah diperbaiki; tanpa pelanggaran serius</w:t>
            </w:r>
          </w:p>
        </w:tc>
        <w:tc>
          <w:tcPr>
            <w:tcW w:type="dxa" w:w="153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Lolos</w:t>
            </w:r>
          </w:p>
        </w:tc>
      </w:tr>
      <w:tr>
        <w:trPr>
          <w:cantSplit/>
        </w:trPr>
        <w:tc>
          <w:tcPr>
            <w:tcW w:type="dxa" w:w="181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Pembaca layar</w:t>
            </w:r>
          </w:p>
        </w:tc>
        <w:tc>
          <w:tcPr>
            <w:tcW w:type="dxa" w:w="5443"/>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Uji dengan TalkBack di perangkat Android</w:t>
            </w:r>
          </w:p>
        </w:tc>
        <w:tc>
          <w:tcPr>
            <w:tcW w:type="dxa" w:w="153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Rencana</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120" w:after="40"/>
        <w:ind w:left="0" w:firstLine="0"/>
        <w:jc w:val="left"/>
      </w:pPr>
      <w:r>
        <w:rPr>
          <w:rFonts w:ascii="Times New Roman" w:hAnsi="Times New Roman" w:cs="Times New Roman" w:eastAsia="Times New Roman"/>
          <w:b/>
          <w:i w:val="0"/>
          <w:sz w:val="24"/>
          <w:szCs w:val="24"/>
          <w:bCs/>
        </w:rPr>
        <w:t>Lampiran 12. Risiko, Mitigasi, dan Status Pekerjaan</w:t>
      </w:r>
    </w:p>
    <w:p>
      <w:pPr>
        <w:keepNext w:val="0"/>
        <w:widowControl/>
        <w:spacing w:line="276" w:lineRule="auto" w:before="0" w:after="60"/>
        <w:ind w:left="0" w:firstLine="567"/>
        <w:jc w:val="both"/>
      </w:pPr>
      <w:r>
        <w:rPr>
          <w:rFonts w:ascii="Times New Roman" w:hAnsi="Times New Roman" w:cs="Times New Roman" w:eastAsia="Times New Roman"/>
          <w:b w:val="0"/>
          <w:i w:val="0"/>
          <w:sz w:val="24"/>
          <w:szCs w:val="24"/>
        </w:rPr>
        <w:t>Sebagian besar risiko yang tersisa menyangkut konten dan izin. Tabel N memuat risiko yang masih terbuka beserta batas waktunya, dan Tabel O memisahkan pekerjaan Tahap 1 yang sudah selesai dari yang belum.</w:t>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N. </w:t>
      </w:r>
      <w:r>
        <w:rPr>
          <w:rFonts w:ascii="Times New Roman" w:hAnsi="Times New Roman" w:cs="Times New Roman" w:eastAsia="Times New Roman"/>
          <w:b w:val="0"/>
          <w:i w:val="0"/>
          <w:sz w:val="24"/>
          <w:szCs w:val="24"/>
        </w:rPr>
        <w:t>Risiko yang masih terbuka dan mitigasinya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041"/>
        <w:gridCol w:w="1984"/>
        <w:gridCol w:w="3175"/>
        <w:gridCol w:w="1587"/>
      </w:tblGrid>
      <w:tr>
        <w:trPr>
          <w:cantSplit/>
          <w:tblHeader/>
        </w:trPr>
        <w:tc>
          <w:tcPr>
            <w:tcW w:type="dxa" w:w="2041"/>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Risiko</w:t>
            </w:r>
          </w:p>
        </w:tc>
        <w:tc>
          <w:tcPr>
            <w:tcW w:type="dxa" w:w="1984"/>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Dampak</w:t>
            </w:r>
          </w:p>
        </w:tc>
        <w:tc>
          <w:tcPr>
            <w:tcW w:type="dxa" w:w="3175"/>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Mitigasi</w:t>
            </w:r>
          </w:p>
        </w:tc>
        <w:tc>
          <w:tcPr>
            <w:tcW w:type="dxa" w:w="1587"/>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Batas waktu</w:t>
            </w:r>
          </w:p>
        </w:tc>
      </w:tr>
      <w:tr>
        <w:trPr>
          <w:cantSplit/>
        </w:trPr>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Materi belum divalidasi pengajar</w:t>
            </w:r>
          </w:p>
        </w:tc>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Klaim rujukan guru bersanad melemah</w:t>
            </w:r>
          </w:p>
        </w:tc>
        <w:tc>
          <w:tcPr>
            <w:tcW w:type="dxa" w:w="317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Sesi validasi mingguan; minimal 10 huruf (enam pasangan mirip) divalidasi</w:t>
            </w:r>
          </w:p>
        </w:tc>
        <w:tc>
          <w:tcPr>
            <w:tcW w:type="dxa" w:w="158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Sebelum uji lapangan</w:t>
            </w:r>
          </w:p>
        </w:tc>
      </w:tr>
      <w:tr>
        <w:trPr>
          <w:cantSplit/>
        </w:trPr>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Izin klip YouTube belum tertulis</w:t>
            </w:r>
          </w:p>
        </w:tc>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Fitur dengar bisa harus diganti</w:t>
            </w:r>
          </w:p>
        </w:tc>
        <w:tc>
          <w:tcPr>
            <w:tcW w:type="dxa" w:w="317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Minta izin tertulis ke kedua kanal; siapkan rekaman pengajar mitra</w:t>
            </w:r>
          </w:p>
        </w:tc>
        <w:tc>
          <w:tcPr>
            <w:tcW w:type="dxa" w:w="158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Sebelum fitur berbayar</w:t>
            </w:r>
          </w:p>
        </w:tc>
      </w:tr>
      <w:tr>
        <w:trPr>
          <w:cantSplit/>
        </w:trPr>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YouTube gagal di WebView Android</w:t>
            </w:r>
          </w:p>
        </w:tc>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Klip tidak terputar di APK</w:t>
            </w:r>
          </w:p>
        </w:tc>
        <w:tc>
          <w:tcPr>
            <w:tcW w:type="dxa" w:w="317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Uji di dua ponsel; tautan "Buka di YouTube"</w:t>
            </w:r>
          </w:p>
        </w:tc>
        <w:tc>
          <w:tcPr>
            <w:tcW w:type="dxa" w:w="158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Sebelum penjurian</w:t>
            </w:r>
          </w:p>
        </w:tc>
      </w:tr>
      <w:tr>
        <w:trPr>
          <w:cantSplit/>
        </w:trPr>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Terjemahan nonkomersial</w:t>
            </w:r>
          </w:p>
        </w:tc>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Tidak boleh dipakai di layanan berbayar</w:t>
            </w:r>
          </w:p>
        </w:tc>
        <w:tc>
          <w:tcPr>
            <w:tcW w:type="dxa" w:w="317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Izin LPMQ atau terjemahan dibatasi pada fitur gratis</w:t>
            </w:r>
          </w:p>
        </w:tc>
        <w:tc>
          <w:tcPr>
            <w:tcW w:type="dxa" w:w="158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Sebelum Tahap 2</w:t>
            </w:r>
          </w:p>
        </w:tc>
      </w:tr>
      <w:tr>
        <w:trPr>
          <w:cantSplit/>
        </w:trPr>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Teks bukan Mushaf Standar Indonesia</w:t>
            </w:r>
          </w:p>
        </w:tc>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Pertanyaan tentang tashih</w:t>
            </w:r>
          </w:p>
        </w:tc>
        <w:tc>
          <w:tcPr>
            <w:tcW w:type="dxa" w:w="317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Konsultasi dan tashih ke LPMQ</w:t>
            </w:r>
          </w:p>
        </w:tc>
        <w:tc>
          <w:tcPr>
            <w:tcW w:type="dxa" w:w="158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Sebelum rilis publik</w:t>
            </w:r>
          </w:p>
        </w:tc>
      </w:tr>
      <w:tr>
        <w:trPr>
          <w:cantSplit/>
        </w:trPr>
        <w:tc>
          <w:tcPr>
            <w:tcW w:type="dxa" w:w="2041"/>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Uji terbatas dianggap publikasi karya</w:t>
            </w:r>
          </w:p>
        </w:tc>
        <w:tc>
          <w:tcPr>
            <w:tcW w:type="dxa" w:w="1984"/>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Pelanggaran aturan lomba</w:t>
            </w:r>
          </w:p>
        </w:tc>
        <w:tc>
          <w:tcPr>
            <w:tcW w:type="dxa" w:w="3175"/>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Konfirmasi ke panitia sebelum uji dua pekan</w:t>
            </w:r>
          </w:p>
        </w:tc>
        <w:tc>
          <w:tcPr>
            <w:tcW w:type="dxa" w:w="1587"/>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Sebelum uji lapangan</w:t>
            </w:r>
          </w:p>
        </w:tc>
      </w:tr>
      <w:tr>
        <w:trPr>
          <w:cantSplit/>
        </w:trPr>
        <w:tc>
          <w:tcPr>
            <w:tcW w:type="dxa" w:w="2041"/>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Nama "Makhraj" sudah dipakai pihak lain</w:t>
            </w:r>
          </w:p>
        </w:tc>
        <w:tc>
          <w:tcPr>
            <w:tcW w:type="dxa" w:w="1984"/>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Sengketa merek</w:t>
            </w:r>
          </w:p>
        </w:tc>
        <w:tc>
          <w:tcPr>
            <w:tcW w:type="dxa" w:w="3175"/>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Cek Play Store dan PDKI</w:t>
            </w:r>
          </w:p>
        </w:tc>
        <w:tc>
          <w:tcPr>
            <w:tcW w:type="dxa" w:w="1587"/>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Sebelum rilis</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40" w:lineRule="auto" w:before="80" w:after="60"/>
        <w:ind w:left="0" w:firstLine="0"/>
        <w:jc w:val="center"/>
      </w:pPr>
      <w:r>
        <w:rPr>
          <w:rFonts w:ascii="Times New Roman" w:hAnsi="Times New Roman" w:cs="Times New Roman" w:eastAsia="Times New Roman"/>
          <w:b/>
          <w:sz w:val="24"/>
          <w:szCs w:val="24"/>
          <w:bCs/>
        </w:rPr>
        <w:t xml:space="preserve">Tabel O. </w:t>
      </w:r>
      <w:r>
        <w:rPr>
          <w:rFonts w:ascii="Times New Roman" w:hAnsi="Times New Roman" w:cs="Times New Roman" w:eastAsia="Times New Roman"/>
          <w:b w:val="0"/>
          <w:i w:val="0"/>
          <w:sz w:val="24"/>
          <w:szCs w:val="24"/>
        </w:rPr>
        <w:t>Status pekerjaan Tahap 1</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6520"/>
        <w:gridCol w:w="2268"/>
      </w:tblGrid>
      <w:tr>
        <w:trPr>
          <w:cantSplit/>
          <w:tblHeader/>
        </w:trPr>
        <w:tc>
          <w:tcPr>
            <w:tcW w:type="dxa" w:w="6520"/>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Pekerjaan</w:t>
            </w:r>
          </w:p>
        </w:tc>
        <w:tc>
          <w:tcPr>
            <w:tcW w:type="dxa" w:w="2268"/>
            <w:vAlign w:val="center"/>
          </w:tcPr>
          <w:p>
            <w:pPr>
              <w:keepNext/>
              <w:widowControl/>
              <w:spacing w:line="240" w:lineRule="auto" w:before="0" w:after="0"/>
              <w:ind w:left="0" w:firstLine="0"/>
              <w:jc w:val="center"/>
            </w:pPr>
            <w:r>
              <w:rPr>
                <w:rFonts w:ascii="Times New Roman" w:hAnsi="Times New Roman" w:cs="Times New Roman" w:eastAsia="Times New Roman"/>
                <w:b/>
                <w:i w:val="0"/>
                <w:sz w:val="20"/>
                <w:szCs w:val="20"/>
                <w:bCs/>
              </w:rPr>
              <w:t>Status</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Web/PWA dan proyek Android Capacitor dari satu kode; 12 tes unit dan 14 tes peramban</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Selesai</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Materi 5 area, 17 titik, 29 huruf, 6 pasangan mirip; sifat dihitung otomatis</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Selesai</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Mushaf 114 surah dengan sorot huruf dan terjemahan berlabel</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Selesai</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Rekam, cermin kamera, gelombang suara, dan putar bergantian</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Selesai</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Persetujuan, tes A/B, SUS, dan ekspor JSON untuk uji coba</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Selesai</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APK Android dibangun dan diuji di perangkat nyata</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Belum (Android SDK belum terpasang)</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Detik mulai dan selesai klip per harakat</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Belum</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Pelajaran rinci untuk 26 huruf lainnya</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Belum</w:t>
            </w:r>
          </w:p>
        </w:tc>
      </w:tr>
      <w:tr>
        <w:trPr>
          <w:cantSplit/>
        </w:trPr>
        <w:tc>
          <w:tcPr>
            <w:tcW w:type="dxa" w:w="6520"/>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Validasi materi dan ilustrasi oleh pengajar</w:t>
            </w:r>
          </w:p>
        </w:tc>
        <w:tc>
          <w:tcPr>
            <w:tcW w:type="dxa" w:w="2268"/>
            <w:vAlign w:val="center"/>
          </w:tcPr>
          <w:p>
            <w:pPr>
              <w:keepNext/>
              <w:widowControl/>
              <w:spacing w:line="240" w:lineRule="auto" w:before="0" w:after="0"/>
              <w:ind w:left="0" w:firstLine="0"/>
              <w:jc w:val="left"/>
            </w:pPr>
            <w:r>
              <w:rPr>
                <w:rFonts w:ascii="Times New Roman" w:hAnsi="Times New Roman" w:cs="Times New Roman" w:eastAsia="Times New Roman"/>
                <w:b w:val="0"/>
                <w:i w:val="0"/>
                <w:sz w:val="20"/>
                <w:szCs w:val="20"/>
              </w:rPr>
              <w:t>Belum</w:t>
            </w:r>
          </w:p>
        </w:tc>
      </w:tr>
      <w:tr>
        <w:trPr>
          <w:cantSplit/>
        </w:trPr>
        <w:tc>
          <w:tcPr>
            <w:tcW w:type="dxa" w:w="6520"/>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Uji kegunaan formatif dan uji lapangan 20 peserta</w:t>
            </w:r>
          </w:p>
        </w:tc>
        <w:tc>
          <w:tcPr>
            <w:tcW w:type="dxa" w:w="2268"/>
            <w:vAlign w:val="center"/>
          </w:tcPr>
          <w:p>
            <w:pPr>
              <w:keepNext w:val="0"/>
              <w:widowControl/>
              <w:spacing w:line="240" w:lineRule="auto" w:before="0" w:after="0"/>
              <w:ind w:left="0" w:firstLine="0"/>
              <w:jc w:val="left"/>
            </w:pPr>
            <w:r>
              <w:rPr>
                <w:rFonts w:ascii="Times New Roman" w:hAnsi="Times New Roman" w:cs="Times New Roman" w:eastAsia="Times New Roman"/>
                <w:b w:val="0"/>
                <w:i w:val="0"/>
                <w:sz w:val="20"/>
                <w:szCs w:val="20"/>
              </w:rPr>
              <w:t>Belum</w:t>
            </w:r>
          </w:p>
        </w:tc>
      </w:tr>
    </w:tbl>
    <w:p>
      <w:pPr>
        <w:keepNext w:val="0"/>
        <w:widowControl/>
        <w:spacing w:line="240" w:lineRule="auto" w:before="0" w:after="40"/>
        <w:ind w:left="0" w:firstLine="0"/>
        <w:jc w:val="both"/>
      </w:pPr>
      <w:r>
        <w:rPr>
          <w:rFonts w:ascii="Times New Roman" w:hAnsi="Times New Roman" w:cs="Times New Roman" w:eastAsia="Times New Roman"/>
          <w:sz w:val="12"/>
          <w:szCs w:val="12"/>
        </w:rPr>
      </w:r>
    </w:p>
    <w:p>
      <w:pPr>
        <w:keepNext/>
        <w:widowControl/>
        <w:spacing w:line="276" w:lineRule="auto" w:before="240" w:after="120"/>
        <w:ind w:left="0" w:firstLine="0"/>
        <w:jc w:val="left"/>
      </w:pPr>
      <w:r>
        <w:rPr>
          <w:rFonts w:ascii="Times New Roman" w:hAnsi="Times New Roman" w:cs="Times New Roman" w:eastAsia="Times New Roman"/>
          <w:b/>
          <w:i w:val="0"/>
          <w:sz w:val="24"/>
          <w:szCs w:val="24"/>
          <w:bCs/>
        </w:rPr>
        <w:t>Rujukan Lampiran</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Abdelfattah, A., Khalil, M. I., &amp; Abbas, H. (2025). </w:t>
      </w:r>
      <w:r>
        <w:rPr>
          <w:rFonts w:ascii="Times New Roman" w:hAnsi="Times New Roman" w:cs="Times New Roman" w:eastAsia="Times New Roman"/>
          <w:b w:val="0"/>
          <w:i/>
          <w:sz w:val="24"/>
          <w:szCs w:val="24"/>
        </w:rPr>
        <w:t>Automatic pronunciation error detection and correction of the Holy Quran's learners using deep learning</w:t>
      </w:r>
      <w:r>
        <w:rPr>
          <w:rFonts w:ascii="Times New Roman" w:hAnsi="Times New Roman" w:cs="Times New Roman" w:eastAsia="Times New Roman"/>
          <w:b w:val="0"/>
          <w:i w:val="0"/>
          <w:sz w:val="24"/>
          <w:szCs w:val="24"/>
        </w:rPr>
        <w:t xml:space="preserve"> (arXiv:2509.00094). arXiv. https://arxiv.org/abs/2509.00094</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Baevski, A., Zhou, H., Mohamed, A., &amp; Auli, M. (2020). wav2vec 2.0: A framework for self-supervised learning of speech representations. </w:t>
      </w:r>
      <w:r>
        <w:rPr>
          <w:rFonts w:ascii="Times New Roman" w:hAnsi="Times New Roman" w:cs="Times New Roman" w:eastAsia="Times New Roman"/>
          <w:b w:val="0"/>
          <w:i/>
          <w:sz w:val="24"/>
          <w:szCs w:val="24"/>
        </w:rPr>
        <w:t>Advances in Neural Information Processing Systems, 33</w:t>
      </w:r>
      <w:r>
        <w:rPr>
          <w:rFonts w:ascii="Times New Roman" w:hAnsi="Times New Roman" w:cs="Times New Roman" w:eastAsia="Times New Roman"/>
          <w:b w:val="0"/>
          <w:i w:val="0"/>
          <w:sz w:val="24"/>
          <w:szCs w:val="24"/>
        </w:rPr>
        <w:t>, 12449–12460.</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El Kheir, Y., Ibrahim, O., Meghanani, A., Almarwani, N., Toyin, H. O., Alharbi, S., Alfadly, M., Alkanhal, L., Selim, I., Elbatal, S., Mdhaffar, S., Hain, T., Hifny, Y., Shahin, M., &amp; Ali, A. (2025a). </w:t>
      </w:r>
      <w:r>
        <w:rPr>
          <w:rFonts w:ascii="Times New Roman" w:hAnsi="Times New Roman" w:cs="Times New Roman" w:eastAsia="Times New Roman"/>
          <w:b w:val="0"/>
          <w:i/>
          <w:sz w:val="24"/>
          <w:szCs w:val="24"/>
        </w:rPr>
        <w:t>Towards a unified benchmark for Arabic pronunciation assessment: Quranic recitation as case study</w:t>
      </w:r>
      <w:r>
        <w:rPr>
          <w:rFonts w:ascii="Times New Roman" w:hAnsi="Times New Roman" w:cs="Times New Roman" w:eastAsia="Times New Roman"/>
          <w:b w:val="0"/>
          <w:i w:val="0"/>
          <w:sz w:val="24"/>
          <w:szCs w:val="24"/>
        </w:rPr>
        <w:t xml:space="preserve"> (arXiv:2506.07722). arXiv. https://arxiv.org/abs/2506.07722</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El Kheir, Y., Meghanani, A., Toyin, H. O., Almarwani, N., Ibrahim, O., Elshahawy, Y. A., Shahin, M., &amp; Ali, A. (2025b). Iqra'Eval: A shared task on Qur'anic pronunciation assessment. Dalam </w:t>
      </w:r>
      <w:r>
        <w:rPr>
          <w:rFonts w:ascii="Times New Roman" w:hAnsi="Times New Roman" w:cs="Times New Roman" w:eastAsia="Times New Roman"/>
          <w:b w:val="0"/>
          <w:i/>
          <w:sz w:val="24"/>
          <w:szCs w:val="24"/>
        </w:rPr>
        <w:t>Proceedings of the Third Arabic Natural Language Processing Conference: Shared Tasks</w:t>
      </w:r>
      <w:r>
        <w:rPr>
          <w:rFonts w:ascii="Times New Roman" w:hAnsi="Times New Roman" w:cs="Times New Roman" w:eastAsia="Times New Roman"/>
          <w:b w:val="0"/>
          <w:i w:val="0"/>
          <w:sz w:val="24"/>
          <w:szCs w:val="24"/>
        </w:rPr>
        <w:t xml:space="preserve"> (hlm. 443–452). Association for Computational Linguistics. https://aclanthology.org/2025.arabicnlp-sharedtasks.61/</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El Kheir, Y., Meghanani, A., Shahin, M., Ibrahim, O., Chowdhury, S. A., AlMarwani, N., Elshahawy, Y., &amp; Ali, A. (2026). </w:t>
      </w:r>
      <w:r>
        <w:rPr>
          <w:rFonts w:ascii="Times New Roman" w:hAnsi="Times New Roman" w:cs="Times New Roman" w:eastAsia="Times New Roman"/>
          <w:b w:val="0"/>
          <w:i/>
          <w:sz w:val="24"/>
          <w:szCs w:val="24"/>
        </w:rPr>
        <w:t>IQRA 2026: Interspeech challenge on automatic pronunciation assessment for Modern Standard Arabic (MSA)</w:t>
      </w:r>
      <w:r>
        <w:rPr>
          <w:rFonts w:ascii="Times New Roman" w:hAnsi="Times New Roman" w:cs="Times New Roman" w:eastAsia="Times New Roman"/>
          <w:b w:val="0"/>
          <w:i w:val="0"/>
          <w:sz w:val="24"/>
          <w:szCs w:val="24"/>
        </w:rPr>
        <w:t xml:space="preserve"> (arXiv:2603.29087). arXiv. https://arxiv.org/abs/2603.29087</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Firebase. (t.t.-a). </w:t>
      </w:r>
      <w:r>
        <w:rPr>
          <w:rFonts w:ascii="Times New Roman" w:hAnsi="Times New Roman" w:cs="Times New Roman" w:eastAsia="Times New Roman"/>
          <w:b w:val="0"/>
          <w:i/>
          <w:sz w:val="24"/>
          <w:szCs w:val="24"/>
        </w:rPr>
        <w:t>Default bucket and billing requirements for Cloud Storage for Firebase after September 2024</w:t>
      </w:r>
      <w:r>
        <w:rPr>
          <w:rFonts w:ascii="Times New Roman" w:hAnsi="Times New Roman" w:cs="Times New Roman" w:eastAsia="Times New Roman"/>
          <w:b w:val="0"/>
          <w:i w:val="0"/>
          <w:sz w:val="24"/>
          <w:szCs w:val="24"/>
        </w:rPr>
        <w:t>. Diakses 19 Oktober 2026, dari https://firebase.google.com/docs/storage/faqs-storage-changes-announced-sept-2024</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Firebase. (t.t.-b). </w:t>
      </w:r>
      <w:r>
        <w:rPr>
          <w:rFonts w:ascii="Times New Roman" w:hAnsi="Times New Roman" w:cs="Times New Roman" w:eastAsia="Times New Roman"/>
          <w:b w:val="0"/>
          <w:i/>
          <w:sz w:val="24"/>
          <w:szCs w:val="24"/>
        </w:rPr>
        <w:t>Firebase pricing</w:t>
      </w:r>
      <w:r>
        <w:rPr>
          <w:rFonts w:ascii="Times New Roman" w:hAnsi="Times New Roman" w:cs="Times New Roman" w:eastAsia="Times New Roman"/>
          <w:b w:val="0"/>
          <w:i w:val="0"/>
          <w:sz w:val="24"/>
          <w:szCs w:val="24"/>
        </w:rPr>
        <w:t>. Diakses 19 Oktober 2026, dari https://firebase.google.com/pricing</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Ionic. (t.t.). </w:t>
      </w:r>
      <w:r>
        <w:rPr>
          <w:rFonts w:ascii="Times New Roman" w:hAnsi="Times New Roman" w:cs="Times New Roman" w:eastAsia="Times New Roman"/>
          <w:b w:val="0"/>
          <w:i/>
          <w:sz w:val="24"/>
          <w:szCs w:val="24"/>
        </w:rPr>
        <w:t>Updating from Capacitor 7 to Capacitor 8</w:t>
      </w:r>
      <w:r>
        <w:rPr>
          <w:rFonts w:ascii="Times New Roman" w:hAnsi="Times New Roman" w:cs="Times New Roman" w:eastAsia="Times New Roman"/>
          <w:b w:val="0"/>
          <w:i w:val="0"/>
          <w:sz w:val="24"/>
          <w:szCs w:val="24"/>
        </w:rPr>
        <w:t>. Capacitor Documentation. Diakses 19 Oktober 2026, dari https://capacitorjs.com/docs/updating/8-0</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Mediana, C. (2026, 29 Agustus). Beredar peraturan pelaksana UU Perlindungan Data Pribadi. </w:t>
      </w:r>
      <w:r>
        <w:rPr>
          <w:rFonts w:ascii="Times New Roman" w:hAnsi="Times New Roman" w:cs="Times New Roman" w:eastAsia="Times New Roman"/>
          <w:b w:val="0"/>
          <w:i/>
          <w:sz w:val="24"/>
          <w:szCs w:val="24"/>
        </w:rPr>
        <w:t>Kompas.id</w:t>
      </w:r>
      <w:r>
        <w:rPr>
          <w:rFonts w:ascii="Times New Roman" w:hAnsi="Times New Roman" w:cs="Times New Roman" w:eastAsia="Times New Roman"/>
          <w:b w:val="0"/>
          <w:i w:val="0"/>
          <w:sz w:val="24"/>
          <w:szCs w:val="24"/>
        </w:rPr>
        <w:t>. https://www.kompas.id/artikel/peraturan-pelaksana-uu-pdp-akhirnya-terbit-lembaga-pengawas-masih-dinanti</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Osterwalder, A., &amp; Pigneur, Y. (2010). </w:t>
      </w:r>
      <w:r>
        <w:rPr>
          <w:rFonts w:ascii="Times New Roman" w:hAnsi="Times New Roman" w:cs="Times New Roman" w:eastAsia="Times New Roman"/>
          <w:b w:val="0"/>
          <w:i/>
          <w:sz w:val="24"/>
          <w:szCs w:val="24"/>
        </w:rPr>
        <w:t>Business model generation: A handbook for visionaries, game changers, and challengers</w:t>
      </w:r>
      <w:r>
        <w:rPr>
          <w:rFonts w:ascii="Times New Roman" w:hAnsi="Times New Roman" w:cs="Times New Roman" w:eastAsia="Times New Roman"/>
          <w:b w:val="0"/>
          <w:i w:val="0"/>
          <w:sz w:val="24"/>
          <w:szCs w:val="24"/>
        </w:rPr>
        <w:t>. John Wiley &amp; Sons.</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Salameh, R., Al Mdfaa, M., Askarbekuly, N., &amp; Mazzara, M. (2024). </w:t>
      </w:r>
      <w:r>
        <w:rPr>
          <w:rFonts w:ascii="Times New Roman" w:hAnsi="Times New Roman" w:cs="Times New Roman" w:eastAsia="Times New Roman"/>
          <w:b w:val="0"/>
          <w:i/>
          <w:sz w:val="24"/>
          <w:szCs w:val="24"/>
        </w:rPr>
        <w:t>Quranic audio dataset: Crowdsourced and labeled recitation from non-Arabic speakers</w:t>
      </w:r>
      <w:r>
        <w:rPr>
          <w:rFonts w:ascii="Times New Roman" w:hAnsi="Times New Roman" w:cs="Times New Roman" w:eastAsia="Times New Roman"/>
          <w:b w:val="0"/>
          <w:i w:val="0"/>
          <w:sz w:val="24"/>
          <w:szCs w:val="24"/>
        </w:rPr>
        <w:t xml:space="preserve"> (arXiv:2405.02675). arXiv. https://arxiv.org/abs/2405.02675</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Sharfina, Z., &amp; Santoso, H. B. (2016). An Indonesian adaptation of the System Usability Scale (SUS). Dalam </w:t>
      </w:r>
      <w:r>
        <w:rPr>
          <w:rFonts w:ascii="Times New Roman" w:hAnsi="Times New Roman" w:cs="Times New Roman" w:eastAsia="Times New Roman"/>
          <w:b w:val="0"/>
          <w:i/>
          <w:sz w:val="24"/>
          <w:szCs w:val="24"/>
        </w:rPr>
        <w:t>2016 International Conference on Advanced Computer Science and Information Systems (ICACSIS)</w:t>
      </w:r>
      <w:r>
        <w:rPr>
          <w:rFonts w:ascii="Times New Roman" w:hAnsi="Times New Roman" w:cs="Times New Roman" w:eastAsia="Times New Roman"/>
          <w:b w:val="0"/>
          <w:i w:val="0"/>
          <w:sz w:val="24"/>
          <w:szCs w:val="24"/>
        </w:rPr>
        <w:t xml:space="preserve"> (hlm. 145–148). IEEE. https://doi.org/10.1109/ICACSIS.2016.7872776</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Suryana, A. R., Marlina, L., &amp; Musthafa, I. (2026). Analisis komparatif kesalahan fonologis pengucapan huruf Arab dalam pembacaan Al-Qur'an pada penutur dewasa bahasa Sunda dan bahasa Jawa di Kabupaten Brebes. </w:t>
      </w:r>
      <w:r>
        <w:rPr>
          <w:rFonts w:ascii="Times New Roman" w:hAnsi="Times New Roman" w:cs="Times New Roman" w:eastAsia="Times New Roman"/>
          <w:b w:val="0"/>
          <w:i/>
          <w:sz w:val="24"/>
          <w:szCs w:val="24"/>
        </w:rPr>
        <w:t>Jurnal Pendidikan Bahasa, 16</w:t>
      </w:r>
      <w:r>
        <w:rPr>
          <w:rFonts w:ascii="Times New Roman" w:hAnsi="Times New Roman" w:cs="Times New Roman" w:eastAsia="Times New Roman"/>
          <w:b w:val="0"/>
          <w:i w:val="0"/>
          <w:sz w:val="24"/>
          <w:szCs w:val="24"/>
        </w:rPr>
        <w:t>(3). https://doi.org/10.37630/jpb.v16i3.4684</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Trofimovich, P., Isaacs, T., Kennedy, S., Saito, K., &amp; Crowther, D. (2016). Flawed self-assessment: Investigating self- and other-perception of second language speech. </w:t>
      </w:r>
      <w:r>
        <w:rPr>
          <w:rFonts w:ascii="Times New Roman" w:hAnsi="Times New Roman" w:cs="Times New Roman" w:eastAsia="Times New Roman"/>
          <w:b w:val="0"/>
          <w:i/>
          <w:sz w:val="24"/>
          <w:szCs w:val="24"/>
        </w:rPr>
        <w:t>Bilingualism: Language and Cognition, 19</w:t>
      </w:r>
      <w:r>
        <w:rPr>
          <w:rFonts w:ascii="Times New Roman" w:hAnsi="Times New Roman" w:cs="Times New Roman" w:eastAsia="Times New Roman"/>
          <w:b w:val="0"/>
          <w:i w:val="0"/>
          <w:sz w:val="24"/>
          <w:szCs w:val="24"/>
        </w:rPr>
        <w:t>(1), 122–140.</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Uchihara, T., Karas, M., &amp; Thomson, R. I. (2024). Does perceptual high variability phonetic training improve L2 speech production? A meta-analysis of perception-production connection. </w:t>
      </w:r>
      <w:r>
        <w:rPr>
          <w:rFonts w:ascii="Times New Roman" w:hAnsi="Times New Roman" w:cs="Times New Roman" w:eastAsia="Times New Roman"/>
          <w:b w:val="0"/>
          <w:i/>
          <w:sz w:val="24"/>
          <w:szCs w:val="24"/>
        </w:rPr>
        <w:t>Applied Psycholinguistics, 45</w:t>
      </w:r>
      <w:r>
        <w:rPr>
          <w:rFonts w:ascii="Times New Roman" w:hAnsi="Times New Roman" w:cs="Times New Roman" w:eastAsia="Times New Roman"/>
          <w:b w:val="0"/>
          <w:i w:val="0"/>
          <w:sz w:val="24"/>
          <w:szCs w:val="24"/>
        </w:rPr>
        <w:t>(4), 591–623. https://doi.org/10.1017/S0142716424000195</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Uchihara, T., Karas, M., &amp; Thomson, R. I. (2025). High variability phonetic training (HVPT): A meta-analysis of L2 perceptual training studies. </w:t>
      </w:r>
      <w:r>
        <w:rPr>
          <w:rFonts w:ascii="Times New Roman" w:hAnsi="Times New Roman" w:cs="Times New Roman" w:eastAsia="Times New Roman"/>
          <w:b w:val="0"/>
          <w:i/>
          <w:sz w:val="24"/>
          <w:szCs w:val="24"/>
        </w:rPr>
        <w:t>Studies in Second Language Acquisition</w:t>
      </w:r>
      <w:r>
        <w:rPr>
          <w:rFonts w:ascii="Times New Roman" w:hAnsi="Times New Roman" w:cs="Times New Roman" w:eastAsia="Times New Roman"/>
          <w:b w:val="0"/>
          <w:i w:val="0"/>
          <w:sz w:val="24"/>
          <w:szCs w:val="24"/>
        </w:rPr>
        <w:t>. https://doi.org/10.1017/S0272263125100879</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Undang-Undang Republik Indonesia Nomor 27 Tahun 2022 tentang Pelindungan Data Pribadi. (2022). Lembaran Negara Republik Indonesia Tahun 2022 Nomor 196.</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World Wide Web Consortium [W3C]. (2023). </w:t>
      </w:r>
      <w:r>
        <w:rPr>
          <w:rFonts w:ascii="Times New Roman" w:hAnsi="Times New Roman" w:cs="Times New Roman" w:eastAsia="Times New Roman"/>
          <w:b w:val="0"/>
          <w:i/>
          <w:sz w:val="24"/>
          <w:szCs w:val="24"/>
        </w:rPr>
        <w:t>Web Content Accessibility Guidelines (WCAG) 2.2</w:t>
      </w:r>
      <w:r>
        <w:rPr>
          <w:rFonts w:ascii="Times New Roman" w:hAnsi="Times New Roman" w:cs="Times New Roman" w:eastAsia="Times New Roman"/>
          <w:b w:val="0"/>
          <w:i w:val="0"/>
          <w:sz w:val="24"/>
          <w:szCs w:val="24"/>
        </w:rPr>
        <w:t>. https://www.w3.org/TR/WCAG22/</w:t>
      </w:r>
    </w:p>
    <w:p>
      <w:pPr>
        <w:keepNext w:val="0"/>
        <w:widowControl/>
        <w:spacing w:line="240" w:lineRule="auto" w:before="0" w:after="40"/>
        <w:ind w:left="567" w:hanging="567"/>
        <w:jc w:val="left"/>
      </w:pPr>
      <w:r>
        <w:rPr>
          <w:rFonts w:ascii="Times New Roman" w:hAnsi="Times New Roman" w:cs="Times New Roman" w:eastAsia="Times New Roman"/>
          <w:b w:val="0"/>
          <w:i w:val="0"/>
          <w:sz w:val="24"/>
          <w:szCs w:val="24"/>
        </w:rPr>
        <w:t xml:space="preserve">Wright, R., &amp; McCloy, D. (2011). </w:t>
      </w:r>
      <w:r>
        <w:rPr>
          <w:rFonts w:ascii="Times New Roman" w:hAnsi="Times New Roman" w:cs="Times New Roman" w:eastAsia="Times New Roman"/>
          <w:b w:val="0"/>
          <w:i/>
          <w:sz w:val="24"/>
          <w:szCs w:val="24"/>
        </w:rPr>
        <w:t>Neutral sagittal section</w:t>
      </w:r>
      <w:r>
        <w:rPr>
          <w:rFonts w:ascii="Times New Roman" w:hAnsi="Times New Roman" w:cs="Times New Roman" w:eastAsia="Times New Roman"/>
          <w:b w:val="0"/>
          <w:i w:val="0"/>
          <w:sz w:val="24"/>
          <w:szCs w:val="24"/>
        </w:rPr>
        <w:t xml:space="preserve"> [Gambar SVG, CC0 1.0]. Wikimedia Commons. https://commons.wikimedia.org/wiki/File:Neutral_Sagittal_Section.svg</w:t>
      </w:r>
    </w:p>
    <w:sectPr w:rsidR="00FC693F" w:rsidRPr="0006063C" w:rsidSect="00034616">
      <w:footerReference w:type="default" r:id="rId10"/>
      <w:pgSz w:w="11906" w:h="16838"/>
      <w:pgMar w:top="1417" w:right="1417" w:bottom="1417" w:left="1417" w:header="72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76" w:lineRule="auto" w:before="0" w:after="0"/>
      <w:ind w:left="0" w:firstLine="0"/>
      <w:jc w:val="center"/>
    </w:pPr>
    <w:r>
      <w:rPr>
        <w:rFonts w:ascii="Times New Roman" w:hAnsi="Times New Roman" w:cs="Times New Roman" w:eastAsia="Times New Roman"/>
        <w:sz w:val="22"/>
        <w:szCs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Makhraj: Proposal DAQ</dc:title>
  <dc:subject/>
  <dc:creator>Faiz Iqbal I'tishom (164231059), M. Zahran Rahmandhina (164241070)</dc:creator>
  <cp:keywords/>
  <dc:description>generated by python-docx</dc:description>
  <cp:lastModifiedBy/>
  <cp:revision>1</cp:revision>
  <dcterms:created xsi:type="dcterms:W3CDTF">2013-12-23T23:15:00Z</dcterms:created>
  <dcterms:modified xsi:type="dcterms:W3CDTF">2013-12-23T23:15:00Z</dcterms:modified>
  <cp:category/>
</cp:coreProperties>
</file>