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ANUBANDH</w:t>
      </w:r>
    </w:p>
    <w:p>
      <w:pPr>
        <w:jc w:val="center"/>
      </w:pPr>
      <w:r>
        <w:rPr>
          <w:b/>
          <w:sz w:val="26"/>
        </w:rPr>
        <w:t>A Decentralized Blockchain Platform for Identity,</w:t>
        <w:br/>
        <w:t>Access Control and Digital Asset Management</w:t>
      </w:r>
    </w:p>
    <w:p>
      <w:pPr>
        <w:jc w:val="center"/>
      </w:pPr>
      <w:r>
        <w:rPr>
          <w:sz w:val="18"/>
        </w:rPr>
        <w:t>SIH26125 • Bharat Electronics Limited (BEL) • Software / Blockchain &amp; Cybersecurity</w:t>
      </w:r>
    </w:p>
    <w:p>
      <w:pPr>
        <w:jc w:val="center"/>
      </w:pPr>
      <w:r>
        <w:rPr>
          <w:i/>
          <w:sz w:val="18"/>
        </w:rPr>
        <w:t>Revised Synopsis — Software-First Prototype (No ESP32 / Specialized Hardware)</w:t>
      </w:r>
    </w:p>
    <w:p>
      <w:pPr>
        <w:pStyle w:val="Heading1"/>
        <w:spacing w:before="140" w:after="60"/>
      </w:pPr>
      <w:r>
        <w:t>1. Problem Statement</w:t>
      </w:r>
    </w:p>
    <w:p>
      <w:r>
        <w:t>Organizations rely heavily on centralized identity and access-management systems, creating risks including cyber attacks, identity theft, unauthorized access and single points of failure. Digital and physical asset ownership is also often maintained through disconnected or semi-centralized systems, making authenticity, access rights and ownership history difficult to verify reliably.</w:t>
      </w:r>
    </w:p>
    <w:p>
      <w:r>
        <w:t>The SIH26125 problem statement calls for a decentralized blockchain-based platform that integrates decentralized identity, NFT-based asset ownership, smart-contract-governed operations, role-based access control and an immutable audit trail. Each user should have a cryptographically verifiable decentralized identifier; assets should be uniquely represented and traceable on-chain; only authorized administrators should mint and allocate assets; and roles such as Admin, Manager, Auditor and User should have automatically enforced permissions.</w:t>
      </w:r>
    </w:p>
    <w:p>
      <w:pPr>
        <w:pStyle w:val="Heading1"/>
        <w:spacing w:before="140" w:after="60"/>
      </w:pPr>
      <w:r>
        <w:t>2. Proposed Solution — Anubandh</w:t>
      </w:r>
    </w:p>
    <w:p>
      <w:r>
        <w:t>Anubandh is a software-first, permissioned blockchain platform that unifies decentralized identity, NFT-based asset management, smart-contract RBAC and tamper-evident auditing in a single system. The revised prototype does not depend on ESP32, PUFs or specialized hardware. Physical assets can be identified through software-readable asset identifiers such as QR/NFC records where required, while cryptographically signed attestations are used to record authorized inspections or observations.</w:t>
      </w:r>
    </w:p>
    <w:p>
      <w:r>
        <w:t>Beyond the minimum SIH requirements, Anubandh introduces a trust layer: the platform records the freshness and evidence quality of asset observations, detects conflicting observations, quarantines disputed assets, and supports risk-aware authorization when the verifier is temporarily offline.</w:t>
      </w:r>
    </w:p>
    <w:p>
      <w:pPr>
        <w:pStyle w:val="Heading1"/>
        <w:spacing w:before="140" w:after="60"/>
      </w:pPr>
      <w:r>
        <w:t>3. Objectives</w:t>
      </w:r>
    </w:p>
    <w:p>
      <w:pPr>
        <w:pStyle w:val="ListBullet"/>
        <w:spacing w:after="20"/>
      </w:pPr>
      <w:r>
        <w:t>Create cryptographically verifiable decentralized identities for platform users.</w:t>
      </w:r>
    </w:p>
    <w:p>
      <w:pPr>
        <w:pStyle w:val="ListBullet"/>
        <w:spacing w:after="20"/>
      </w:pPr>
      <w:r>
        <w:t>Represent serialized digital or physical assets as unique ERC-721 NFTs with traceable ownership.</w:t>
      </w:r>
    </w:p>
    <w:p>
      <w:pPr>
        <w:pStyle w:val="ListBullet"/>
        <w:spacing w:after="20"/>
      </w:pPr>
      <w:r>
        <w:t>Enforce Admin, Manager, Auditor and User permissions through smart contracts rather than relying only on the UI.</w:t>
      </w:r>
    </w:p>
    <w:p>
      <w:pPr>
        <w:pStyle w:val="ListBullet"/>
        <w:spacing w:after="20"/>
      </w:pPr>
      <w:r>
        <w:t>Govern NFT creation, allocation, validation, custody/ownership changes and permission updates using auditable rules.</w:t>
      </w:r>
    </w:p>
    <w:p>
      <w:pPr>
        <w:pStyle w:val="ListBullet"/>
        <w:spacing w:after="20"/>
      </w:pPr>
      <w:r>
        <w:t>Maintain an immutable on-chain event trail for identity, asset and access-control operations.</w:t>
      </w:r>
    </w:p>
    <w:p>
      <w:pPr>
        <w:pStyle w:val="ListBullet"/>
        <w:spacing w:after="20"/>
      </w:pPr>
      <w:r>
        <w:t>Provide asset verification through signed, role-bound observations without requiring specialized hardware.</w:t>
      </w:r>
    </w:p>
    <w:p>
      <w:pPr>
        <w:pStyle w:val="ListBullet"/>
        <w:spacing w:after="20"/>
      </w:pPr>
      <w:r>
        <w:t>Detect conflicting asset observations and place disputed assets into a non-transferable quarantine state.</w:t>
      </w:r>
    </w:p>
    <w:p>
      <w:pPr>
        <w:pStyle w:val="ListBullet"/>
        <w:spacing w:after="20"/>
      </w:pPr>
      <w:r>
        <w:t>Provide a risk-tiered offline verification mode using cached credentials, trust anchors and status snapshots.</w:t>
      </w:r>
    </w:p>
    <w:p>
      <w:pPr>
        <w:pStyle w:val="ListBullet"/>
        <w:spacing w:after="20"/>
      </w:pPr>
      <w:r>
        <w:t>Provide an audit dashboard capable of reconstructing asset ownership, permissions and relevant access history.</w:t>
      </w:r>
    </w:p>
    <w:p>
      <w:pPr>
        <w:pStyle w:val="Heading1"/>
        <w:spacing w:before="140" w:after="60"/>
      </w:pPr>
      <w:r>
        <w:t>4. Functional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Component</w:t>
            </w:r>
          </w:p>
        </w:tc>
        <w:tc>
          <w:tcPr>
            <w:tcW w:type="dxa" w:w="5112"/>
            <w:shd w:fill="D9EAF7"/>
          </w:tcPr>
          <w:p>
            <w:r>
              <w:t>Responsibility</w:t>
            </w:r>
          </w:p>
        </w:tc>
      </w:tr>
      <w:tr>
        <w:tc>
          <w:tcPr>
            <w:tcW w:type="dxa" w:w="5112"/>
            <w:vAlign w:val="center"/>
          </w:tcPr>
          <w:p>
            <w:r>
              <w:t>User / Admin Portal</w:t>
            </w:r>
          </w:p>
        </w:tc>
        <w:tc>
          <w:tcPr>
            <w:tcW w:type="dxa" w:w="5112"/>
            <w:vAlign w:val="center"/>
          </w:tcPr>
          <w:p>
            <w:r>
              <w:t>Web interface for identity, roles, assets, allocations, transfers and audit operations.</w:t>
            </w:r>
          </w:p>
        </w:tc>
      </w:tr>
      <w:tr>
        <w:tc>
          <w:tcPr>
            <w:tcW w:type="dxa" w:w="5112"/>
            <w:vAlign w:val="center"/>
          </w:tcPr>
          <w:p>
            <w:r>
              <w:t>Identity Layer</w:t>
            </w:r>
          </w:p>
        </w:tc>
        <w:tc>
          <w:tcPr>
            <w:tcW w:type="dxa" w:w="5112"/>
            <w:vAlign w:val="center"/>
          </w:tcPr>
          <w:p>
            <w:r>
              <w:t>DID registration, public-key management, credential issuance and revocation/status handling.</w:t>
            </w:r>
          </w:p>
        </w:tc>
      </w:tr>
      <w:tr>
        <w:tc>
          <w:tcPr>
            <w:tcW w:type="dxa" w:w="5112"/>
            <w:vAlign w:val="center"/>
          </w:tcPr>
          <w:p>
            <w:r>
              <w:t>Access-Control Layer</w:t>
            </w:r>
          </w:p>
        </w:tc>
        <w:tc>
          <w:tcPr>
            <w:tcW w:type="dxa" w:w="5112"/>
            <w:vAlign w:val="center"/>
          </w:tcPr>
          <w:p>
            <w:r>
              <w:t>RoleManager enforcing Admin, Manager, Auditor and User permissions on-chain.</w:t>
            </w:r>
          </w:p>
        </w:tc>
      </w:tr>
      <w:tr>
        <w:tc>
          <w:tcPr>
            <w:tcW w:type="dxa" w:w="5112"/>
            <w:vAlign w:val="center"/>
          </w:tcPr>
          <w:p>
            <w:r>
              <w:t>Asset Layer</w:t>
            </w:r>
          </w:p>
        </w:tc>
        <w:tc>
          <w:tcPr>
            <w:tcW w:type="dxa" w:w="5112"/>
            <w:vAlign w:val="center"/>
          </w:tcPr>
          <w:p>
            <w:r>
              <w:t>ERC-721 AssetNFT representing each registered asset, with owner/custodian and trust metadata.</w:t>
            </w:r>
          </w:p>
        </w:tc>
      </w:tr>
      <w:tr>
        <w:tc>
          <w:tcPr>
            <w:tcW w:type="dxa" w:w="5112"/>
            <w:vAlign w:val="center"/>
          </w:tcPr>
          <w:p>
            <w:r>
              <w:t>Attestation Layer</w:t>
            </w:r>
          </w:p>
        </w:tc>
        <w:tc>
          <w:tcPr>
            <w:tcW w:type="dxa" w:w="5112"/>
            <w:vAlign w:val="center"/>
          </w:tcPr>
          <w:p>
            <w:r>
              <w:t>Signed observations from authorized identities; evidence tier, timestamp and observation hash are recorded.</w:t>
            </w:r>
          </w:p>
        </w:tc>
      </w:tr>
      <w:tr>
        <w:tc>
          <w:tcPr>
            <w:tcW w:type="dxa" w:w="5112"/>
            <w:vAlign w:val="center"/>
          </w:tcPr>
          <w:p>
            <w:r>
              <w:t>Divergence Layer</w:t>
            </w:r>
          </w:p>
        </w:tc>
        <w:tc>
          <w:tcPr>
            <w:tcW w:type="dxa" w:w="5112"/>
            <w:vAlign w:val="center"/>
          </w:tcPr>
          <w:p>
            <w:r>
              <w:t>Detects incompatible observations, records an immutable divergence event and quarantines the asset.</w:t>
            </w:r>
          </w:p>
        </w:tc>
      </w:tr>
      <w:tr>
        <w:tc>
          <w:tcPr>
            <w:tcW w:type="dxa" w:w="5112"/>
            <w:vAlign w:val="center"/>
          </w:tcPr>
          <w:p>
            <w:r>
              <w:t>Offline Verifier</w:t>
            </w:r>
          </w:p>
        </w:tc>
        <w:tc>
          <w:tcPr>
            <w:tcW w:type="dxa" w:w="5112"/>
            <w:vAlign w:val="center"/>
          </w:tcPr>
          <w:p>
            <w:r>
              <w:t>PWA with cached trust anchors/status snapshot and locally signed decisions; synchronizes after reconnection.</w:t>
            </w:r>
          </w:p>
        </w:tc>
      </w:tr>
      <w:tr>
        <w:tc>
          <w:tcPr>
            <w:tcW w:type="dxa" w:w="5112"/>
            <w:vAlign w:val="center"/>
          </w:tcPr>
          <w:p>
            <w:r>
              <w:t>Policy Enforcement Point</w:t>
            </w:r>
          </w:p>
        </w:tc>
        <w:tc>
          <w:tcPr>
            <w:tcW w:type="dxa" w:w="5112"/>
            <w:vAlign w:val="center"/>
          </w:tcPr>
          <w:p>
            <w:r>
              <w:t>Backend service that evaluates application-level policy and interacts with the blockchain.</w:t>
            </w:r>
          </w:p>
        </w:tc>
      </w:tr>
      <w:tr>
        <w:tc>
          <w:tcPr>
            <w:tcW w:type="dxa" w:w="5112"/>
            <w:vAlign w:val="center"/>
          </w:tcPr>
          <w:p>
            <w:r>
              <w:t>Data &amp; Indexing</w:t>
            </w:r>
          </w:p>
        </w:tc>
        <w:tc>
          <w:tcPr>
            <w:tcW w:type="dxa" w:w="5112"/>
            <w:vAlign w:val="center"/>
          </w:tcPr>
          <w:p>
            <w:r>
              <w:t>PostgreSQL for off-chain metadata/indexing and an event indexer for fast audit queries.</w:t>
            </w:r>
          </w:p>
        </w:tc>
      </w:tr>
      <w:tr>
        <w:tc>
          <w:tcPr>
            <w:tcW w:type="dxa" w:w="5112"/>
            <w:vAlign w:val="center"/>
          </w:tcPr>
          <w:p>
            <w:r>
              <w:t>Audit Dashboard</w:t>
            </w:r>
          </w:p>
        </w:tc>
        <w:tc>
          <w:tcPr>
            <w:tcW w:type="dxa" w:w="5112"/>
            <w:vAlign w:val="center"/>
          </w:tcPr>
          <w:p>
            <w:r>
              <w:t>Asset history, ownership, role state, divergence alerts, confidence/freshness and point-in-time audit views.</w:t>
            </w:r>
          </w:p>
        </w:tc>
      </w:tr>
    </w:tbl>
    <w:p>
      <w:pPr>
        <w:pStyle w:val="Heading1"/>
        <w:spacing w:before="140" w:after="60"/>
      </w:pPr>
      <w:r>
        <w:t>5. Smart Contract Design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Contract</w:t>
            </w:r>
          </w:p>
        </w:tc>
        <w:tc>
          <w:tcPr>
            <w:tcW w:type="dxa" w:w="5112"/>
            <w:shd w:fill="D9EAF7"/>
          </w:tcPr>
          <w:p>
            <w:r>
              <w:t>Core Responsibility</w:t>
            </w:r>
          </w:p>
        </w:tc>
      </w:tr>
      <w:tr>
        <w:tc>
          <w:tcPr>
            <w:tcW w:type="dxa" w:w="5112"/>
          </w:tcPr>
          <w:p>
            <w:r>
              <w:t>DIDRegistry.sol</w:t>
            </w:r>
          </w:p>
        </w:tc>
        <w:tc>
          <w:tcPr>
            <w:tcW w:type="dxa" w:w="5112"/>
          </w:tcPr>
          <w:p>
            <w:r>
              <w:t>Registers DIDs, maps controlling public keys, supports key rotation, status and revocation.</w:t>
            </w:r>
          </w:p>
        </w:tc>
      </w:tr>
      <w:tr>
        <w:tc>
          <w:tcPr>
            <w:tcW w:type="dxa" w:w="5112"/>
          </w:tcPr>
          <w:p>
            <w:r>
              <w:t>RoleManager.sol</w:t>
            </w:r>
          </w:p>
        </w:tc>
        <w:tc>
          <w:tcPr>
            <w:tcW w:type="dxa" w:w="5112"/>
          </w:tcPr>
          <w:p>
            <w:r>
              <w:t>Defines Admin, Manager, Auditor and User roles; controls role grants, expiry and permission checks.</w:t>
            </w:r>
          </w:p>
        </w:tc>
      </w:tr>
      <w:tr>
        <w:tc>
          <w:tcPr>
            <w:tcW w:type="dxa" w:w="5112"/>
          </w:tcPr>
          <w:p>
            <w:r>
              <w:t>AssetNFT.sol</w:t>
            </w:r>
          </w:p>
        </w:tc>
        <w:tc>
          <w:tcPr>
            <w:tcW w:type="dxa" w:w="5112"/>
          </w:tcPr>
          <w:p>
            <w:r>
              <w:t>ERC-721 asset token; stores ownership, custody, metadata hash, freshness/confidence and quarantine state.</w:t>
            </w:r>
          </w:p>
        </w:tc>
      </w:tr>
      <w:tr>
        <w:tc>
          <w:tcPr>
            <w:tcW w:type="dxa" w:w="5112"/>
          </w:tcPr>
          <w:p>
            <w:r>
              <w:t>AttestationRegistry.sol</w:t>
            </w:r>
          </w:p>
        </w:tc>
        <w:tc>
          <w:tcPr>
            <w:tcW w:type="dxa" w:w="5112"/>
          </w:tcPr>
          <w:p>
            <w:r>
              <w:t>Stores signed asset observations, observer DID, evidence tier, nonce/reference and timestamp.</w:t>
            </w:r>
          </w:p>
        </w:tc>
      </w:tr>
      <w:tr>
        <w:tc>
          <w:tcPr>
            <w:tcW w:type="dxa" w:w="5112"/>
          </w:tcPr>
          <w:p>
            <w:r>
              <w:t>DivergenceRegistry.sol</w:t>
            </w:r>
          </w:p>
        </w:tc>
        <w:tc>
          <w:tcPr>
            <w:tcW w:type="dxa" w:w="5112"/>
          </w:tcPr>
          <w:p>
            <w:r>
              <w:t>Records incompatible observations, quarantine state and reconciliation events; no delete operation for divergence records.</w:t>
            </w:r>
          </w:p>
        </w:tc>
      </w:tr>
    </w:tbl>
    <w:p>
      <w:pPr>
        <w:pStyle w:val="Heading1"/>
        <w:spacing w:before="140" w:after="60"/>
      </w:pPr>
      <w:r>
        <w:t>6. Identity and RBAC Model</w:t>
      </w:r>
    </w:p>
    <w:p>
      <w:r>
        <w:t>Each platform user is associated with a DID and cryptographic key material. Verifiable credentials can carry role, clearance/risk and validity information. The smart-contract layer verifies role authorization for protected operations.</w:t>
      </w:r>
    </w:p>
    <w:p>
      <w:pPr>
        <w:pStyle w:val="ListBullet"/>
        <w:spacing w:after="20"/>
      </w:pPr>
      <w:r>
        <w:t>Admin — platform governance, approved identity/role administration and controlled asset creation.</w:t>
      </w:r>
    </w:p>
    <w:p>
      <w:pPr>
        <w:pStyle w:val="ListBullet"/>
        <w:spacing w:after="20"/>
      </w:pPr>
      <w:r>
        <w:t>Manager — operational asset allocation, custody/transfer operations allowed by policy.</w:t>
      </w:r>
    </w:p>
    <w:p>
      <w:pPr>
        <w:pStyle w:val="ListBullet"/>
        <w:spacing w:after="20"/>
      </w:pPr>
      <w:r>
        <w:t>Auditor — read-only audit and verification functions; cannot perform privileged asset mutations.</w:t>
      </w:r>
    </w:p>
    <w:p>
      <w:pPr>
        <w:pStyle w:val="ListBullet"/>
        <w:spacing w:after="20"/>
      </w:pPr>
      <w:r>
        <w:t>User — permitted operational actions on assigned assets according to policy.</w:t>
      </w:r>
    </w:p>
    <w:p>
      <w:r>
        <w:t>The prototype will demonstrate that unauthorized operations fail at the contract level, not merely because a frontend button is hidden.</w:t>
      </w:r>
    </w:p>
    <w:p>
      <w:pPr>
        <w:pStyle w:val="Heading1"/>
        <w:spacing w:before="140" w:after="60"/>
      </w:pPr>
      <w:r>
        <w:t>7. Asset Lifecycle</w:t>
      </w:r>
    </w:p>
    <w:p>
      <w:pPr>
        <w:pStyle w:val="ListNumber"/>
        <w:spacing w:after="20"/>
      </w:pPr>
      <w:r>
        <w:t>Register user DID and establish authorized role.</w:t>
      </w:r>
    </w:p>
    <w:p>
      <w:pPr>
        <w:pStyle w:val="ListNumber"/>
        <w:spacing w:after="20"/>
      </w:pPr>
      <w:r>
        <w:t>Create a unique asset record and mint the corresponding NFT through the authorized contract path.</w:t>
      </w:r>
    </w:p>
    <w:p>
      <w:pPr>
        <w:pStyle w:val="ListNumber"/>
        <w:spacing w:after="20"/>
      </w:pPr>
      <w:r>
        <w:t>Allocate the NFT to the appropriate identity and record ownership/custody.</w:t>
      </w:r>
    </w:p>
    <w:p>
      <w:pPr>
        <w:pStyle w:val="ListNumber"/>
        <w:spacing w:after="20"/>
      </w:pPr>
      <w:r>
        <w:t>Verify the asset through a signed observation or supported identifier workflow.</w:t>
      </w:r>
    </w:p>
    <w:p>
      <w:pPr>
        <w:pStyle w:val="ListNumber"/>
        <w:spacing w:after="20"/>
      </w:pPr>
      <w:r>
        <w:t>Update freshness/confidence based on observation quality and elapsed time.</w:t>
      </w:r>
    </w:p>
    <w:p>
      <w:pPr>
        <w:pStyle w:val="ListNumber"/>
        <w:spacing w:after="20"/>
      </w:pPr>
      <w:r>
        <w:t>Detect incompatible observations and automatically quarantine the affected asset.</w:t>
      </w:r>
    </w:p>
    <w:p>
      <w:pPr>
        <w:pStyle w:val="ListNumber"/>
        <w:spacing w:after="20"/>
      </w:pPr>
      <w:r>
        <w:t>Allow authorized custody/ownership operations only while policy and asset state permit them.</w:t>
      </w:r>
    </w:p>
    <w:p>
      <w:pPr>
        <w:pStyle w:val="ListNumber"/>
        <w:spacing w:after="20"/>
      </w:pPr>
      <w:r>
        <w:t>Record every important state change as an immutable blockchain event and expose it through the dashboard.</w:t>
      </w:r>
    </w:p>
    <w:p>
      <w:pPr>
        <w:pStyle w:val="Heading1"/>
        <w:spacing w:before="140" w:after="60"/>
      </w:pPr>
      <w:r>
        <w:t>8. Trust, Freshness and Divergence Layer</w:t>
      </w:r>
    </w:p>
    <w:p>
      <w:r>
        <w:t>A conventional blockchain register establishes a tamper-evident history, but it does not by itself prove that the current physical situation still matches the recorded state. Anubandh therefore treats verification evidence and freshness as explicit state.</w:t>
      </w:r>
    </w:p>
    <w:p>
      <w:r>
        <w:t>Illustrative confidence model:</w:t>
      </w:r>
    </w:p>
    <w:p>
      <w:pPr>
        <w:jc w:val="center"/>
      </w:pPr>
      <w:r>
        <w:rPr>
          <w:b/>
        </w:rPr>
        <w:t>Confidence = Evidence Weight × Freshness Decay × Divergence Penalty</w:t>
      </w:r>
    </w:p>
    <w:p>
      <w:pPr>
        <w:pStyle w:val="ListBullet"/>
        <w:spacing w:after="20"/>
      </w:pPr>
      <w:r>
        <w:t>High-quality signed inspection → higher evidence weight.</w:t>
      </w:r>
    </w:p>
    <w:p>
      <w:pPr>
        <w:pStyle w:val="ListBullet"/>
        <w:spacing w:after="20"/>
      </w:pPr>
      <w:r>
        <w:t>Older verification → lower confidence according to asset-class policy.</w:t>
      </w:r>
    </w:p>
    <w:p>
      <w:pPr>
        <w:pStyle w:val="ListBullet"/>
        <w:spacing w:after="20"/>
      </w:pPr>
      <w:r>
        <w:t>Open conflicting observations → severe penalty and quarantine.</w:t>
      </w:r>
    </w:p>
    <w:p>
      <w:pPr>
        <w:pStyle w:val="ListBullet"/>
        <w:spacing w:after="20"/>
      </w:pPr>
      <w:r>
        <w:t>Quarantined assets cannot be transferred until the defined reconciliation/verification process succeeds.</w:t>
      </w:r>
    </w:p>
    <w:p>
      <w:r>
        <w:t>The system will not claim that a QR/NFC identifier is physically unclonable. Identifier-based evidence is treated as weaker evidence, while signed multi-party observations can provide stronger software-only evidence.</w:t>
      </w:r>
    </w:p>
    <w:p>
      <w:pPr>
        <w:pStyle w:val="Heading1"/>
        <w:spacing w:before="140" w:after="60"/>
      </w:pPr>
      <w:r>
        <w:t>9. Offline Authorization</w:t>
      </w:r>
    </w:p>
    <w:p>
      <w:r>
        <w:t>The field verifier is a Progressive Web App (PWA) that can operate without continuous network connectivity. Before going offline, it synchronizes trust anchors, credential/status information and a policy snapshot.</w:t>
      </w:r>
    </w:p>
    <w:p>
      <w:pPr>
        <w:pStyle w:val="ListNumber"/>
        <w:spacing w:after="20"/>
      </w:pPr>
      <w:r>
        <w:t>Validate the user's credential signature and validity period.</w:t>
      </w:r>
    </w:p>
    <w:p>
      <w:pPr>
        <w:pStyle w:val="ListNumber"/>
        <w:spacing w:after="20"/>
      </w:pPr>
      <w:r>
        <w:t>Determine the requested operation's risk tier.</w:t>
      </w:r>
    </w:p>
    <w:p>
      <w:pPr>
        <w:pStyle w:val="ListNumber"/>
        <w:spacing w:after="20"/>
      </w:pPr>
      <w:r>
        <w:t>Check the age of the cached snapshot against the maximum allowed staleness for that risk tier.</w:t>
      </w:r>
    </w:p>
    <w:p>
      <w:pPr>
        <w:pStyle w:val="ListNumber"/>
        <w:spacing w:after="20"/>
      </w:pPr>
      <w:r>
        <w:t>Allow low-risk actions when policy permits; deny high-risk actions when the snapshot is too stale.</w:t>
      </w:r>
    </w:p>
    <w:p>
      <w:pPr>
        <w:pStyle w:val="ListNumber"/>
        <w:spacing w:after="20"/>
      </w:pPr>
      <w:r>
        <w:t>Sign and queue every offline decision locally.</w:t>
      </w:r>
    </w:p>
    <w:p>
      <w:pPr>
        <w:pStyle w:val="ListNumber"/>
        <w:spacing w:after="20"/>
      </w:pPr>
      <w:r>
        <w:t>On reconnection, submit decisions for reconciliation and record the snapshot age and any relevant revocation conflict.</w:t>
      </w:r>
    </w:p>
    <w:p>
      <w:pPr>
        <w:pStyle w:val="Heading1"/>
        <w:spacing w:before="140" w:after="60"/>
      </w:pPr>
      <w:r>
        <w:t>10. Technology Stack</w:t>
      </w:r>
    </w:p>
    <w:tbl>
      <w:tblPr>
        <w:tblStyle w:val="TableGrid"/>
        <w:tblW w:type="auto" w:w="0"/>
        <w:tblLook w:firstColumn="1" w:firstRow="1" w:lastColumn="0" w:lastRow="0" w:noHBand="0" w:noVBand="1" w:val="04A0"/>
      </w:tblPr>
      <w:tblGrid>
        <w:gridCol w:w="5112"/>
        <w:gridCol w:w="5112"/>
      </w:tblGrid>
      <w:tr>
        <w:tc>
          <w:tcPr>
            <w:tcW w:type="dxa" w:w="5112"/>
            <w:shd w:fill="D9EAF7"/>
          </w:tcPr>
          <w:p>
            <w:r>
              <w:t>Layer</w:t>
            </w:r>
          </w:p>
        </w:tc>
        <w:tc>
          <w:tcPr>
            <w:tcW w:type="dxa" w:w="5112"/>
            <w:shd w:fill="D9EAF7"/>
          </w:tcPr>
          <w:p>
            <w:r>
              <w:t>Technology</w:t>
            </w:r>
          </w:p>
        </w:tc>
      </w:tr>
      <w:tr>
        <w:tc>
          <w:tcPr>
            <w:tcW w:type="dxa" w:w="5112"/>
          </w:tcPr>
          <w:p>
            <w:r>
              <w:t>Blockchain</w:t>
            </w:r>
          </w:p>
        </w:tc>
        <w:tc>
          <w:tcPr>
            <w:tcW w:type="dxa" w:w="5112"/>
          </w:tcPr>
          <w:p>
            <w:r>
              <w:t>Hyperledger Besu (permissioned EVM) for target architecture; Anvil/Hardhat for local development.</w:t>
            </w:r>
          </w:p>
        </w:tc>
      </w:tr>
      <w:tr>
        <w:tc>
          <w:tcPr>
            <w:tcW w:type="dxa" w:w="5112"/>
          </w:tcPr>
          <w:p>
            <w:r>
              <w:t>Smart Contracts</w:t>
            </w:r>
          </w:p>
        </w:tc>
        <w:tc>
          <w:tcPr>
            <w:tcW w:type="dxa" w:w="5112"/>
          </w:tcPr>
          <w:p>
            <w:r>
              <w:t>Solidity 0.8.x, OpenZeppelin ERC-721 and access-control primitives, Foundry.</w:t>
            </w:r>
          </w:p>
        </w:tc>
      </w:tr>
      <w:tr>
        <w:tc>
          <w:tcPr>
            <w:tcW w:type="dxa" w:w="5112"/>
          </w:tcPr>
          <w:p>
            <w:r>
              <w:t>Identity</w:t>
            </w:r>
          </w:p>
        </w:tc>
        <w:tc>
          <w:tcPr>
            <w:tcW w:type="dxa" w:w="5112"/>
          </w:tcPr>
          <w:p>
            <w:r>
              <w:t>did:ethr-compatible DID model, W3C Verifiable Credentials, cryptographic signatures.</w:t>
            </w:r>
          </w:p>
        </w:tc>
      </w:tr>
      <w:tr>
        <w:tc>
          <w:tcPr>
            <w:tcW w:type="dxa" w:w="5112"/>
          </w:tcPr>
          <w:p>
            <w:r>
              <w:t>Backend / PEP</w:t>
            </w:r>
          </w:p>
        </w:tc>
        <w:tc>
          <w:tcPr>
            <w:tcW w:type="dxa" w:w="5112"/>
          </w:tcPr>
          <w:p>
            <w:r>
              <w:t>Node.js/Express or Python/FastAPI.</w:t>
            </w:r>
          </w:p>
        </w:tc>
      </w:tr>
      <w:tr>
        <w:tc>
          <w:tcPr>
            <w:tcW w:type="dxa" w:w="5112"/>
          </w:tcPr>
          <w:p>
            <w:r>
              <w:t>Frontend</w:t>
            </w:r>
          </w:p>
        </w:tc>
        <w:tc>
          <w:tcPr>
            <w:tcW w:type="dxa" w:w="5112"/>
          </w:tcPr>
          <w:p>
            <w:r>
              <w:t>Next.js / React, TailwindCSS, ethers.js.</w:t>
            </w:r>
          </w:p>
        </w:tc>
      </w:tr>
      <w:tr>
        <w:tc>
          <w:tcPr>
            <w:tcW w:type="dxa" w:w="5112"/>
          </w:tcPr>
          <w:p>
            <w:r>
              <w:t>Offline Verifier</w:t>
            </w:r>
          </w:p>
        </w:tc>
        <w:tc>
          <w:tcPr>
            <w:tcW w:type="dxa" w:w="5112"/>
          </w:tcPr>
          <w:p>
            <w:r>
              <w:t>React PWA, Service Worker, IndexedDB, WebCrypto.</w:t>
            </w:r>
          </w:p>
        </w:tc>
      </w:tr>
      <w:tr>
        <w:tc>
          <w:tcPr>
            <w:tcW w:type="dxa" w:w="5112"/>
          </w:tcPr>
          <w:p>
            <w:r>
              <w:t>Database</w:t>
            </w:r>
          </w:p>
        </w:tc>
        <w:tc>
          <w:tcPr>
            <w:tcW w:type="dxa" w:w="5112"/>
          </w:tcPr>
          <w:p>
            <w:r>
              <w:t>PostgreSQL.</w:t>
            </w:r>
          </w:p>
        </w:tc>
      </w:tr>
      <w:tr>
        <w:tc>
          <w:tcPr>
            <w:tcW w:type="dxa" w:w="5112"/>
          </w:tcPr>
          <w:p>
            <w:r>
              <w:t>Indexer</w:t>
            </w:r>
          </w:p>
        </w:tc>
        <w:tc>
          <w:tcPr>
            <w:tcW w:type="dxa" w:w="5112"/>
          </w:tcPr>
          <w:p>
            <w:r>
              <w:t>Lightweight EVM event listener / Ponder-style indexer.</w:t>
            </w:r>
          </w:p>
        </w:tc>
      </w:tr>
      <w:tr>
        <w:tc>
          <w:tcPr>
            <w:tcW w:type="dxa" w:w="5112"/>
          </w:tcPr>
          <w:p>
            <w:r>
              <w:t>Storage</w:t>
            </w:r>
          </w:p>
        </w:tc>
        <w:tc>
          <w:tcPr>
            <w:tcW w:type="dxa" w:w="5112"/>
          </w:tcPr>
          <w:p>
            <w:r>
              <w:t>Off-chain object storage or IPFS for documents; hashes/commitments anchored on-chain.</w:t>
            </w:r>
          </w:p>
        </w:tc>
      </w:tr>
      <w:tr>
        <w:tc>
          <w:tcPr>
            <w:tcW w:type="dxa" w:w="5112"/>
          </w:tcPr>
          <w:p>
            <w:r>
              <w:t>Testing</w:t>
            </w:r>
          </w:p>
        </w:tc>
        <w:tc>
          <w:tcPr>
            <w:tcW w:type="dxa" w:w="5112"/>
          </w:tcPr>
          <w:p>
            <w:r>
              <w:t>Foundry unit/fuzz/invariant tests and Playwright tests for the offline workflow.</w:t>
            </w:r>
          </w:p>
        </w:tc>
      </w:tr>
    </w:tbl>
    <w:p>
      <w:pPr>
        <w:pStyle w:val="Heading1"/>
        <w:spacing w:before="140" w:after="60"/>
      </w:pPr>
      <w:r>
        <w:t>11. Security Features</w:t>
      </w:r>
    </w:p>
    <w:p>
      <w:pPr>
        <w:pStyle w:val="ListBullet"/>
        <w:spacing w:after="20"/>
      </w:pPr>
      <w:r>
        <w:t>Cryptographic DID authentication and key rotation.</w:t>
      </w:r>
    </w:p>
    <w:p>
      <w:pPr>
        <w:pStyle w:val="ListBullet"/>
        <w:spacing w:after="20"/>
      </w:pPr>
      <w:r>
        <w:t>Contract-level RBAC and permission checks.</w:t>
      </w:r>
    </w:p>
    <w:p>
      <w:pPr>
        <w:pStyle w:val="ListBullet"/>
        <w:spacing w:after="20"/>
      </w:pPr>
      <w:r>
        <w:t>Controlled asset minting and allocation.</w:t>
      </w:r>
    </w:p>
    <w:p>
      <w:pPr>
        <w:pStyle w:val="ListBullet"/>
        <w:spacing w:after="20"/>
      </w:pPr>
      <w:r>
        <w:t>Immutable event logging.</w:t>
      </w:r>
    </w:p>
    <w:p>
      <w:pPr>
        <w:pStyle w:val="ListBullet"/>
        <w:spacing w:after="20"/>
      </w:pPr>
      <w:r>
        <w:t>Nonce/timestamp or unique-request protection for signed attestations.</w:t>
      </w:r>
    </w:p>
    <w:p>
      <w:pPr>
        <w:pStyle w:val="ListBullet"/>
        <w:spacing w:after="20"/>
      </w:pPr>
      <w:r>
        <w:t>Quarantine of assets involved in incompatible observations.</w:t>
      </w:r>
    </w:p>
    <w:p>
      <w:pPr>
        <w:pStyle w:val="ListBullet"/>
        <w:spacing w:after="20"/>
      </w:pPr>
      <w:r>
        <w:t>Time-bounded credentials and risk-tiered offline authorization.</w:t>
      </w:r>
    </w:p>
    <w:p>
      <w:pPr>
        <w:pStyle w:val="ListBullet"/>
        <w:spacing w:after="20"/>
      </w:pPr>
      <w:r>
        <w:t>Separation of sensitive personal/asset documents from immutable on-chain storage; only necessary hashes/commitments are anchored.</w:t>
      </w:r>
    </w:p>
    <w:p>
      <w:pPr>
        <w:pStyle w:val="Heading1"/>
        <w:spacing w:before="140" w:after="60"/>
      </w:pPr>
      <w:r>
        <w:t>12. Key Differentiators</w:t>
      </w:r>
    </w:p>
    <w:tbl>
      <w:tblPr>
        <w:tblStyle w:val="TableGrid"/>
        <w:tblW w:type="auto" w:w="0"/>
        <w:tblLook w:firstColumn="1" w:firstRow="1" w:lastColumn="0" w:lastRow="0" w:noHBand="0" w:noVBand="1" w:val="04A0"/>
      </w:tblPr>
      <w:tblGrid>
        <w:gridCol w:w="5112"/>
        <w:gridCol w:w="5112"/>
      </w:tblGrid>
      <w:tr>
        <w:tc>
          <w:tcPr>
            <w:tcW w:type="dxa" w:w="5112"/>
            <w:shd w:fill="D9EAF7"/>
          </w:tcPr>
          <w:p>
            <w:r>
              <w:t>Dimension</w:t>
            </w:r>
          </w:p>
        </w:tc>
        <w:tc>
          <w:tcPr>
            <w:tcW w:type="dxa" w:w="5112"/>
            <w:shd w:fill="D9EAF7"/>
          </w:tcPr>
          <w:p>
            <w:r>
              <w:t>Anubandh</w:t>
            </w:r>
          </w:p>
        </w:tc>
      </w:tr>
      <w:tr>
        <w:tc>
          <w:tcPr>
            <w:tcW w:type="dxa" w:w="5112"/>
          </w:tcPr>
          <w:p>
            <w:r>
              <w:t>Beyond ownership</w:t>
            </w:r>
          </w:p>
        </w:tc>
        <w:tc>
          <w:tcPr>
            <w:tcW w:type="dxa" w:w="5112"/>
          </w:tcPr>
          <w:p>
            <w:r>
              <w:t>Records asset freshness/confidence rather than treating an old blockchain record as permanently current.</w:t>
            </w:r>
          </w:p>
        </w:tc>
      </w:tr>
      <w:tr>
        <w:tc>
          <w:tcPr>
            <w:tcW w:type="dxa" w:w="5112"/>
          </w:tcPr>
          <w:p>
            <w:r>
              <w:t>Beyond static identifiers</w:t>
            </w:r>
          </w:p>
        </w:tc>
        <w:tc>
          <w:tcPr>
            <w:tcW w:type="dxa" w:w="5112"/>
          </w:tcPr>
          <w:p>
            <w:r>
              <w:t>Treats QR/NFC-style identifiers as evidence with an explicit confidence level instead of claiming unclonability.</w:t>
            </w:r>
          </w:p>
        </w:tc>
      </w:tr>
      <w:tr>
        <w:tc>
          <w:tcPr>
            <w:tcW w:type="dxa" w:w="5112"/>
          </w:tcPr>
          <w:p>
            <w:r>
              <w:t>Beyond normal RBAC</w:t>
            </w:r>
          </w:p>
        </w:tc>
        <w:tc>
          <w:tcPr>
            <w:tcW w:type="dxa" w:w="5112"/>
          </w:tcPr>
          <w:p>
            <w:r>
              <w:t>Contract-enforced authorization and optional separation-of-duties/quorum rules for sensitive operations.</w:t>
            </w:r>
          </w:p>
        </w:tc>
      </w:tr>
      <w:tr>
        <w:tc>
          <w:tcPr>
            <w:tcW w:type="dxa" w:w="5112"/>
          </w:tcPr>
          <w:p>
            <w:r>
              <w:t>Beyond online-only systems</w:t>
            </w:r>
          </w:p>
        </w:tc>
        <w:tc>
          <w:tcPr>
            <w:tcW w:type="dxa" w:w="5112"/>
          </w:tcPr>
          <w:p>
            <w:r>
              <w:t>Risk-tiered offline authorization with signed local decisions and later reconciliation.</w:t>
            </w:r>
          </w:p>
        </w:tc>
      </w:tr>
      <w:tr>
        <w:tc>
          <w:tcPr>
            <w:tcW w:type="dxa" w:w="5112"/>
          </w:tcPr>
          <w:p>
            <w:r>
              <w:t>Beyond ordinary audit logs</w:t>
            </w:r>
          </w:p>
        </w:tc>
        <w:tc>
          <w:tcPr>
            <w:tcW w:type="dxa" w:w="5112"/>
          </w:tcPr>
          <w:p>
            <w:r>
              <w:t>Point-in-time reconstruction of asset ownership, role state and access-relevant events.</w:t>
            </w:r>
          </w:p>
        </w:tc>
      </w:tr>
      <w:tr>
        <w:tc>
          <w:tcPr>
            <w:tcW w:type="dxa" w:w="5112"/>
          </w:tcPr>
          <w:p>
            <w:r>
              <w:t>Honest security model</w:t>
            </w:r>
          </w:p>
        </w:tc>
        <w:tc>
          <w:tcPr>
            <w:tcW w:type="dxa" w:w="5112"/>
          </w:tcPr>
          <w:p>
            <w:r>
              <w:t>Clearly distinguishes what cryptography guarantees from what requires trusted human/organizational attestation.</w:t>
            </w:r>
          </w:p>
        </w:tc>
      </w:tr>
    </w:tbl>
    <w:p>
      <w:pPr>
        <w:pStyle w:val="Heading1"/>
        <w:spacing w:before="140" w:after="60"/>
      </w:pPr>
      <w:r>
        <w:t>13. Demonstration Plan</w:t>
      </w:r>
    </w:p>
    <w:tbl>
      <w:tblPr>
        <w:tblStyle w:val="TableGrid"/>
        <w:tblW w:type="auto" w:w="0"/>
        <w:tblLook w:firstColumn="1" w:firstRow="1" w:lastColumn="0" w:lastRow="0" w:noHBand="0" w:noVBand="1" w:val="04A0"/>
      </w:tblPr>
      <w:tblGrid>
        <w:gridCol w:w="5112"/>
        <w:gridCol w:w="5112"/>
      </w:tblGrid>
      <w:tr>
        <w:tc>
          <w:tcPr>
            <w:tcW w:type="dxa" w:w="5112"/>
            <w:shd w:fill="D9EAF7"/>
          </w:tcPr>
          <w:p>
            <w:r>
              <w:t>Demo</w:t>
            </w:r>
          </w:p>
        </w:tc>
        <w:tc>
          <w:tcPr>
            <w:tcW w:type="dxa" w:w="5112"/>
            <w:shd w:fill="D9EAF7"/>
          </w:tcPr>
          <w:p>
            <w:r>
              <w:t>What the Judges See</w:t>
            </w:r>
          </w:p>
        </w:tc>
      </w:tr>
      <w:tr>
        <w:tc>
          <w:tcPr>
            <w:tcW w:type="dxa" w:w="5112"/>
          </w:tcPr>
          <w:p>
            <w:r>
              <w:t>Act 1 — Identity &amp; RBAC</w:t>
            </w:r>
          </w:p>
        </w:tc>
        <w:tc>
          <w:tcPr>
            <w:tcW w:type="dxa" w:w="5112"/>
          </w:tcPr>
          <w:p>
            <w:r>
              <w:t>Create/login with a DID, assign a role, mint an asset through authorized flow, then attempt an unauthorized operation and show contract-level rejection.</w:t>
            </w:r>
          </w:p>
        </w:tc>
      </w:tr>
      <w:tr>
        <w:tc>
          <w:tcPr>
            <w:tcW w:type="dxa" w:w="5112"/>
          </w:tcPr>
          <w:p>
            <w:r>
              <w:t>Act 2 — Asset Lifecycle</w:t>
            </w:r>
          </w:p>
        </w:tc>
        <w:tc>
          <w:tcPr>
            <w:tcW w:type="dxa" w:w="5112"/>
          </w:tcPr>
          <w:p>
            <w:r>
              <w:t>Show NFT creation, allocation, ownership/custody information and complete blockchain event history.</w:t>
            </w:r>
          </w:p>
        </w:tc>
      </w:tr>
      <w:tr>
        <w:tc>
          <w:tcPr>
            <w:tcW w:type="dxa" w:w="5112"/>
          </w:tcPr>
          <w:p>
            <w:r>
              <w:t>Act 3 — Divergence</w:t>
            </w:r>
          </w:p>
        </w:tc>
        <w:tc>
          <w:tcPr>
            <w:tcW w:type="dxa" w:w="5112"/>
          </w:tcPr>
          <w:p>
            <w:r>
              <w:t>Record two incompatible observations for the same asset; show the divergence event, quarantine state and blocked transfer.</w:t>
            </w:r>
          </w:p>
        </w:tc>
      </w:tr>
      <w:tr>
        <w:tc>
          <w:tcPr>
            <w:tcW w:type="dxa" w:w="5112"/>
          </w:tcPr>
          <w:p>
            <w:r>
              <w:t>Act 4 — Offline Mode</w:t>
            </w:r>
          </w:p>
        </w:tc>
        <w:tc>
          <w:tcPr>
            <w:tcW w:type="dxa" w:w="5112"/>
          </w:tcPr>
          <w:p>
            <w:r>
              <w:t>Switch the verifier to airplane mode, demonstrate a permitted low-risk action and a denied high-risk action because of stale cached state; reconnect and reconcile.</w:t>
            </w:r>
          </w:p>
        </w:tc>
      </w:tr>
      <w:tr>
        <w:tc>
          <w:tcPr>
            <w:tcW w:type="dxa" w:w="5112"/>
          </w:tcPr>
          <w:p>
            <w:r>
              <w:t>Act 5 — Trust Decay &amp; Audit</w:t>
            </w:r>
          </w:p>
        </w:tc>
        <w:tc>
          <w:tcPr>
            <w:tcW w:type="dxa" w:w="5112"/>
          </w:tcPr>
          <w:p>
            <w:r>
              <w:t>Advance simulated time, show confidence degradation, then run an auditor query to reconstruct the asset's state/history at a chosen date.</w:t>
            </w:r>
          </w:p>
        </w:tc>
      </w:tr>
    </w:tbl>
    <w:p>
      <w:pPr>
        <w:pStyle w:val="Heading1"/>
        <w:spacing w:before="140" w:after="60"/>
      </w:pPr>
      <w:r>
        <w:t>14. Scope and Limitations</w:t>
      </w:r>
    </w:p>
    <w:p>
      <w:r>
        <w:t>Functional in the prototype:</w:t>
      </w:r>
    </w:p>
    <w:p>
      <w:pPr>
        <w:pStyle w:val="ListBullet"/>
        <w:spacing w:after="20"/>
      </w:pPr>
      <w:r>
        <w:t>All core smart contracts and blockchain workflows.</w:t>
      </w:r>
    </w:p>
    <w:p>
      <w:pPr>
        <w:pStyle w:val="ListBullet"/>
        <w:spacing w:after="20"/>
      </w:pPr>
      <w:r>
        <w:t>DIDs and cryptographic credentials.</w:t>
      </w:r>
    </w:p>
    <w:p>
      <w:pPr>
        <w:pStyle w:val="ListBullet"/>
        <w:spacing w:after="20"/>
      </w:pPr>
      <w:r>
        <w:t>NFT asset lifecycle and contract-enforced RBAC.</w:t>
      </w:r>
    </w:p>
    <w:p>
      <w:pPr>
        <w:pStyle w:val="ListBullet"/>
        <w:spacing w:after="20"/>
      </w:pPr>
      <w:r>
        <w:t>Signed software-based asset attestations.</w:t>
      </w:r>
    </w:p>
    <w:p>
      <w:pPr>
        <w:pStyle w:val="ListBullet"/>
        <w:spacing w:after="20"/>
      </w:pPr>
      <w:r>
        <w:t>Divergence detection, quarantine and reconciliation.</w:t>
      </w:r>
    </w:p>
    <w:p>
      <w:pPr>
        <w:pStyle w:val="ListBullet"/>
        <w:spacing w:after="20"/>
      </w:pPr>
      <w:r>
        <w:t>Offline verification and signed local decision logging.</w:t>
      </w:r>
    </w:p>
    <w:p>
      <w:pPr>
        <w:pStyle w:val="ListBullet"/>
        <w:spacing w:after="20"/>
      </w:pPr>
      <w:r>
        <w:t>Trust decay/confidence dashboard and audit queries.</w:t>
      </w:r>
    </w:p>
    <w:p>
      <w:r>
        <w:t>Explicitly outside the prototype:</w:t>
      </w:r>
    </w:p>
    <w:p>
      <w:pPr>
        <w:pStyle w:val="ListBullet"/>
        <w:spacing w:after="20"/>
      </w:pPr>
      <w:r>
        <w:t>ESP32, PUFs and specialized secure-element hardware.</w:t>
      </w:r>
    </w:p>
    <w:p>
      <w:pPr>
        <w:pStyle w:val="ListBullet"/>
        <w:spacing w:after="20"/>
      </w:pPr>
      <w:r>
        <w:t>Manufacturing-grade anti-counterfeit hardware.</w:t>
      </w:r>
    </w:p>
    <w:p>
      <w:pPr>
        <w:pStyle w:val="ListBullet"/>
        <w:spacing w:after="20"/>
      </w:pPr>
      <w:r>
        <w:t>Enterprise IAM/SCIM federation.</w:t>
      </w:r>
    </w:p>
    <w:p>
      <w:pPr>
        <w:pStyle w:val="ListBullet"/>
        <w:spacing w:after="20"/>
      </w:pPr>
      <w:r>
        <w:t>Cross-organization blockchain interoperability.</w:t>
      </w:r>
    </w:p>
    <w:p>
      <w:pPr>
        <w:pStyle w:val="ListBullet"/>
        <w:spacing w:after="20"/>
      </w:pPr>
      <w:r>
        <w:t>Zero-knowledge selective disclosure.</w:t>
      </w:r>
    </w:p>
    <w:p>
      <w:pPr>
        <w:pStyle w:val="ListBullet"/>
        <w:spacing w:after="20"/>
      </w:pPr>
      <w:r>
        <w:t>Large-scale production deployment and real BEL ERP integration.</w:t>
      </w:r>
    </w:p>
    <w:p>
      <w:r>
        <w:t>Removing specialized hardware is a deliberate scope decision. The software prototype will not claim that a QR/NFC identifier is unclonable; hardware-rooted physical attestation can be treated as future work.</w:t>
      </w:r>
    </w:p>
    <w:p>
      <w:pPr>
        <w:pStyle w:val="Heading1"/>
        <w:spacing w:before="140" w:after="60"/>
      </w:pPr>
      <w:r>
        <w:t>15. Ten-Week Execution Plan</w:t>
      </w:r>
    </w:p>
    <w:tbl>
      <w:tblPr>
        <w:tblStyle w:val="TableGrid"/>
        <w:tblW w:type="auto" w:w="0"/>
        <w:tblLook w:firstColumn="1" w:firstRow="1" w:lastColumn="0" w:lastRow="0" w:noHBand="0" w:noVBand="1" w:val="04A0"/>
      </w:tblPr>
      <w:tblGrid>
        <w:gridCol w:w="5112"/>
        <w:gridCol w:w="5112"/>
      </w:tblGrid>
      <w:tr>
        <w:tc>
          <w:tcPr>
            <w:tcW w:type="dxa" w:w="5112"/>
            <w:shd w:fill="D9EAF7"/>
          </w:tcPr>
          <w:p>
            <w:r>
              <w:t>Week</w:t>
            </w:r>
          </w:p>
        </w:tc>
        <w:tc>
          <w:tcPr>
            <w:tcW w:type="dxa" w:w="5112"/>
            <w:shd w:fill="D9EAF7"/>
          </w:tcPr>
          <w:p>
            <w:r>
              <w:t>Deliverable</w:t>
            </w:r>
          </w:p>
        </w:tc>
      </w:tr>
      <w:tr>
        <w:tc>
          <w:tcPr>
            <w:tcW w:type="dxa" w:w="5112"/>
          </w:tcPr>
          <w:p>
            <w:r>
              <w:t>1</w:t>
            </w:r>
          </w:p>
        </w:tc>
        <w:tc>
          <w:tcPr>
            <w:tcW w:type="dxa" w:w="5112"/>
          </w:tcPr>
          <w:p>
            <w:r>
              <w:t>Scope freeze, architecture, repository/CI, local EVM, API and message schemas.</w:t>
            </w:r>
          </w:p>
        </w:tc>
      </w:tr>
      <w:tr>
        <w:tc>
          <w:tcPr>
            <w:tcW w:type="dxa" w:w="5112"/>
          </w:tcPr>
          <w:p>
            <w:r>
              <w:t>2</w:t>
            </w:r>
          </w:p>
        </w:tc>
        <w:tc>
          <w:tcPr>
            <w:tcW w:type="dxa" w:w="5112"/>
          </w:tcPr>
          <w:p>
            <w:r>
              <w:t>DIDRegistry and RoleManager; identity and RBAC tests.</w:t>
            </w:r>
          </w:p>
        </w:tc>
      </w:tr>
      <w:tr>
        <w:tc>
          <w:tcPr>
            <w:tcW w:type="dxa" w:w="5112"/>
          </w:tcPr>
          <w:p>
            <w:r>
              <w:t>3</w:t>
            </w:r>
          </w:p>
        </w:tc>
        <w:tc>
          <w:tcPr>
            <w:tcW w:type="dxa" w:w="5112"/>
          </w:tcPr>
          <w:p>
            <w:r>
              <w:t>AssetNFT, mint/allocation/transfer workflows; first end-to-end dashboard flow.</w:t>
            </w:r>
          </w:p>
        </w:tc>
      </w:tr>
      <w:tr>
        <w:tc>
          <w:tcPr>
            <w:tcW w:type="dxa" w:w="5112"/>
          </w:tcPr>
          <w:p>
            <w:r>
              <w:t>4</w:t>
            </w:r>
          </w:p>
        </w:tc>
        <w:tc>
          <w:tcPr>
            <w:tcW w:type="dxa" w:w="5112"/>
          </w:tcPr>
          <w:p>
            <w:r>
              <w:t>AttestationRegistry; signed observation workflow and replay protection.</w:t>
            </w:r>
          </w:p>
        </w:tc>
      </w:tr>
      <w:tr>
        <w:tc>
          <w:tcPr>
            <w:tcW w:type="dxa" w:w="5112"/>
          </w:tcPr>
          <w:p>
            <w:r>
              <w:t>5</w:t>
            </w:r>
          </w:p>
        </w:tc>
        <w:tc>
          <w:tcPr>
            <w:tcW w:type="dxa" w:w="5112"/>
          </w:tcPr>
          <w:p>
            <w:r>
              <w:t>DivergenceRegistry, quarantine and transfer blocking.</w:t>
            </w:r>
          </w:p>
        </w:tc>
      </w:tr>
      <w:tr>
        <w:tc>
          <w:tcPr>
            <w:tcW w:type="dxa" w:w="5112"/>
          </w:tcPr>
          <w:p>
            <w:r>
              <w:t>6</w:t>
            </w:r>
          </w:p>
        </w:tc>
        <w:tc>
          <w:tcPr>
            <w:tcW w:type="dxa" w:w="5112"/>
          </w:tcPr>
          <w:p>
            <w:r>
              <w:t>Offline PWA, credential/status caching and risk-tier policy.</w:t>
            </w:r>
          </w:p>
        </w:tc>
      </w:tr>
      <w:tr>
        <w:tc>
          <w:tcPr>
            <w:tcW w:type="dxa" w:w="5112"/>
          </w:tcPr>
          <w:p>
            <w:r>
              <w:t>7</w:t>
            </w:r>
          </w:p>
        </w:tc>
        <w:tc>
          <w:tcPr>
            <w:tcW w:type="dxa" w:w="5112"/>
          </w:tcPr>
          <w:p>
            <w:r>
              <w:t>Offline decision signing, reconnect reconciliation and trust-decay engine.</w:t>
            </w:r>
          </w:p>
        </w:tc>
      </w:tr>
      <w:tr>
        <w:tc>
          <w:tcPr>
            <w:tcW w:type="dxa" w:w="5112"/>
          </w:tcPr>
          <w:p>
            <w:r>
              <w:t>8</w:t>
            </w:r>
          </w:p>
        </w:tc>
        <w:tc>
          <w:tcPr>
            <w:tcW w:type="dxa" w:w="5112"/>
          </w:tcPr>
          <w:p>
            <w:r>
              <w:t>Indexer, PostgreSQL, dashboard, audit queries and synthetic dataset.</w:t>
            </w:r>
          </w:p>
        </w:tc>
      </w:tr>
      <w:tr>
        <w:tc>
          <w:tcPr>
            <w:tcW w:type="dxa" w:w="5112"/>
          </w:tcPr>
          <w:p>
            <w:r>
              <w:t>9</w:t>
            </w:r>
          </w:p>
        </w:tc>
        <w:tc>
          <w:tcPr>
            <w:tcW w:type="dxa" w:w="5112"/>
          </w:tcPr>
          <w:p>
            <w:r>
              <w:t>Security hardening, threat-model tests, integration and complete demonstration flow.</w:t>
            </w:r>
          </w:p>
        </w:tc>
      </w:tr>
      <w:tr>
        <w:tc>
          <w:tcPr>
            <w:tcW w:type="dxa" w:w="5112"/>
          </w:tcPr>
          <w:p>
            <w:r>
              <w:t>10</w:t>
            </w:r>
          </w:p>
        </w:tc>
        <w:tc>
          <w:tcPr>
            <w:tcW w:type="dxa" w:w="5112"/>
          </w:tcPr>
          <w:p>
            <w:r>
              <w:t>Code freeze, adverse-condition rehearsals, documentation and final presentation.</w:t>
            </w:r>
          </w:p>
        </w:tc>
      </w:tr>
    </w:tbl>
    <w:p>
      <w:pPr>
        <w:pStyle w:val="Heading1"/>
        <w:spacing w:before="140" w:after="60"/>
      </w:pPr>
      <w:r>
        <w:t>16. Expected Outcome</w:t>
      </w:r>
    </w:p>
    <w:p>
      <w:r>
        <w:t>The final prototype will provide a unified blockchain platform in which identities, assets and permissions are cryptographically verifiable and their important lifecycle events are immutably recorded. It will demonstrate that unauthorized actions are rejected by smart contracts, asset state can be verified and audited, conflicting observations can trigger quarantine, and selected access decisions can continue safely during network outages with explicit staleness limits and later reconciliation.</w:t>
      </w:r>
    </w:p>
    <w:p>
      <w:pPr>
        <w:pStyle w:val="Heading1"/>
        <w:spacing w:before="140" w:after="60"/>
      </w:pPr>
      <w:r>
        <w:t>17. Conclusion</w:t>
      </w:r>
    </w:p>
    <w:p>
      <w:r>
        <w:t>Anubandh directly addresses the SIH26125 requirements for decentralized identity, NFT-based asset ownership, smart-contract-governed operations, RBAC and immutable auditability. The revised software-first architecture avoids dependence on ESP32 or specialized hardware while preserving a strong technical differentiator: the platform does not merely record ownership; it models the confidence, freshness and consistency of the recorded asset state and continues to enforce risk-aware authority when connectivity is unavailable.</w:t>
      </w:r>
    </w:p>
    <w:p>
      <w:pPr>
        <w:pStyle w:val="Heading1"/>
        <w:spacing w:before="140" w:after="60"/>
      </w:pPr>
      <w:r>
        <w:t>18. Source Basis</w:t>
      </w:r>
    </w:p>
    <w:p>
      <w:r>
        <w:t>This synopsis is based on the SIH26125 problem statement supplied with the original Anubandh planning document. The original document identifies DID, NFT, smart-contract RBAC and immutable audit trail as the mandatory requirements and separately proposes ESP32/PUF hardware as an enhancement for stronger physical-to-digital binding. This revision intentionally removes that hardware dependency and retains the software capabilities that can be implemented and demonstrated without specialized hardware.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ANUBANDH • SIH26125 • Revised Software-First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