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0A56C9"/>
          <w:sz w:val="48"/>
        </w:rPr>
        <w:t>SBI Mutual Fund</w:t>
      </w:r>
      <w:r>
        <w:rPr>
          <w:rFonts w:ascii="Aptos" w:hAnsi="Aptos"/>
          <w:b/>
          <w:i w:val="0"/>
          <w:color w:val="172033"/>
          <w:sz w:val="50"/>
        </w:rPr>
        <w:br/>
        <w:t>Facts-Only RAG Chatbot</w:t>
      </w:r>
      <w:r>
        <w:rPr>
          <w:rFonts w:ascii="Aptos" w:hAnsi="Aptos"/>
          <w:b/>
          <w:i w:val="0"/>
          <w:color w:val="123E8C"/>
          <w:sz w:val="34"/>
        </w:rPr>
        <w:br/>
        <w:t>Product Brief v2 — Wireframe-Aligned</w:t>
      </w:r>
    </w:p>
    <w:p>
      <w:pPr>
        <w:spacing w:before="400"/>
        <w:jc w:val="center"/>
      </w:pPr>
      <w:r>
        <w:rPr>
          <w:rFonts w:ascii="Aptos" w:hAnsi="Aptos"/>
          <w:b/>
          <w:i w:val="0"/>
          <w:color w:val="596579"/>
          <w:sz w:val="24"/>
        </w:rPr>
        <w:t>25-Source Corpus &amp; End-to-End Workflow Specification</w:t>
      </w:r>
      <w:r>
        <w:rPr>
          <w:rFonts w:ascii="Aptos" w:hAnsi="Aptos"/>
          <w:b w:val="0"/>
          <w:i w:val="0"/>
          <w:color w:val="596579"/>
          <w:sz w:val="21"/>
        </w:rPr>
        <w:br/>
        <w:t>Platform: Groww-inspired experience | AMC: SBI Mutual Fund | 5 schemes</w:t>
      </w:r>
      <w:r>
        <w:rPr>
          <w:rFonts w:ascii="Aptos" w:hAnsi="Aptos"/>
          <w:b w:val="0"/>
          <w:i w:val="0"/>
          <w:color w:val="596579"/>
          <w:sz w:val="21"/>
        </w:rPr>
        <w:br/>
        <w:t>Core architecture: persistent ChromaDB + local embeddings + OpenAI LLM</w:t>
      </w:r>
    </w:p>
    <w:tbl>
      <w:tblPr>
        <w:tblW w:type="auto" w:w="0"/>
        <w:jc w:val="center"/>
        <w:tblLook w:firstColumn="1" w:firstRow="1" w:lastColumn="0" w:lastRow="0" w:noHBand="0" w:noVBand="1" w:val="04A0"/>
      </w:tblPr>
      <w:tblGrid>
        <w:gridCol w:w="10166"/>
      </w:tblGrid>
      <w:tr>
        <w:tc>
          <w:tcPr>
            <w:tcW w:type="dxa" w:w="10166"/>
            <w:shd w:fill="E8F8F2"/>
            <w:tcBorders>
              <w:top w:val="single" w:sz="8" w:color="D9DFEA"/>
              <w:left w:val="single" w:sz="12" w:color="007F66"/>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007F66"/>
                <w:sz w:val="20"/>
              </w:rPr>
              <w:t>Revision objective</w:t>
            </w:r>
          </w:p>
          <w:p>
            <w:pPr>
              <w:spacing w:after="0"/>
            </w:pPr>
            <w:r>
              <w:rPr>
                <w:rFonts w:ascii="Aptos" w:hAnsi="Aptos"/>
                <w:b w:val="0"/>
                <w:i w:val="0"/>
                <w:color w:val="172033"/>
                <w:sz w:val="19"/>
              </w:rPr>
              <w:t>Keep the original product scope, 25-source corpus, retrieval design, local embedding model, persistent ChromaDB, and OpenAI-based generation architecture unchanged. Update the product brief only where the supplied wireframes introduce concrete UI states, interaction patterns, response types, security flows, or copy/metadata requirements that the earlier brief did not capture.</w:t>
            </w:r>
          </w:p>
        </w:tc>
      </w:tr>
    </w:tbl>
    <w:p>
      <w:pPr>
        <w:spacing w:after="20"/>
      </w:pPr>
    </w:p>
    <w:p>
      <w:pPr>
        <w:spacing w:before="400"/>
        <w:jc w:val="center"/>
      </w:pPr>
      <w:r>
        <w:rPr>
          <w:rFonts w:ascii="Aptos" w:hAnsi="Aptos"/>
          <w:b w:val="0"/>
          <w:i/>
          <w:color w:val="596579"/>
          <w:sz w:val="20"/>
        </w:rPr>
        <w:t>Prepared from: Product Brief v1 + 7 supplied wireframes</w:t>
      </w:r>
    </w:p>
    <w:p>
      <w:pPr>
        <w:pStyle w:val="Heading1"/>
        <w:keepNext/>
        <w:spacing w:before="240" w:after="100"/>
      </w:pPr>
      <w:r>
        <w:rPr>
          <w:rFonts w:ascii="Aptos" w:hAnsi="Aptos"/>
          <w:b/>
          <w:i w:val="0"/>
          <w:color w:val="123E8C"/>
          <w:sz w:val="30"/>
        </w:rPr>
        <w:t>Revision Control</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23E8C"/>
            <w:tcMar>
              <w:top w:w="110" w:type="dxa"/>
              <w:start w:w="95" w:type="dxa"/>
              <w:bottom w:w="110" w:type="dxa"/>
              <w:end w:w="95" w:type="dxa"/>
            </w:tcMar>
            <w:vAlign w:val="center"/>
          </w:tcPr>
          <w:p>
            <w:pPr>
              <w:spacing w:after="0"/>
            </w:pPr>
            <w:r>
              <w:rPr>
                <w:rFonts w:ascii="Aptos" w:hAnsi="Aptos"/>
                <w:b/>
                <w:i w:val="0"/>
                <w:color w:val="FFFFFF"/>
                <w:sz w:val="18"/>
              </w:rPr>
              <w:t>Item</w:t>
            </w:r>
          </w:p>
        </w:tc>
        <w:tc>
          <w:tcPr>
            <w:tcW w:type="dxa" w:w="5083"/>
            <w:shd w:fill="123E8C"/>
            <w:tcMar>
              <w:top w:w="110" w:type="dxa"/>
              <w:start w:w="95" w:type="dxa"/>
              <w:bottom w:w="110" w:type="dxa"/>
              <w:end w:w="95" w:type="dxa"/>
            </w:tcMar>
            <w:vAlign w:val="center"/>
          </w:tcPr>
          <w:p>
            <w:pPr>
              <w:spacing w:after="0"/>
            </w:pPr>
            <w:r>
              <w:rPr>
                <w:rFonts w:ascii="Aptos" w:hAnsi="Aptos"/>
                <w:b/>
                <w:i w:val="0"/>
                <w:color w:val="FFFFFF"/>
                <w:sz w:val="18"/>
              </w:rPr>
              <w:t>v2 decision</w:t>
            </w:r>
          </w:p>
        </w:tc>
      </w:tr>
      <w:tr>
        <w:trPr>
          <w:cantSplit w:val="true"/>
        </w:trPr>
        <w:tc>
          <w:tcPr>
            <w:tcW w:type="dxa" w:w="5083"/>
            <w:tcMar>
              <w:top w:w="90" w:type="dxa"/>
              <w:start w:w="95" w:type="dxa"/>
              <w:bottom w:w="90" w:type="dxa"/>
              <w:end w:w="95" w:type="dxa"/>
            </w:tcMar>
            <w:vAlign w:val="top"/>
          </w:tcPr>
          <w:p>
            <w:pPr>
              <w:spacing w:after="0"/>
            </w:pPr>
            <w:r>
              <w:rPr>
                <w:rFonts w:ascii="Aptos" w:hAnsi="Aptos"/>
                <w:b w:val="0"/>
                <w:i w:val="0"/>
                <w:color w:val="172033"/>
                <w:sz w:val="18"/>
              </w:rPr>
              <w:t>Document purpose</w:t>
            </w:r>
          </w:p>
        </w:tc>
        <w:tc>
          <w:tcPr>
            <w:tcW w:type="dxa" w:w="5083"/>
            <w:tcMar>
              <w:top w:w="90" w:type="dxa"/>
              <w:start w:w="95" w:type="dxa"/>
              <w:bottom w:w="90" w:type="dxa"/>
              <w:end w:w="95" w:type="dxa"/>
            </w:tcMar>
            <w:vAlign w:val="top"/>
          </w:tcPr>
          <w:p>
            <w:pPr>
              <w:spacing w:after="0"/>
            </w:pPr>
            <w:r>
              <w:rPr>
                <w:rFonts w:ascii="Aptos" w:hAnsi="Aptos"/>
                <w:b w:val="0"/>
                <w:i w:val="0"/>
                <w:color w:val="172033"/>
                <w:sz w:val="18"/>
              </w:rPr>
              <w:t>Retain the detailed Product Brief while adding the UI/workflow requirements visible in the 7 supplied wireframes.</w:t>
            </w:r>
          </w:p>
        </w:tc>
      </w:tr>
      <w:tr>
        <w:trPr>
          <w:cantSplit w:val="true"/>
        </w:trPr>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Core architecture</w:t>
            </w:r>
          </w:p>
        </w:tc>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UNCHANGED: ingestion → section-aware chunking → local embeddings → persistent ChromaDB → guarded retrieval → OpenAI LLM → validation → response.</w:t>
            </w:r>
          </w:p>
        </w:tc>
      </w:tr>
      <w:tr>
        <w:trPr>
          <w:cantSplit w:val="true"/>
        </w:trPr>
        <w:tc>
          <w:tcPr>
            <w:tcW w:type="dxa" w:w="5083"/>
            <w:tcMar>
              <w:top w:w="90" w:type="dxa"/>
              <w:start w:w="95" w:type="dxa"/>
              <w:bottom w:w="90" w:type="dxa"/>
              <w:end w:w="95" w:type="dxa"/>
            </w:tcMar>
            <w:vAlign w:val="top"/>
          </w:tcPr>
          <w:p>
            <w:pPr>
              <w:spacing w:after="0"/>
            </w:pPr>
            <w:r>
              <w:rPr>
                <w:rFonts w:ascii="Aptos" w:hAnsi="Aptos"/>
                <w:b w:val="0"/>
                <w:i w:val="0"/>
                <w:color w:val="172033"/>
                <w:sz w:val="18"/>
              </w:rPr>
              <w:t>UX scope</w:t>
            </w:r>
          </w:p>
        </w:tc>
        <w:tc>
          <w:tcPr>
            <w:tcW w:type="dxa" w:w="5083"/>
            <w:tcMar>
              <w:top w:w="90" w:type="dxa"/>
              <w:start w:w="95" w:type="dxa"/>
              <w:bottom w:w="90" w:type="dxa"/>
              <w:end w:w="95" w:type="dxa"/>
            </w:tcMar>
            <w:vAlign w:val="top"/>
          </w:tcPr>
          <w:p>
            <w:pPr>
              <w:spacing w:after="0"/>
            </w:pPr>
            <w:r>
              <w:rPr>
                <w:rFonts w:ascii="Aptos" w:hAnsi="Aptos"/>
                <w:b w:val="0"/>
                <w:i w:val="0"/>
                <w:color w:val="172033"/>
                <w:sz w:val="18"/>
              </w:rPr>
              <w:t>Expanded from a “tiny UI” into the wireframe-defined Assistant experience with home, chat/loading, factual answer, advice refusal, unsupported/insufficient-source, privacy/PII, and retrieval-error states.</w:t>
            </w:r>
          </w:p>
        </w:tc>
      </w:tr>
      <w:tr>
        <w:trPr>
          <w:cantSplit w:val="true"/>
        </w:trPr>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Response contract</w:t>
            </w:r>
          </w:p>
        </w:tc>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Narrative factual answer remains ≤3 sentences. Structured fact cards, metadata, source row, and suggested follow-up chips are UI fields outside the sentence count.</w:t>
            </w:r>
          </w:p>
        </w:tc>
      </w:tr>
      <w:tr>
        <w:trPr>
          <w:cantSplit w:val="true"/>
        </w:trPr>
        <w:tc>
          <w:tcPr>
            <w:tcW w:type="dxa" w:w="5083"/>
            <w:tcMar>
              <w:top w:w="90" w:type="dxa"/>
              <w:start w:w="95" w:type="dxa"/>
              <w:bottom w:w="90" w:type="dxa"/>
              <w:end w:w="95" w:type="dxa"/>
            </w:tcMar>
            <w:vAlign w:val="top"/>
          </w:tcPr>
          <w:p>
            <w:pPr>
              <w:spacing w:after="0"/>
            </w:pPr>
            <w:r>
              <w:rPr>
                <w:rFonts w:ascii="Aptos" w:hAnsi="Aptos"/>
                <w:b w:val="0"/>
                <w:i w:val="0"/>
                <w:color w:val="172033"/>
                <w:sz w:val="18"/>
              </w:rPr>
              <w:t>Source disclosure</w:t>
            </w:r>
          </w:p>
        </w:tc>
        <w:tc>
          <w:tcPr>
            <w:tcW w:type="dxa" w:w="5083"/>
            <w:tcMar>
              <w:top w:w="90" w:type="dxa"/>
              <w:start w:w="95" w:type="dxa"/>
              <w:bottom w:w="90" w:type="dxa"/>
              <w:end w:w="95" w:type="dxa"/>
            </w:tcMar>
            <w:vAlign w:val="top"/>
          </w:tcPr>
          <w:p>
            <w:pPr>
              <w:spacing w:after="0"/>
            </w:pPr>
            <w:r>
              <w:rPr>
                <w:rFonts w:ascii="Aptos" w:hAnsi="Aptos"/>
                <w:b w:val="0"/>
                <w:i w:val="0"/>
                <w:color w:val="172033"/>
                <w:sz w:val="18"/>
              </w:rPr>
              <w:t>One source link remains required for source-backed responses; transient retrieval-error state is exempt because no supporting source was successfully retrieved.</w:t>
            </w:r>
          </w:p>
        </w:tc>
      </w:tr>
      <w:tr>
        <w:trPr>
          <w:cantSplit w:val="true"/>
        </w:trPr>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Performance restriction</w:t>
            </w:r>
          </w:p>
        </w:tc>
        <w:tc>
          <w:tcPr>
            <w:tcW w:type="dxa" w:w="5083"/>
            <w:shd w:fill="F5F7FA"/>
            <w:tcMar>
              <w:top w:w="90" w:type="dxa"/>
              <w:start w:w="95" w:type="dxa"/>
              <w:bottom w:w="90" w:type="dxa"/>
              <w:end w:w="95" w:type="dxa"/>
            </w:tcMar>
            <w:vAlign w:val="top"/>
          </w:tcPr>
          <w:p>
            <w:pPr>
              <w:spacing w:after="0"/>
            </w:pPr>
            <w:r>
              <w:rPr>
                <w:rFonts w:ascii="Aptos" w:hAnsi="Aptos"/>
                <w:b w:val="0"/>
                <w:i w:val="0"/>
                <w:color w:val="172033"/>
                <w:sz w:val="18"/>
              </w:rPr>
              <w:t>Preserved. Benchmark names may be factual scheme metadata; benchmark returns/performance comparisons remain prohibited.</w:t>
            </w:r>
          </w:p>
        </w:tc>
      </w:tr>
      <w:tr>
        <w:trPr>
          <w:cantSplit w:val="true"/>
        </w:trPr>
        <w:tc>
          <w:tcPr>
            <w:tcW w:type="dxa" w:w="5083"/>
            <w:tcMar>
              <w:top w:w="90" w:type="dxa"/>
              <w:start w:w="95" w:type="dxa"/>
              <w:bottom w:w="90" w:type="dxa"/>
              <w:end w:w="95" w:type="dxa"/>
            </w:tcMar>
            <w:vAlign w:val="top"/>
          </w:tcPr>
          <w:p>
            <w:pPr>
              <w:spacing w:after="0"/>
            </w:pPr>
            <w:r>
              <w:rPr>
                <w:rFonts w:ascii="Aptos" w:hAnsi="Aptos"/>
                <w:b w:val="0"/>
                <w:i w:val="0"/>
                <w:color w:val="172033"/>
                <w:sz w:val="18"/>
              </w:rPr>
              <w:t>PII handling</w:t>
            </w:r>
          </w:p>
        </w:tc>
        <w:tc>
          <w:tcPr>
            <w:tcW w:type="dxa" w:w="5083"/>
            <w:tcMar>
              <w:top w:w="90" w:type="dxa"/>
              <w:start w:w="95" w:type="dxa"/>
              <w:bottom w:w="90" w:type="dxa"/>
              <w:end w:w="95" w:type="dxa"/>
            </w:tcMar>
            <w:vAlign w:val="top"/>
          </w:tcPr>
          <w:p>
            <w:pPr>
              <w:spacing w:after="0"/>
            </w:pPr>
            <w:r>
              <w:rPr>
                <w:rFonts w:ascii="Aptos" w:hAnsi="Aptos"/>
                <w:b w:val="0"/>
                <w:i w:val="0"/>
                <w:color w:val="172033"/>
                <w:sz w:val="18"/>
              </w:rPr>
              <w:t>Expanded to match the masking/safeguard workflow: detection occurs before downstream retrieval/LLM steps; raw sensitive values must not be sent or retained.</w:t>
            </w:r>
          </w:p>
        </w:tc>
      </w:tr>
    </w:tbl>
    <w:p>
      <w:pPr>
        <w:spacing w:after="20"/>
      </w:pPr>
    </w:p>
    <w:p>
      <w:pPr>
        <w:pStyle w:val="Heading1"/>
        <w:keepNext/>
        <w:spacing w:before="240" w:after="100"/>
      </w:pPr>
      <w:r>
        <w:rPr>
          <w:rFonts w:ascii="Aptos" w:hAnsi="Aptos"/>
          <w:b/>
          <w:i w:val="0"/>
          <w:color w:val="123E8C"/>
          <w:sz w:val="30"/>
        </w:rPr>
        <w:t>Wireframe Alignment Summary</w:t>
      </w:r>
    </w:p>
    <w:p>
      <w:pPr>
        <w:spacing w:after="100" w:line="259" w:lineRule="auto"/>
      </w:pPr>
      <w:r>
        <w:rPr>
          <w:rFonts w:ascii="Aptos" w:hAnsi="Aptos"/>
          <w:b w:val="0"/>
          <w:i w:val="0"/>
          <w:color w:val="172033"/>
          <w:sz w:val="21"/>
        </w:rPr>
        <w:t>The wireframes introduce seven concrete product states. The table below records what is now explicitly represented in the Product Brief so the implementation and acceptance criteria match the UI without altering the underlying RAG design.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23E8C"/>
            <w:tcMar>
              <w:top w:w="110" w:type="dxa"/>
              <w:start w:w="95" w:type="dxa"/>
              <w:bottom w:w="110" w:type="dxa"/>
              <w:end w:w="95" w:type="dxa"/>
            </w:tcMar>
            <w:vAlign w:val="center"/>
          </w:tcPr>
          <w:p>
            <w:pPr>
              <w:spacing w:after="0"/>
            </w:pPr>
            <w:r>
              <w:rPr>
                <w:rFonts w:ascii="Aptos" w:hAnsi="Aptos"/>
                <w:b/>
                <w:i w:val="0"/>
                <w:color w:val="FFFFFF"/>
                <w:sz w:val="18"/>
              </w:rPr>
              <w:t>Wireframe state</w:t>
            </w:r>
          </w:p>
        </w:tc>
        <w:tc>
          <w:tcPr>
            <w:tcW w:type="dxa" w:w="3389"/>
            <w:shd w:fill="123E8C"/>
            <w:tcMar>
              <w:top w:w="110" w:type="dxa"/>
              <w:start w:w="95" w:type="dxa"/>
              <w:bottom w:w="110" w:type="dxa"/>
              <w:end w:w="95" w:type="dxa"/>
            </w:tcMar>
            <w:vAlign w:val="center"/>
          </w:tcPr>
          <w:p>
            <w:pPr>
              <w:spacing w:after="0"/>
            </w:pPr>
            <w:r>
              <w:rPr>
                <w:rFonts w:ascii="Aptos" w:hAnsi="Aptos"/>
                <w:b/>
                <w:i w:val="0"/>
                <w:color w:val="FFFFFF"/>
                <w:sz w:val="18"/>
              </w:rPr>
              <w:t>Visible behavior</w:t>
            </w:r>
          </w:p>
        </w:tc>
        <w:tc>
          <w:tcPr>
            <w:tcW w:type="dxa" w:w="3389"/>
            <w:shd w:fill="123E8C"/>
            <w:tcMar>
              <w:top w:w="110" w:type="dxa"/>
              <w:start w:w="95" w:type="dxa"/>
              <w:bottom w:w="110" w:type="dxa"/>
              <w:end w:w="95" w:type="dxa"/>
            </w:tcMar>
            <w:vAlign w:val="center"/>
          </w:tcPr>
          <w:p>
            <w:pPr>
              <w:spacing w:after="0"/>
            </w:pPr>
            <w:r>
              <w:rPr>
                <w:rFonts w:ascii="Aptos" w:hAnsi="Aptos"/>
                <w:b/>
                <w:i w:val="0"/>
                <w:color w:val="FFFFFF"/>
                <w:sz w:val="18"/>
              </w:rPr>
              <w:t>Product Brief change</w:t>
            </w:r>
          </w:p>
        </w:tc>
      </w:tr>
      <w:tr>
        <w:trPr>
          <w:cantSplit w:val="true"/>
        </w:trPr>
        <w:tc>
          <w:tcPr>
            <w:tcW w:type="dxa" w:w="3389"/>
            <w:tcMar>
              <w:top w:w="90" w:type="dxa"/>
              <w:start w:w="95" w:type="dxa"/>
              <w:bottom w:w="90" w:type="dxa"/>
              <w:end w:w="95" w:type="dxa"/>
            </w:tcMar>
            <w:vAlign w:val="top"/>
          </w:tcPr>
          <w:p>
            <w:pPr>
              <w:spacing w:after="0"/>
            </w:pPr>
            <w:r>
              <w:rPr>
                <w:rFonts w:ascii="Aptos" w:hAnsi="Aptos"/>
                <w:b w:val="0"/>
                <w:i w:val="0"/>
                <w:color w:val="172033"/>
                <w:sz w:val="18"/>
              </w:rPr>
              <w:t>1. Assistant home</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Hero, facts-only notice, 3 example questions, Popular topics chips, question composer, navigation to Assistant / Schemes / Help / About.</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Replace “tiny UI” wording with a defined Assistant landing experience and explicit entry points.</w:t>
            </w:r>
          </w:p>
        </w:tc>
      </w:tr>
      <w:tr>
        <w:trPr>
          <w:cantSplit w:val="true"/>
        </w:trPr>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2. Retrieval/loading</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User bubble, searching message, loading skeleton, scheme-context chip, source-context chip, persistent bottom composer.</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Add a loading state and contextual retrieval metadata; define that input remains available during the session.</w:t>
            </w:r>
          </w:p>
        </w:tc>
      </w:tr>
      <w:tr>
        <w:trPr>
          <w:cantSplit w:val="true"/>
        </w:trPr>
        <w:tc>
          <w:tcPr>
            <w:tcW w:type="dxa" w:w="3389"/>
            <w:tcMar>
              <w:top w:w="90" w:type="dxa"/>
              <w:start w:w="95" w:type="dxa"/>
              <w:bottom w:w="90" w:type="dxa"/>
              <w:end w:w="95" w:type="dxa"/>
            </w:tcMar>
            <w:vAlign w:val="top"/>
          </w:tcPr>
          <w:p>
            <w:pPr>
              <w:spacing w:after="0"/>
            </w:pPr>
            <w:r>
              <w:rPr>
                <w:rFonts w:ascii="Aptos" w:hAnsi="Aptos"/>
                <w:b w:val="0"/>
                <w:i w:val="0"/>
                <w:color w:val="172033"/>
                <w:sz w:val="18"/>
              </w:rPr>
              <w:t>3. Factual answer</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Scheme answer card, category badge, structured metrics, source link, last-updated metadata, feedback actions, suggested questions.</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Add structured answer presentation and separate response metadata from the ≤3-sentence narrative constraint.</w:t>
            </w:r>
          </w:p>
        </w:tc>
      </w:tr>
      <w:tr>
        <w:trPr>
          <w:cantSplit w:val="true"/>
        </w:trPr>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4. Advice refusal</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Refusal banner, factual fund overview, permitted-inquiry chips, source row, advisory guardrail indicators.</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Define refusal as a response type with factual fallback content and permitted next questions.</w:t>
            </w:r>
          </w:p>
        </w:tc>
      </w:tr>
      <w:tr>
        <w:trPr>
          <w:cantSplit w:val="true"/>
        </w:trPr>
        <w:tc>
          <w:tcPr>
            <w:tcW w:type="dxa" w:w="3389"/>
            <w:tcMar>
              <w:top w:w="90" w:type="dxa"/>
              <w:start w:w="95" w:type="dxa"/>
              <w:bottom w:w="90" w:type="dxa"/>
              <w:end w:w="95" w:type="dxa"/>
            </w:tcMar>
            <w:vAlign w:val="top"/>
          </w:tcPr>
          <w:p>
            <w:pPr>
              <w:spacing w:after="0"/>
            </w:pPr>
            <w:r>
              <w:rPr>
                <w:rFonts w:ascii="Aptos" w:hAnsi="Aptos"/>
                <w:b w:val="0"/>
                <w:i w:val="0"/>
                <w:color w:val="172033"/>
                <w:sz w:val="18"/>
              </w:rPr>
              <w:t>5. Unsupported/private contact query</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“Could not find” response, explanation that personal contact details are not disclosed, suggested factual questions, source row.</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Expand unsupported-answer workflow beyond a one-line “not found” response.</w:t>
            </w:r>
          </w:p>
        </w:tc>
      </w:tr>
      <w:tr>
        <w:trPr>
          <w:cantSplit w:val="true"/>
        </w:trPr>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6. PII/privacy safeguard</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Sensitive strings visually redacted, privacy warning, no portfolio/transaction access, official self-service routes, policy/source row, privacy panel.</w:t>
            </w:r>
          </w:p>
        </w:tc>
        <w:tc>
          <w:tcPr>
            <w:tcW w:type="dxa" w:w="3389"/>
            <w:shd w:fill="F5F7FA"/>
            <w:tcMar>
              <w:top w:w="90" w:type="dxa"/>
              <w:start w:w="95" w:type="dxa"/>
              <w:bottom w:w="90" w:type="dxa"/>
              <w:end w:w="95" w:type="dxa"/>
            </w:tcMar>
            <w:vAlign w:val="top"/>
          </w:tcPr>
          <w:p>
            <w:pPr>
              <w:spacing w:after="0"/>
            </w:pPr>
            <w:r>
              <w:rPr>
                <w:rFonts w:ascii="Aptos" w:hAnsi="Aptos"/>
                <w:b w:val="0"/>
                <w:i w:val="0"/>
                <w:color w:val="172033"/>
                <w:sz w:val="18"/>
              </w:rPr>
              <w:t>Add explicit privacy UX and pre-LLM masking/handling requirements while keeping the existing guardrails-before-embedding architecture.</w:t>
            </w:r>
          </w:p>
        </w:tc>
      </w:tr>
      <w:tr>
        <w:trPr>
          <w:cantSplit w:val="true"/>
        </w:trPr>
        <w:tc>
          <w:tcPr>
            <w:tcW w:type="dxa" w:w="3389"/>
            <w:tcMar>
              <w:top w:w="90" w:type="dxa"/>
              <w:start w:w="95" w:type="dxa"/>
              <w:bottom w:w="90" w:type="dxa"/>
              <w:end w:w="95" w:type="dxa"/>
            </w:tcMar>
            <w:vAlign w:val="top"/>
          </w:tcPr>
          <w:p>
            <w:pPr>
              <w:spacing w:after="0"/>
            </w:pPr>
            <w:r>
              <w:rPr>
                <w:rFonts w:ascii="Aptos" w:hAnsi="Aptos"/>
                <w:b w:val="0"/>
                <w:i w:val="0"/>
                <w:color w:val="172033"/>
                <w:sz w:val="18"/>
              </w:rPr>
              <w:t>7. Retrieval/system error</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Error card, Retry, Ask a different question, standard facts shortcuts, query retained for retry, recovery status.</w:t>
            </w:r>
          </w:p>
        </w:tc>
        <w:tc>
          <w:tcPr>
            <w:tcW w:type="dxa" w:w="3389"/>
            <w:tcMar>
              <w:top w:w="90" w:type="dxa"/>
              <w:start w:w="95" w:type="dxa"/>
              <w:bottom w:w="90" w:type="dxa"/>
              <w:end w:w="95" w:type="dxa"/>
            </w:tcMar>
            <w:vAlign w:val="top"/>
          </w:tcPr>
          <w:p>
            <w:pPr>
              <w:spacing w:after="0"/>
            </w:pPr>
            <w:r>
              <w:rPr>
                <w:rFonts w:ascii="Aptos" w:hAnsi="Aptos"/>
                <w:b w:val="0"/>
                <w:i w:val="0"/>
                <w:color w:val="172033"/>
                <w:sz w:val="18"/>
              </w:rPr>
              <w:t>Add transient error/recovery state and clarify that an error response is not required to show a source link when none was retrieved.</w:t>
            </w:r>
          </w:p>
        </w:tc>
      </w:tr>
    </w:tbl>
    <w:p>
      <w:pPr>
        <w:spacing w:after="20"/>
      </w:pPr>
    </w:p>
    <w:p>
      <w:pPr>
        <w:pStyle w:val="Heading1"/>
        <w:keepNext/>
        <w:spacing w:before="240" w:after="100"/>
      </w:pPr>
      <w:r>
        <w:rPr>
          <w:rFonts w:ascii="Aptos" w:hAnsi="Aptos"/>
          <w:b/>
          <w:i w:val="0"/>
          <w:color w:val="123E8C"/>
          <w:sz w:val="30"/>
        </w:rPr>
        <w:t>1. Project Definition</w:t>
      </w:r>
    </w:p>
    <w:p>
      <w:pPr>
        <w:spacing w:after="100" w:line="259" w:lineRule="auto"/>
      </w:pPr>
      <w:r>
        <w:rPr>
          <w:rFonts w:ascii="Aptos" w:hAnsi="Aptos"/>
          <w:b w:val="0"/>
          <w:i w:val="0"/>
          <w:color w:val="172033"/>
          <w:sz w:val="21"/>
        </w:rPr>
        <w:t>Build a Retrieval-Augmented Generation (RAG) chatbot that answers factual questions about selected SBI Mutual Fund schemes using only the approved public source corpus. The product experience is the SBI Mutual Fund FAQ Assistant shown in the wireframes: a Groww-inspired, minimal knowledge-desk interface for asking scheme questions, viewing source-backed answers, and receiving safe handling for advice, performance, PII, unsupported, and retrieval-error cases.</w:t>
      </w:r>
    </w:p>
    <w:p>
      <w:pPr>
        <w:spacing w:after="100" w:line="259" w:lineRule="auto"/>
      </w:pPr>
      <w:r>
        <w:rPr>
          <w:rFonts w:ascii="Aptos" w:hAnsi="Aptos"/>
          <w:b w:val="0"/>
          <w:i w:val="0"/>
          <w:color w:val="172033"/>
          <w:sz w:val="21"/>
        </w:rPr>
        <w:t>The chatbot must not provide investment advice, performance rankings, personalized portfolio recommendations, transactional account access, or private contact details. It must not accept, retain, or forward PAN, Aadhaar, account numbers, OTPs, email addresses, or phone numbers as application/LLM data.</w:t>
      </w:r>
    </w:p>
    <w:p>
      <w:pPr>
        <w:spacing w:after="100" w:line="259" w:lineRule="auto"/>
      </w:pPr>
      <w:r>
        <w:rPr>
          <w:rFonts w:ascii="Aptos" w:hAnsi="Aptos"/>
          <w:b w:val="0"/>
          <w:i w:val="0"/>
          <w:color w:val="172033"/>
          <w:sz w:val="21"/>
        </w:rPr>
        <w:t>The implementation must preserve the original technical architecture and 25-source corpus. The wireframes refine presentation and workflow behavior; they do not authorize a new data source, new model, new vector store, or live portfolio integration.</w:t>
      </w:r>
    </w:p>
    <w:p>
      <w:pPr>
        <w:pStyle w:val="Heading1"/>
        <w:keepNext/>
        <w:spacing w:before="240" w:after="100"/>
      </w:pPr>
      <w:r>
        <w:rPr>
          <w:rFonts w:ascii="Aptos" w:hAnsi="Aptos"/>
          <w:b/>
          <w:i w:val="0"/>
          <w:color w:val="123E8C"/>
          <w:sz w:val="30"/>
        </w:rPr>
        <w:t>2. Product Experience Scope</w:t>
      </w:r>
    </w:p>
    <w:p>
      <w:pPr>
        <w:spacing w:after="100" w:line="259" w:lineRule="auto"/>
      </w:pPr>
      <w:r>
        <w:rPr>
          <w:rFonts w:ascii="Aptos" w:hAnsi="Aptos"/>
          <w:b w:val="0"/>
          <w:i w:val="0"/>
          <w:color w:val="172033"/>
          <w:sz w:val="21"/>
        </w:rPr>
        <w:t>The product is organized around one primary job-to-be-done: “Ask a factual question about SBI Mutual Fund and receive a source-backed, easy-to-scan answer.” The Assistant page is the primary entry point, while Schemes, Help, and About are navigational destinations present in the header.</w:t>
      </w:r>
    </w:p>
    <w:p>
      <w:pPr>
        <w:pStyle w:val="ListBullet"/>
        <w:spacing w:after="40"/>
      </w:pPr>
      <w:r>
        <w:rPr>
          <w:rFonts w:ascii="Aptos" w:hAnsi="Aptos"/>
          <w:b/>
          <w:i w:val="0"/>
          <w:color w:val="172033"/>
          <w:sz w:val="20"/>
        </w:rPr>
        <w:t xml:space="preserve">Primary navigation: </w:t>
      </w:r>
      <w:r>
        <w:rPr>
          <w:rFonts w:ascii="Aptos" w:hAnsi="Aptos"/>
          <w:b w:val="0"/>
          <w:i w:val="0"/>
          <w:color w:val="172033"/>
          <w:sz w:val="20"/>
        </w:rPr>
        <w:t>Assistant, Schemes, Help, About, plus a profile/account icon used only as a UI affordance unless a separate authenticated capability is explicitly implemented.</w:t>
      </w:r>
    </w:p>
    <w:p>
      <w:pPr>
        <w:pStyle w:val="ListBullet"/>
        <w:spacing w:after="40"/>
      </w:pPr>
      <w:r>
        <w:rPr>
          <w:rFonts w:ascii="Aptos" w:hAnsi="Aptos"/>
          <w:b/>
          <w:i w:val="0"/>
          <w:color w:val="172033"/>
          <w:sz w:val="20"/>
        </w:rPr>
        <w:t xml:space="preserve">Home entry points: </w:t>
      </w:r>
      <w:r>
        <w:rPr>
          <w:rFonts w:ascii="Aptos" w:hAnsi="Aptos"/>
          <w:b w:val="0"/>
          <w:i w:val="0"/>
          <w:color w:val="172033"/>
          <w:sz w:val="20"/>
        </w:rPr>
        <w:t>three example question cards and Popular topics chips that populate the question composer.</w:t>
      </w:r>
    </w:p>
    <w:p>
      <w:pPr>
        <w:pStyle w:val="ListBullet"/>
        <w:spacing w:after="40"/>
      </w:pPr>
      <w:r>
        <w:rPr>
          <w:rFonts w:ascii="Aptos" w:hAnsi="Aptos"/>
          <w:b/>
          <w:i w:val="0"/>
          <w:color w:val="172033"/>
          <w:sz w:val="20"/>
        </w:rPr>
        <w:t xml:space="preserve">Composer: </w:t>
      </w:r>
      <w:r>
        <w:rPr>
          <w:rFonts w:ascii="Aptos" w:hAnsi="Aptos"/>
          <w:b w:val="0"/>
          <w:i w:val="0"/>
          <w:color w:val="172033"/>
          <w:sz w:val="20"/>
        </w:rPr>
        <w:t>single question input with Ask/submit action; chat screens keep the composer available near the bottom of the viewport.</w:t>
      </w:r>
    </w:p>
    <w:p>
      <w:pPr>
        <w:pStyle w:val="ListBullet"/>
        <w:spacing w:after="40"/>
      </w:pPr>
      <w:r>
        <w:rPr>
          <w:rFonts w:ascii="Aptos" w:hAnsi="Aptos"/>
          <w:b/>
          <w:i w:val="0"/>
          <w:color w:val="172033"/>
          <w:sz w:val="20"/>
        </w:rPr>
        <w:t xml:space="preserve">Assistant response states: </w:t>
      </w:r>
      <w:r>
        <w:rPr>
          <w:rFonts w:ascii="Aptos" w:hAnsi="Aptos"/>
          <w:b w:val="0"/>
          <w:i w:val="0"/>
          <w:color w:val="172033"/>
          <w:sz w:val="20"/>
        </w:rPr>
        <w:t>loading/searching, factual answer, advice refusal, unsupported/private-data response, PII safeguard, and system/retrieval error.</w:t>
      </w:r>
    </w:p>
    <w:p>
      <w:pPr>
        <w:pStyle w:val="ListBullet"/>
        <w:spacing w:after="40"/>
      </w:pPr>
      <w:r>
        <w:rPr>
          <w:rFonts w:ascii="Aptos" w:hAnsi="Aptos"/>
          <w:b/>
          <w:i w:val="0"/>
          <w:color w:val="172033"/>
          <w:sz w:val="20"/>
        </w:rPr>
        <w:t xml:space="preserve">Source context: </w:t>
      </w:r>
      <w:r>
        <w:rPr>
          <w:rFonts w:ascii="Aptos" w:hAnsi="Aptos"/>
          <w:b w:val="0"/>
          <w:i w:val="0"/>
          <w:color w:val="172033"/>
          <w:sz w:val="20"/>
        </w:rPr>
        <w:t>scheme name and source context may be shown as pills or metadata based on retrieved source metadata; labels must not misrepresent the actual corpus.</w:t>
      </w:r>
    </w:p>
    <w:p>
      <w:pPr>
        <w:pStyle w:val="ListBullet"/>
        <w:spacing w:after="40"/>
      </w:pPr>
      <w:r>
        <w:rPr>
          <w:rFonts w:ascii="Aptos" w:hAnsi="Aptos"/>
          <w:b/>
          <w:i w:val="0"/>
          <w:color w:val="172033"/>
          <w:sz w:val="20"/>
        </w:rPr>
        <w:t xml:space="preserve">Feedback: </w:t>
      </w:r>
      <w:r>
        <w:rPr>
          <w:rFonts w:ascii="Aptos" w:hAnsi="Aptos"/>
          <w:b w:val="0"/>
          <w:i w:val="0"/>
          <w:color w:val="172033"/>
          <w:sz w:val="20"/>
        </w:rPr>
        <w:t>thumbs up, thumbs down, and copy affordances are visible on standard factual answers.</w:t>
      </w:r>
    </w:p>
    <w:p>
      <w:pPr>
        <w:pStyle w:val="Heading1"/>
        <w:keepNext/>
        <w:spacing w:before="240" w:after="100"/>
      </w:pPr>
      <w:r>
        <w:rPr>
          <w:rFonts w:ascii="Aptos" w:hAnsi="Aptos"/>
          <w:b/>
          <w:i w:val="0"/>
          <w:color w:val="123E8C"/>
          <w:sz w:val="30"/>
        </w:rPr>
        <w:t>3. Mandatory Constraints</w:t>
      </w:r>
    </w:p>
    <w:p>
      <w:pPr>
        <w:spacing w:after="100" w:line="259" w:lineRule="auto"/>
      </w:pPr>
      <w:r>
        <w:rPr>
          <w:rFonts w:ascii="Aptos" w:hAnsi="Aptos"/>
          <w:b w:val="0"/>
          <w:i w:val="0"/>
          <w:color w:val="172033"/>
          <w:sz w:val="21"/>
        </w:rPr>
        <w:t>These constraints apply to the entire system: source collection, ingestion, retrieval, generation, UI, security handling, testing, and final submission.</w:t>
      </w:r>
    </w:p>
    <w:p>
      <w:pPr>
        <w:spacing w:after="100" w:line="259" w:lineRule="auto"/>
      </w:pPr>
      <w:r>
        <w:rPr>
          <w:rFonts w:ascii="Aptos" w:hAnsi="Aptos"/>
          <w:b w:val="0"/>
          <w:i w:val="0"/>
          <w:color w:val="172033"/>
          <w:sz w:val="21"/>
        </w:rPr>
        <w:t>PUBLIC SOURCES ONLY: Use only approved public source pages in the corpus. Do not use screenshots of the app back-end as factual sources. Do not use third-party blogs as sources. The chatbot must answer from indexed public source data, not hidden/private application data.</w:t>
      </w:r>
    </w:p>
    <w:p>
      <w:pPr>
        <w:spacing w:after="100" w:line="259" w:lineRule="auto"/>
      </w:pPr>
      <w:r>
        <w:rPr>
          <w:rFonts w:ascii="Aptos" w:hAnsi="Aptos"/>
          <w:b w:val="0"/>
          <w:i w:val="0"/>
          <w:color w:val="172033"/>
          <w:sz w:val="21"/>
        </w:rPr>
        <w:t>NO PII: Do not accept, process, retain, or store PAN, Aadhaar, account numbers, OTPs, email addresses, or phone numbers. Sensitive strings detected in the question must be masked/redacted before any downstream retrieval/LLM operation. The prototype must not request personal/account credentials to answer FAQ questions.</w:t>
      </w:r>
    </w:p>
    <w:p>
      <w:pPr>
        <w:spacing w:after="100" w:line="259" w:lineRule="auto"/>
      </w:pPr>
      <w:r>
        <w:rPr>
          <w:rFonts w:ascii="Aptos" w:hAnsi="Aptos"/>
          <w:b w:val="0"/>
          <w:i w:val="0"/>
          <w:color w:val="172033"/>
          <w:sz w:val="21"/>
        </w:rPr>
        <w:t>NO PERFORMANCE CLAIMS: Do not compute, compare, rank, or recommend based on investment returns or fund performance. Benchmark identity/name may be presented as a scheme fact when available, but benchmark return/performance questions must not be answered with calculations, comparisons, rankings, or forecasts. The benchmark-return wireframe is therefore a recovery/restriction example, not permission to retrieve or disclose performance results.</w:t>
      </w:r>
    </w:p>
    <w:p>
      <w:pPr>
        <w:spacing w:after="100" w:line="259" w:lineRule="auto"/>
      </w:pPr>
      <w:r>
        <w:rPr>
          <w:rFonts w:ascii="Aptos" w:hAnsi="Aptos"/>
          <w:b w:val="0"/>
          <w:i w:val="0"/>
          <w:color w:val="172033"/>
          <w:sz w:val="21"/>
        </w:rPr>
        <w:t>NO PERSONALIZED ADVICE: Questions such as “Should I invest?”, “Which fund is better for me?”, “How much should I invest?”, or similar suitability/portfolio-allocation requests must trigger the advice-refusal response type and offer factual scheme information instead.</w:t>
      </w:r>
    </w:p>
    <w:p>
      <w:pPr>
        <w:spacing w:after="100" w:line="259" w:lineRule="auto"/>
      </w:pPr>
      <w:r>
        <w:rPr>
          <w:rFonts w:ascii="Aptos" w:hAnsi="Aptos"/>
          <w:b w:val="0"/>
          <w:i w:val="0"/>
          <w:color w:val="172033"/>
          <w:sz w:val="21"/>
        </w:rPr>
        <w:t>CLARITY &amp; TRANSPARENCY: Source-backed factual responses must contain a narrative answer of no more than 3 sentences, exactly one clear source link, and the exact line “Last updated from sources: [date].” Structured fact cards, category badges, riskometer values, exit-load values, and suggested-question chips are presentation fields and do not count toward the sentence limit.</w:t>
      </w:r>
    </w:p>
    <w:p>
      <w:pPr>
        <w:spacing w:after="100" w:line="259" w:lineRule="auto"/>
      </w:pPr>
      <w:r>
        <w:rPr>
          <w:rFonts w:ascii="Aptos" w:hAnsi="Aptos"/>
          <w:b w:val="0"/>
          <w:i w:val="0"/>
          <w:color w:val="172033"/>
          <w:sz w:val="21"/>
        </w:rPr>
        <w:t>ERROR EXCEPTION: A transient system/retrieval-error state may omit a source link because no supporting source was successfully retrieved. It must not invent a link or claim that source data was consulted. It may present Retry, Ask a different question, and standard-facts shortcuts.</w:t>
      </w:r>
    </w:p>
    <w:p>
      <w:pPr>
        <w:pStyle w:val="Heading1"/>
        <w:keepNext/>
        <w:spacing w:before="240" w:after="100"/>
      </w:pPr>
      <w:r>
        <w:rPr>
          <w:rFonts w:ascii="Aptos" w:hAnsi="Aptos"/>
          <w:b/>
          <w:i w:val="0"/>
          <w:color w:val="123E8C"/>
          <w:sz w:val="30"/>
        </w:rPr>
        <w:t>4. Selected AMC and Schemes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240"/>
            <w:shd w:fill="123E8C"/>
            <w:tcMar>
              <w:top w:w="110" w:type="dxa"/>
              <w:start w:w="95" w:type="dxa"/>
              <w:bottom w:w="110" w:type="dxa"/>
              <w:end w:w="95" w:type="dxa"/>
            </w:tcMar>
            <w:vAlign w:val="center"/>
          </w:tcPr>
          <w:p>
            <w:pPr>
              <w:spacing w:after="0"/>
            </w:pPr>
            <w:r>
              <w:rPr>
                <w:rFonts w:ascii="Aptos" w:hAnsi="Aptos"/>
                <w:b/>
                <w:i w:val="0"/>
                <w:color w:val="FFFFFF"/>
                <w:sz w:val="17"/>
              </w:rPr>
              <w:t>Scheme</w:t>
            </w:r>
          </w:p>
        </w:tc>
        <w:tc>
          <w:tcPr>
            <w:tcW w:type="dxa" w:w="2376"/>
            <w:shd w:fill="123E8C"/>
            <w:tcMar>
              <w:top w:w="110" w:type="dxa"/>
              <w:start w:w="95" w:type="dxa"/>
              <w:bottom w:w="110" w:type="dxa"/>
              <w:end w:w="95" w:type="dxa"/>
            </w:tcMar>
            <w:vAlign w:val="center"/>
          </w:tcPr>
          <w:p>
            <w:pPr>
              <w:spacing w:after="0"/>
            </w:pPr>
            <w:r>
              <w:rPr>
                <w:rFonts w:ascii="Aptos" w:hAnsi="Aptos"/>
                <w:b/>
                <w:i w:val="0"/>
                <w:color w:val="FFFFFF"/>
                <w:sz w:val="17"/>
              </w:rPr>
              <w:t>Category</w:t>
            </w:r>
          </w:p>
        </w:tc>
        <w:tc>
          <w:tcPr>
            <w:tcW w:type="dxa" w:w="4680"/>
            <w:shd w:fill="123E8C"/>
            <w:tcMar>
              <w:top w:w="110" w:type="dxa"/>
              <w:start w:w="95" w:type="dxa"/>
              <w:bottom w:w="110" w:type="dxa"/>
              <w:end w:w="95" w:type="dxa"/>
            </w:tcMar>
            <w:vAlign w:val="center"/>
          </w:tcPr>
          <w:p>
            <w:pPr>
              <w:spacing w:after="0"/>
            </w:pPr>
            <w:r>
              <w:rPr>
                <w:rFonts w:ascii="Aptos" w:hAnsi="Aptos"/>
                <w:b/>
                <w:i w:val="0"/>
                <w:color w:val="FFFFFF"/>
                <w:sz w:val="17"/>
              </w:rPr>
              <w:t>Core source</w:t>
            </w:r>
          </w:p>
        </w:tc>
      </w:tr>
      <w:tr>
        <w:trPr>
          <w:cantSplit w:val="true"/>
        </w:trPr>
        <w:tc>
          <w:tcPr>
            <w:tcW w:type="dxa" w:w="3240"/>
            <w:tcMar>
              <w:top w:w="90" w:type="dxa"/>
              <w:start w:w="95" w:type="dxa"/>
              <w:bottom w:w="90" w:type="dxa"/>
              <w:end w:w="95" w:type="dxa"/>
            </w:tcMar>
            <w:vAlign w:val="top"/>
          </w:tcPr>
          <w:p>
            <w:pPr>
              <w:spacing w:after="0"/>
            </w:pPr>
            <w:r>
              <w:rPr>
                <w:rFonts w:ascii="Aptos" w:hAnsi="Aptos"/>
                <w:b w:val="0"/>
                <w:i w:val="0"/>
                <w:color w:val="172033"/>
                <w:sz w:val="17"/>
              </w:rPr>
              <w:t>SBI Large Cap Direct Plan Growth</w:t>
            </w:r>
          </w:p>
        </w:tc>
        <w:tc>
          <w:tcPr>
            <w:tcW w:type="dxa" w:w="2376"/>
            <w:tcMar>
              <w:top w:w="90" w:type="dxa"/>
              <w:start w:w="95" w:type="dxa"/>
              <w:bottom w:w="90" w:type="dxa"/>
              <w:end w:w="95" w:type="dxa"/>
            </w:tcMar>
            <w:vAlign w:val="top"/>
          </w:tcPr>
          <w:p>
            <w:pPr>
              <w:spacing w:after="0"/>
            </w:pPr>
            <w:r>
              <w:rPr>
                <w:rFonts w:ascii="Aptos" w:hAnsi="Aptos"/>
                <w:b w:val="0"/>
                <w:i w:val="0"/>
                <w:color w:val="172033"/>
                <w:sz w:val="17"/>
              </w:rPr>
              <w:t>Large Cap</w:t>
            </w:r>
          </w:p>
        </w:tc>
        <w:tc>
          <w:tcPr>
            <w:tcW w:type="dxa" w:w="4680"/>
            <w:tcMar>
              <w:top w:w="90" w:type="dxa"/>
              <w:start w:w="95" w:type="dxa"/>
              <w:bottom w:w="90" w:type="dxa"/>
              <w:end w:w="95" w:type="dxa"/>
            </w:tcMar>
            <w:vAlign w:val="top"/>
          </w:tcPr>
          <w:p>
            <w:pPr>
              <w:spacing w:after="0"/>
            </w:pPr>
            <w:r>
              <w:rPr>
                <w:rFonts w:ascii="Aptos" w:hAnsi="Aptos"/>
                <w:b w:val="0"/>
                <w:i w:val="0"/>
                <w:color w:val="172033"/>
                <w:sz w:val="17"/>
              </w:rPr>
              <w:t>https://groww.in/mutual-funds/sbi-large-cap-direct-plan-growth</w:t>
            </w:r>
          </w:p>
        </w:tc>
      </w:tr>
      <w:tr>
        <w:trPr>
          <w:cantSplit w:val="true"/>
        </w:trPr>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7"/>
              </w:rPr>
              <w:t>SBI Flexicap Fund Direct Growth</w:t>
            </w:r>
          </w:p>
        </w:tc>
        <w:tc>
          <w:tcPr>
            <w:tcW w:type="dxa" w:w="2376"/>
            <w:shd w:fill="F5F7FA"/>
            <w:tcMar>
              <w:top w:w="90" w:type="dxa"/>
              <w:start w:w="95" w:type="dxa"/>
              <w:bottom w:w="90" w:type="dxa"/>
              <w:end w:w="95" w:type="dxa"/>
            </w:tcMar>
            <w:vAlign w:val="top"/>
          </w:tcPr>
          <w:p>
            <w:pPr>
              <w:spacing w:after="0"/>
            </w:pPr>
            <w:r>
              <w:rPr>
                <w:rFonts w:ascii="Aptos" w:hAnsi="Aptos"/>
                <w:b w:val="0"/>
                <w:i w:val="0"/>
                <w:color w:val="172033"/>
                <w:sz w:val="17"/>
              </w:rPr>
              <w:t>Flexi Cap</w:t>
            </w:r>
          </w:p>
        </w:tc>
        <w:tc>
          <w:tcPr>
            <w:tcW w:type="dxa" w:w="4680"/>
            <w:shd w:fill="F5F7FA"/>
            <w:tcMar>
              <w:top w:w="90" w:type="dxa"/>
              <w:start w:w="95" w:type="dxa"/>
              <w:bottom w:w="90" w:type="dxa"/>
              <w:end w:w="95" w:type="dxa"/>
            </w:tcMar>
            <w:vAlign w:val="top"/>
          </w:tcPr>
          <w:p>
            <w:pPr>
              <w:spacing w:after="0"/>
            </w:pPr>
            <w:r>
              <w:rPr>
                <w:rFonts w:ascii="Aptos" w:hAnsi="Aptos"/>
                <w:b w:val="0"/>
                <w:i w:val="0"/>
                <w:color w:val="172033"/>
                <w:sz w:val="17"/>
              </w:rPr>
              <w:t>https://groww.in/mutual-funds/sbi-flexicap-fund-direct-growth</w:t>
            </w:r>
          </w:p>
        </w:tc>
      </w:tr>
      <w:tr>
        <w:trPr>
          <w:cantSplit w:val="true"/>
        </w:trPr>
        <w:tc>
          <w:tcPr>
            <w:tcW w:type="dxa" w:w="3240"/>
            <w:tcMar>
              <w:top w:w="90" w:type="dxa"/>
              <w:start w:w="95" w:type="dxa"/>
              <w:bottom w:w="90" w:type="dxa"/>
              <w:end w:w="95" w:type="dxa"/>
            </w:tcMar>
            <w:vAlign w:val="top"/>
          </w:tcPr>
          <w:p>
            <w:pPr>
              <w:spacing w:after="0"/>
            </w:pPr>
            <w:r>
              <w:rPr>
                <w:rFonts w:ascii="Aptos" w:hAnsi="Aptos"/>
                <w:b w:val="0"/>
                <w:i w:val="0"/>
                <w:color w:val="172033"/>
                <w:sz w:val="17"/>
              </w:rPr>
              <w:t>SBI Small Cap Fund Direct Growth</w:t>
            </w:r>
          </w:p>
        </w:tc>
        <w:tc>
          <w:tcPr>
            <w:tcW w:type="dxa" w:w="2376"/>
            <w:tcMar>
              <w:top w:w="90" w:type="dxa"/>
              <w:start w:w="95" w:type="dxa"/>
              <w:bottom w:w="90" w:type="dxa"/>
              <w:end w:w="95" w:type="dxa"/>
            </w:tcMar>
            <w:vAlign w:val="top"/>
          </w:tcPr>
          <w:p>
            <w:pPr>
              <w:spacing w:after="0"/>
            </w:pPr>
            <w:r>
              <w:rPr>
                <w:rFonts w:ascii="Aptos" w:hAnsi="Aptos"/>
                <w:b w:val="0"/>
                <w:i w:val="0"/>
                <w:color w:val="172033"/>
                <w:sz w:val="17"/>
              </w:rPr>
              <w:t>Small Cap</w:t>
            </w:r>
          </w:p>
        </w:tc>
        <w:tc>
          <w:tcPr>
            <w:tcW w:type="dxa" w:w="4680"/>
            <w:tcMar>
              <w:top w:w="90" w:type="dxa"/>
              <w:start w:w="95" w:type="dxa"/>
              <w:bottom w:w="90" w:type="dxa"/>
              <w:end w:w="95" w:type="dxa"/>
            </w:tcMar>
            <w:vAlign w:val="top"/>
          </w:tcPr>
          <w:p>
            <w:pPr>
              <w:spacing w:after="0"/>
            </w:pPr>
            <w:r>
              <w:rPr>
                <w:rFonts w:ascii="Aptos" w:hAnsi="Aptos"/>
                <w:b w:val="0"/>
                <w:i w:val="0"/>
                <w:color w:val="172033"/>
                <w:sz w:val="17"/>
              </w:rPr>
              <w:t>https://groww.in/mutual-funds/sbi-small-midcap-fund-direct-growth</w:t>
            </w:r>
          </w:p>
        </w:tc>
      </w:tr>
      <w:tr>
        <w:trPr>
          <w:cantSplit w:val="true"/>
        </w:trPr>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7"/>
              </w:rPr>
              <w:t>SBI ELSS Tax Saver Fund Direct Growth</w:t>
            </w:r>
          </w:p>
        </w:tc>
        <w:tc>
          <w:tcPr>
            <w:tcW w:type="dxa" w:w="2376"/>
            <w:shd w:fill="F5F7FA"/>
            <w:tcMar>
              <w:top w:w="90" w:type="dxa"/>
              <w:start w:w="95" w:type="dxa"/>
              <w:bottom w:w="90" w:type="dxa"/>
              <w:end w:w="95" w:type="dxa"/>
            </w:tcMar>
            <w:vAlign w:val="top"/>
          </w:tcPr>
          <w:p>
            <w:pPr>
              <w:spacing w:after="0"/>
            </w:pPr>
            <w:r>
              <w:rPr>
                <w:rFonts w:ascii="Aptos" w:hAnsi="Aptos"/>
                <w:b w:val="0"/>
                <w:i w:val="0"/>
                <w:color w:val="172033"/>
                <w:sz w:val="17"/>
              </w:rPr>
              <w:t>ELSS</w:t>
            </w:r>
          </w:p>
        </w:tc>
        <w:tc>
          <w:tcPr>
            <w:tcW w:type="dxa" w:w="4680"/>
            <w:shd w:fill="F5F7FA"/>
            <w:tcMar>
              <w:top w:w="90" w:type="dxa"/>
              <w:start w:w="95" w:type="dxa"/>
              <w:bottom w:w="90" w:type="dxa"/>
              <w:end w:w="95" w:type="dxa"/>
            </w:tcMar>
            <w:vAlign w:val="top"/>
          </w:tcPr>
          <w:p>
            <w:pPr>
              <w:spacing w:after="0"/>
            </w:pPr>
            <w:r>
              <w:rPr>
                <w:rFonts w:ascii="Aptos" w:hAnsi="Aptos"/>
                <w:b w:val="0"/>
                <w:i w:val="0"/>
                <w:color w:val="172033"/>
                <w:sz w:val="17"/>
              </w:rPr>
              <w:t>https://groww.in/mutual-funds/sbi-elss-tax-saver-fund-direct-growth</w:t>
            </w:r>
          </w:p>
        </w:tc>
      </w:tr>
      <w:tr>
        <w:trPr>
          <w:cantSplit w:val="true"/>
        </w:trPr>
        <w:tc>
          <w:tcPr>
            <w:tcW w:type="dxa" w:w="3240"/>
            <w:tcMar>
              <w:top w:w="90" w:type="dxa"/>
              <w:start w:w="95" w:type="dxa"/>
              <w:bottom w:w="90" w:type="dxa"/>
              <w:end w:w="95" w:type="dxa"/>
            </w:tcMar>
            <w:vAlign w:val="top"/>
          </w:tcPr>
          <w:p>
            <w:pPr>
              <w:spacing w:after="0"/>
            </w:pPr>
            <w:r>
              <w:rPr>
                <w:rFonts w:ascii="Aptos" w:hAnsi="Aptos"/>
                <w:b w:val="0"/>
                <w:i w:val="0"/>
                <w:color w:val="172033"/>
                <w:sz w:val="17"/>
              </w:rPr>
              <w:t>SBI Balanced Advantage Fund Direct Growth</w:t>
            </w:r>
          </w:p>
        </w:tc>
        <w:tc>
          <w:tcPr>
            <w:tcW w:type="dxa" w:w="2376"/>
            <w:tcMar>
              <w:top w:w="90" w:type="dxa"/>
              <w:start w:w="95" w:type="dxa"/>
              <w:bottom w:w="90" w:type="dxa"/>
              <w:end w:w="95" w:type="dxa"/>
            </w:tcMar>
            <w:vAlign w:val="top"/>
          </w:tcPr>
          <w:p>
            <w:pPr>
              <w:spacing w:after="0"/>
            </w:pPr>
            <w:r>
              <w:rPr>
                <w:rFonts w:ascii="Aptos" w:hAnsi="Aptos"/>
                <w:b w:val="0"/>
                <w:i w:val="0"/>
                <w:color w:val="172033"/>
                <w:sz w:val="17"/>
              </w:rPr>
              <w:t>Hybrid / Dynamic Asset Allocation</w:t>
            </w:r>
          </w:p>
        </w:tc>
        <w:tc>
          <w:tcPr>
            <w:tcW w:type="dxa" w:w="4680"/>
            <w:tcMar>
              <w:top w:w="90" w:type="dxa"/>
              <w:start w:w="95" w:type="dxa"/>
              <w:bottom w:w="90" w:type="dxa"/>
              <w:end w:w="95" w:type="dxa"/>
            </w:tcMar>
            <w:vAlign w:val="top"/>
          </w:tcPr>
          <w:p>
            <w:pPr>
              <w:spacing w:after="0"/>
            </w:pPr>
            <w:r>
              <w:rPr>
                <w:rFonts w:ascii="Aptos" w:hAnsi="Aptos"/>
                <w:b w:val="0"/>
                <w:i w:val="0"/>
                <w:color w:val="172033"/>
                <w:sz w:val="17"/>
              </w:rPr>
              <w:t>https://groww.in/mutual-funds/sbi-balanced-advantage-fund-direct-growth</w:t>
            </w:r>
          </w:p>
        </w:tc>
      </w:tr>
    </w:tbl>
    <w:p>
      <w:pPr>
        <w:spacing w:after="20"/>
      </w:pPr>
    </w:p>
    <w:p>
      <w:pPr>
        <w:pStyle w:val="Heading1"/>
        <w:keepNext/>
        <w:spacing w:before="240" w:after="100"/>
      </w:pPr>
      <w:r>
        <w:rPr>
          <w:rFonts w:ascii="Aptos" w:hAnsi="Aptos"/>
          <w:b/>
          <w:i w:val="0"/>
          <w:color w:val="123E8C"/>
          <w:sz w:val="30"/>
        </w:rPr>
        <w:t>5. 25-Source Corpus</w:t>
      </w:r>
    </w:p>
    <w:p>
      <w:pPr>
        <w:spacing w:after="100" w:line="259" w:lineRule="auto"/>
      </w:pPr>
      <w:r>
        <w:rPr>
          <w:rFonts w:ascii="Aptos" w:hAnsi="Aptos"/>
          <w:b w:val="0"/>
          <w:i w:val="0"/>
          <w:color w:val="172033"/>
          <w:sz w:val="21"/>
        </w:rPr>
        <w:t>The corpus remains deliberately organized as 5 scheme-specific Groww pages plus 20 supporting public pages. The five scheme pages are the primary documents. Supporting pages provide definitions and procedures for questions such as riskometer, exit load, SIPs, CAS, tax statements, and SID. URLs remain source-of-truth metadata and must be retained with every source document/chunk.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432"/>
            <w:shd w:fill="123E8C"/>
            <w:tcMar>
              <w:top w:w="110" w:type="dxa"/>
              <w:start w:w="95" w:type="dxa"/>
              <w:bottom w:w="110" w:type="dxa"/>
              <w:end w:w="95" w:type="dxa"/>
            </w:tcMar>
            <w:vAlign w:val="center"/>
          </w:tcPr>
          <w:p>
            <w:pPr>
              <w:spacing w:after="0"/>
            </w:pPr>
            <w:r>
              <w:rPr>
                <w:rFonts w:ascii="Aptos" w:hAnsi="Aptos"/>
                <w:b/>
                <w:i w:val="0"/>
                <w:color w:val="FFFFFF"/>
                <w:sz w:val="16"/>
              </w:rPr>
              <w:t>#</w:t>
            </w:r>
          </w:p>
        </w:tc>
        <w:tc>
          <w:tcPr>
            <w:tcW w:type="dxa" w:w="3240"/>
            <w:shd w:fill="123E8C"/>
            <w:tcMar>
              <w:top w:w="110" w:type="dxa"/>
              <w:start w:w="95" w:type="dxa"/>
              <w:bottom w:w="110" w:type="dxa"/>
              <w:end w:w="95" w:type="dxa"/>
            </w:tcMar>
            <w:vAlign w:val="center"/>
          </w:tcPr>
          <w:p>
            <w:pPr>
              <w:spacing w:after="0"/>
            </w:pPr>
            <w:r>
              <w:rPr>
                <w:rFonts w:ascii="Aptos" w:hAnsi="Aptos"/>
                <w:b/>
                <w:i w:val="0"/>
                <w:color w:val="FFFFFF"/>
                <w:sz w:val="16"/>
              </w:rPr>
              <w:t>Source</w:t>
            </w:r>
          </w:p>
        </w:tc>
        <w:tc>
          <w:tcPr>
            <w:tcW w:type="dxa" w:w="6624"/>
            <w:shd w:fill="123E8C"/>
            <w:tcMar>
              <w:top w:w="110" w:type="dxa"/>
              <w:start w:w="95" w:type="dxa"/>
              <w:bottom w:w="110" w:type="dxa"/>
              <w:end w:w="95" w:type="dxa"/>
            </w:tcMar>
            <w:vAlign w:val="center"/>
          </w:tcPr>
          <w:p>
            <w:pPr>
              <w:spacing w:after="0"/>
            </w:pPr>
            <w:r>
              <w:rPr>
                <w:rFonts w:ascii="Aptos" w:hAnsi="Aptos"/>
                <w:b/>
                <w:i w:val="0"/>
                <w:color w:val="FFFFFF"/>
                <w:sz w:val="16"/>
              </w:rPr>
              <w:t>URL / Use in RAG</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Scheme — SBI Large Cap Direct Plan Growth</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https://groww.in/mutual-funds/sbi-large-cap-direct-plan-growth</w:t>
              <w:br/>
              <w:t>Use: category, minimum SIP, minimum investment, expense information, exit load, risk, benchmark.</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2</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Scheme — SBI Flexicap Fund Direct Growth</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https://groww.in/mutual-funds/sbi-flexicap-fund-direct-growth</w:t>
              <w:br/>
              <w:t>Use: category, minimum SIP/investment, expense information, exit load, risk, benchmark.</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3</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Scheme — SBI Small Cap Fund Direct Growth</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https://groww.in/mutual-funds/sbi-small-midcap-fund-direct-growth</w:t>
              <w:br/>
              <w:t>Use: category, minimum SIP, expense information, exit load, risk, benchmark.</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4</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Scheme — SBI ELSS Tax Saver Fund Direct Growth</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https://groww.in/mutual-funds/sbi-elss-tax-saver-fund-direct-growth</w:t>
              <w:br/>
              <w:t>Use: ELSS lock-in, minimum SIP/investment, expense information, exit load, risk, benchmark.</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5</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Scheme — SBI Balanced Advantage Fund Direct Growth</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https://groww.in/mutual-funds/sbi-balanced-advantage-fund-direct-growth</w:t>
              <w:br/>
              <w:t>Use: category, minimum SIP, expense information, exit load, risk, benchmark.</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6</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education — Mutual Fund Categories</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https://groww.in/mutual-funds/category</w:t>
              <w:br/>
              <w:t>Use: category definitions and classification context.</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7</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education — Large Cap Mutual Funds</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https://groww.in/mutual-funds/category/best-large-cap-mutual-funds</w:t>
              <w:br/>
              <w:t>Use: large-cap category context; exclude ranking/performance content.</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8</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education — Small Cap Mutual Funds</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https://groww.in/mutual-funds/category/best-small-cap-mutual-funds</w:t>
              <w:br/>
              <w:t>Use: small-cap category context; exclude ranking/performance content.</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9</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education — ELSS Mutual Funds</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https://groww.in/mutual-funds/category/best-elss-mutual-funds</w:t>
              <w:br/>
              <w:t>Use: ELSS category context and lock-in education.</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10</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education — Flexi Cap Mutual Funds</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https://groww.in/mutual-funds/category/best-flexi-cap-mutual-funds</w:t>
              <w:br/>
              <w:t>Use: flexi-cap category context.</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11</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education — Expense Ratio</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https://groww.in/p/expense-ratio</w:t>
              <w:br/>
              <w:t>Use: expense-ratio definition and related concepts.</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12</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education — Exit Load in Mutual Funds</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https://groww.in/p/exit-load-in-mutual-funds</w:t>
              <w:br/>
              <w:t>Use: exit-load definition and explanation.</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13</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help — What is Exit Load?</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https://groww.in/help/mutual-funds/order/what-is-exit-load--71</w:t>
              <w:br/>
              <w:t>Use: concise operational explanation of exit load.</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14</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education — Riskometer</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https://groww.in/p/riskometer</w:t>
              <w:br/>
              <w:t>Use: riskometer meaning and risk levels.</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15</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education — Scheme Information Document (SID)</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https://groww.in/p/scheme-information-document</w:t>
              <w:br/>
              <w:t>Use: SID purpose and where fees, risks, scheme information, and disclosures are found.</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16</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help — How can I start a SIP on Groww?</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https://groww.in/help/mutual-funds/mf-sip/how-to-start-a-sip-on-groww</w:t>
              <w:br/>
              <w:t>Use: SIP setup procedure.</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17</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help — How do I check my SIPs?</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https://groww.in/help/mutual-funds/order/how-do-i-check-my-sips--44</w:t>
              <w:br/>
              <w:t>Use: how to view active SIPs.</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18</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help — How can I cancel an ongoing SIP?</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https://groww.in/help/mutual-funds/mf-sip/how-to-cancel-my-sip</w:t>
              <w:br/>
              <w:t>Use: SIP cancellation procedure.</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19</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help — What is CAS and why do I need it?</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https://groww.in/help/mutual-funds/mf-track-and-switch/what-is-cas--why-is-it-needed--99</w:t>
              <w:br/>
              <w:t>Use: CAS definition and purpose.</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20</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help — Charges applicable for redeeming</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https://groww.in/help/mutual-funds/order/what-are-the-charges-applicable-for-redeeming--53</w:t>
              <w:br/>
              <w:t>Use: redemption charges and fund-house exit-load explanation.</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21</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Groww help — ELSS tax statement/report</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https://groww.in/help/mutual-funds/order/how-to-download-tax-statement--for-elss--77</w:t>
              <w:br/>
              <w:t>Use: procedure for downloading ELSS tax statement/report.</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22</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Groww blog/help — Capital Gains Statement for Mutual Fund Investments</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https://groww.in/blog/how-to-get-capital-gains-statement-for-mutual-fund-investments</w:t>
              <w:br/>
              <w:t>Use: capital-gains statement access guidance.</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23</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SBI official — Ways to Invest / Statements</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https://www.sbimf.com/ways-to-invest</w:t>
              <w:br/>
              <w:t>Use: official Account Statement, Capital Gains Statement, and Smart Statement procedure.</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6"/>
              </w:rPr>
              <w:t>24</w:t>
            </w:r>
          </w:p>
        </w:tc>
        <w:tc>
          <w:tcPr>
            <w:tcW w:type="dxa" w:w="3240"/>
            <w:shd w:fill="F5F7FA"/>
            <w:tcMar>
              <w:top w:w="90" w:type="dxa"/>
              <w:start w:w="95" w:type="dxa"/>
              <w:bottom w:w="90" w:type="dxa"/>
              <w:end w:w="95" w:type="dxa"/>
            </w:tcMar>
            <w:vAlign w:val="top"/>
          </w:tcPr>
          <w:p>
            <w:pPr>
              <w:spacing w:after="0"/>
            </w:pPr>
            <w:r>
              <w:rPr>
                <w:rFonts w:ascii="Aptos" w:hAnsi="Aptos"/>
                <w:b w:val="0"/>
                <w:i w:val="0"/>
                <w:color w:val="172033"/>
                <w:sz w:val="16"/>
              </w:rPr>
              <w:t>SBI official — Total Expense Ratio</w:t>
            </w:r>
          </w:p>
        </w:tc>
        <w:tc>
          <w:tcPr>
            <w:tcW w:type="dxa" w:w="6624"/>
            <w:shd w:fill="F5F7FA"/>
            <w:tcMar>
              <w:top w:w="90" w:type="dxa"/>
              <w:start w:w="95" w:type="dxa"/>
              <w:bottom w:w="90" w:type="dxa"/>
              <w:end w:w="95" w:type="dxa"/>
            </w:tcMar>
            <w:vAlign w:val="top"/>
          </w:tcPr>
          <w:p>
            <w:pPr>
              <w:spacing w:after="0"/>
            </w:pPr>
            <w:r>
              <w:rPr>
                <w:rFonts w:ascii="Aptos" w:hAnsi="Aptos"/>
                <w:b w:val="0"/>
                <w:i w:val="0"/>
                <w:color w:val="172033"/>
                <w:sz w:val="16"/>
              </w:rPr>
              <w:t>https://www.sbimf.com/total-expense-ratio</w:t>
              <w:br/>
              <w:t>Use: official SBI TER disclosure and historical/current TER access.</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6"/>
              </w:rPr>
              <w:t>25</w:t>
            </w:r>
          </w:p>
        </w:tc>
        <w:tc>
          <w:tcPr>
            <w:tcW w:type="dxa" w:w="3240"/>
            <w:tcMar>
              <w:top w:w="90" w:type="dxa"/>
              <w:start w:w="95" w:type="dxa"/>
              <w:bottom w:w="90" w:type="dxa"/>
              <w:end w:w="95" w:type="dxa"/>
            </w:tcMar>
            <w:vAlign w:val="top"/>
          </w:tcPr>
          <w:p>
            <w:pPr>
              <w:spacing w:after="0"/>
            </w:pPr>
            <w:r>
              <w:rPr>
                <w:rFonts w:ascii="Aptos" w:hAnsi="Aptos"/>
                <w:b w:val="0"/>
                <w:i w:val="0"/>
                <w:color w:val="172033"/>
                <w:sz w:val="16"/>
              </w:rPr>
              <w:t>SBI official — Tax Reckoner FY 2026–27</w:t>
            </w:r>
          </w:p>
        </w:tc>
        <w:tc>
          <w:tcPr>
            <w:tcW w:type="dxa" w:w="6624"/>
            <w:tcMar>
              <w:top w:w="90" w:type="dxa"/>
              <w:start w:w="95" w:type="dxa"/>
              <w:bottom w:w="90" w:type="dxa"/>
              <w:end w:w="95" w:type="dxa"/>
            </w:tcMar>
            <w:vAlign w:val="top"/>
          </w:tcPr>
          <w:p>
            <w:pPr>
              <w:spacing w:after="0"/>
            </w:pPr>
            <w:r>
              <w:rPr>
                <w:rFonts w:ascii="Aptos" w:hAnsi="Aptos"/>
                <w:b w:val="0"/>
                <w:i w:val="0"/>
                <w:color w:val="172033"/>
                <w:sz w:val="16"/>
              </w:rPr>
              <w:t>https://www.sbimf.com/docs/default-source/pdf/sbi-mf-tax-reckoner-fy-2026-27.pdf</w:t>
              <w:br/>
              <w:t>Use: current SBI tax reference for capital-gains and tax-related factual questions.</w:t>
            </w:r>
          </w:p>
        </w:tc>
      </w:tr>
    </w:tbl>
    <w:p>
      <w:pPr>
        <w:spacing w:after="20"/>
      </w:pPr>
    </w:p>
    <w:p>
      <w:pPr>
        <w:pStyle w:val="Heading1"/>
        <w:keepNext/>
        <w:spacing w:before="240" w:after="100"/>
      </w:pPr>
      <w:r>
        <w:rPr>
          <w:rFonts w:ascii="Aptos" w:hAnsi="Aptos"/>
          <w:b/>
          <w:i w:val="0"/>
          <w:color w:val="123E8C"/>
          <w:sz w:val="30"/>
        </w:rPr>
        <w:t>6. Source-Policy Note</w:t>
      </w:r>
    </w:p>
    <w:p>
      <w:pPr>
        <w:spacing w:after="100" w:line="259" w:lineRule="auto"/>
      </w:pPr>
      <w:r>
        <w:rPr>
          <w:rFonts w:ascii="Aptos" w:hAnsi="Aptos"/>
          <w:b w:val="0"/>
          <w:i w:val="0"/>
          <w:color w:val="172033"/>
          <w:sz w:val="21"/>
        </w:rPr>
        <w:t>The milestone text refers to AMC/SEBI/AMFI official pages, while the project instructions also specify Groww pages. The Product Brief therefore keeps the same source-policy separation: the five Groww scheme pages are primary scheme documents; Groww support/education pages are supporting public sources for definitions/procedures; SBI Mutual Fund pages are official AMC sources.</w:t>
      </w:r>
    </w:p>
    <w:tbl>
      <w:tblPr>
        <w:tblW w:type="auto" w:w="0"/>
        <w:jc w:val="center"/>
        <w:tblLook w:firstColumn="1" w:firstRow="1" w:lastColumn="0" w:lastRow="0" w:noHBand="0" w:noVBand="1" w:val="04A0"/>
      </w:tblPr>
      <w:tblGrid>
        <w:gridCol w:w="10166"/>
      </w:tblGrid>
      <w:tr>
        <w:tc>
          <w:tcPr>
            <w:tcW w:type="dxa" w:w="10166"/>
            <w:shd w:fill="FFF7E5"/>
            <w:tcBorders>
              <w:top w:val="single" w:sz="8" w:color="D9DFEA"/>
              <w:left w:val="single" w:sz="12" w:color="A86C00"/>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A86C00"/>
                <w:sz w:val="20"/>
              </w:rPr>
              <w:t>UI/source-label rule</w:t>
            </w:r>
          </w:p>
          <w:p>
            <w:pPr>
              <w:spacing w:after="0"/>
            </w:pPr>
            <w:r>
              <w:rPr>
                <w:rFonts w:ascii="Aptos" w:hAnsi="Aptos"/>
                <w:b w:val="0"/>
                <w:i w:val="0"/>
                <w:color w:val="172033"/>
                <w:sz w:val="19"/>
              </w:rPr>
              <w:t>The wireframes use labels such as “Official SID / Factsheet”, “SBI Mutual Fund”, “Groww”, and “SEBI filings &amp; Groww”. These labels are presentation metadata, not new sources. A response must display a source-family label that matches the retrieved source. The product must not call a response “SEBI-sourced” unless the retrieved source is actually a SEBI source.</w:t>
            </w:r>
          </w:p>
        </w:tc>
      </w:tr>
    </w:tbl>
    <w:p>
      <w:pPr>
        <w:spacing w:after="20"/>
      </w:pPr>
    </w:p>
    <w:p>
      <w:pPr>
        <w:spacing w:after="100" w:line="259" w:lineRule="auto"/>
      </w:pPr>
      <w:r>
        <w:rPr>
          <w:rFonts w:ascii="Aptos" w:hAnsi="Aptos"/>
          <w:b w:val="0"/>
          <w:i w:val="0"/>
          <w:color w:val="172033"/>
          <w:sz w:val="21"/>
        </w:rPr>
        <w:t>If the evaluator interprets “official public pages” strictly as AMC/SEBI/AMFI only, the Groww support/education pages must be replaced with corresponding official sources before final submission. Do not silently mix third-party material into a corpus that is required to be official-only.</w:t>
      </w:r>
    </w:p>
    <w:p>
      <w:pPr>
        <w:pStyle w:val="Heading1"/>
        <w:keepNext/>
        <w:spacing w:before="240" w:after="100"/>
      </w:pPr>
      <w:r>
        <w:rPr>
          <w:rFonts w:ascii="Aptos" w:hAnsi="Aptos"/>
          <w:b/>
          <w:i w:val="0"/>
          <w:color w:val="123E8C"/>
          <w:sz w:val="30"/>
        </w:rPr>
        <w:t>7. RAG Architecture — Preserved</w:t>
      </w:r>
    </w:p>
    <w:tbl>
      <w:tblPr>
        <w:tblW w:type="auto" w:w="0"/>
        <w:jc w:val="center"/>
        <w:tblLook w:firstColumn="1" w:firstRow="1" w:lastColumn="0" w:lastRow="0" w:noHBand="0" w:noVBand="1" w:val="04A0"/>
      </w:tblPr>
      <w:tblGrid>
        <w:gridCol w:w="10166"/>
      </w:tblGrid>
      <w:tr>
        <w:tc>
          <w:tcPr>
            <w:tcW w:type="dxa" w:w="10166"/>
            <w:shd w:fill="E8F8F2"/>
            <w:tcBorders>
              <w:top w:val="single" w:sz="8" w:color="D9DFEA"/>
              <w:left w:val="single" w:sz="12" w:color="007F66"/>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007F66"/>
                <w:sz w:val="20"/>
              </w:rPr>
              <w:t>Core architecture decision</w:t>
            </w:r>
          </w:p>
          <w:p>
            <w:pPr>
              <w:spacing w:after="0"/>
            </w:pPr>
            <w:r>
              <w:rPr>
                <w:rFonts w:ascii="Aptos" w:hAnsi="Aptos"/>
                <w:b w:val="0"/>
                <w:i w:val="0"/>
                <w:color w:val="172033"/>
                <w:sz w:val="19"/>
              </w:rPr>
              <w:t>NO CORE ARCHITECTURE CHANGE. The wireframes change the product presentation and workflow states around the existing RAG pipeline; the data, embedding, vector store, retrieval strategy, and LLM generation path remain the same.</w:t>
            </w:r>
          </w:p>
        </w:tc>
      </w:tr>
    </w:tbl>
    <w:p>
      <w:pPr>
        <w:spacing w:after="20"/>
      </w:pPr>
    </w:p>
    <w:p>
      <w:pPr>
        <w:spacing w:after="100" w:line="259" w:lineRule="auto"/>
      </w:pPr>
      <w:r>
        <w:rPr>
          <w:rFonts w:ascii="Aptos" w:hAnsi="Aptos"/>
          <w:b w:val="0"/>
          <w:i w:val="0"/>
          <w:color w:val="172033"/>
          <w:sz w:val="21"/>
        </w:rPr>
        <w:t>Ingestion: Load → Inspect → Decide chunking strategy → Chunk → Embed → Store in persistent ChromaDB.</w:t>
      </w:r>
    </w:p>
    <w:p>
      <w:pPr>
        <w:spacing w:after="100" w:line="259" w:lineRule="auto"/>
      </w:pPr>
      <w:r>
        <w:rPr>
          <w:rFonts w:ascii="Aptos" w:hAnsi="Aptos"/>
          <w:b w:val="0"/>
          <w:i w:val="0"/>
          <w:color w:val="172033"/>
          <w:sz w:val="21"/>
        </w:rPr>
        <w:t>Query: Question Input → Guardrails → Embed → Retrieve top-K chunks → LLM → Validate output → Answer.</w:t>
      </w:r>
    </w:p>
    <w:p>
      <w:pPr>
        <w:spacing w:after="100" w:line="259" w:lineRule="auto"/>
      </w:pPr>
      <w:r>
        <w:rPr>
          <w:rFonts w:ascii="Aptos" w:hAnsi="Aptos"/>
          <w:b w:val="0"/>
          <w:i w:val="0"/>
          <w:color w:val="172033"/>
          <w:sz w:val="21"/>
        </w:rPr>
        <w:t>The UI layer may add state rendering, source/context pills, structured fact cards, suggestion chips, error recovery controls, and privacy messaging around the response pipeline without replacing the underlying RAG components.</w:t>
      </w:r>
    </w:p>
    <w:p>
      <w:pPr>
        <w:pStyle w:val="Heading1"/>
        <w:keepNext/>
        <w:spacing w:before="240" w:after="100"/>
      </w:pPr>
      <w:r>
        <w:rPr>
          <w:rFonts w:ascii="Aptos" w:hAnsi="Aptos"/>
          <w:b/>
          <w:i w:val="0"/>
          <w:color w:val="123E8C"/>
          <w:sz w:val="30"/>
        </w:rPr>
        <w:t>8. Stage 0 — Project Setup</w:t>
      </w:r>
    </w:p>
    <w:p>
      <w:pPr>
        <w:pStyle w:val="ListBullet"/>
        <w:spacing w:after="40"/>
      </w:pPr>
      <w:r>
        <w:rPr>
          <w:rFonts w:ascii="Aptos" w:hAnsi="Aptos"/>
          <w:b w:val="0"/>
          <w:i w:val="0"/>
          <w:color w:val="172033"/>
          <w:sz w:val="20"/>
        </w:rPr>
        <w:t>Create a project repository with data/, src/, tests/, chroma_db/ and docs/ directories.</w:t>
      </w:r>
    </w:p>
    <w:p>
      <w:pPr>
        <w:pStyle w:val="ListBullet"/>
        <w:spacing w:after="40"/>
      </w:pPr>
      <w:r>
        <w:rPr>
          <w:rFonts w:ascii="Aptos" w:hAnsi="Aptos"/>
          <w:b w:val="0"/>
          <w:i w:val="0"/>
          <w:color w:val="172033"/>
          <w:sz w:val="20"/>
        </w:rPr>
        <w:t>Create .env for OPENAI_API_KEY.</w:t>
      </w:r>
    </w:p>
    <w:p>
      <w:pPr>
        <w:pStyle w:val="ListBullet"/>
        <w:spacing w:after="40"/>
      </w:pPr>
      <w:r>
        <w:rPr>
          <w:rFonts w:ascii="Aptos" w:hAnsi="Aptos"/>
          <w:b w:val="0"/>
          <w:i w:val="0"/>
          <w:color w:val="172033"/>
          <w:sz w:val="20"/>
        </w:rPr>
        <w:t>Add .env and chroma_db/ to .gitignore.</w:t>
      </w:r>
    </w:p>
    <w:p>
      <w:pPr>
        <w:pStyle w:val="ListBullet"/>
        <w:spacing w:after="40"/>
      </w:pPr>
      <w:r>
        <w:rPr>
          <w:rFonts w:ascii="Aptos" w:hAnsi="Aptos"/>
          <w:b w:val="0"/>
          <w:i w:val="0"/>
          <w:color w:val="172033"/>
          <w:sz w:val="20"/>
        </w:rPr>
        <w:t>Pin dependencies in requirements.txt.</w:t>
      </w:r>
    </w:p>
    <w:p>
      <w:pPr>
        <w:pStyle w:val="ListBullet"/>
        <w:spacing w:after="40"/>
      </w:pPr>
      <w:r>
        <w:rPr>
          <w:rFonts w:ascii="Aptos" w:hAnsi="Aptos"/>
          <w:b w:val="0"/>
          <w:i w:val="0"/>
          <w:color w:val="172033"/>
          <w:sz w:val="20"/>
        </w:rPr>
        <w:t>Do not hard-code the OpenAI API key anywhere in source code.</w:t>
      </w:r>
    </w:p>
    <w:p>
      <w:pPr>
        <w:pStyle w:val="ListBullet"/>
        <w:spacing w:after="40"/>
      </w:pPr>
      <w:r>
        <w:rPr>
          <w:rFonts w:ascii="Aptos" w:hAnsi="Aptos"/>
          <w:b w:val="0"/>
          <w:i w:val="0"/>
          <w:color w:val="172033"/>
          <w:sz w:val="20"/>
        </w:rPr>
        <w:t>Keep UI copy/config separate from retrieval and generation code where practical; this is a presentation-layer organization choice, not an architecture change.</w:t>
      </w:r>
    </w:p>
    <w:p>
      <w:pPr>
        <w:pStyle w:val="Heading1"/>
        <w:keepNext/>
        <w:spacing w:before="240" w:after="100"/>
      </w:pPr>
      <w:r>
        <w:rPr>
          <w:rFonts w:ascii="Aptos" w:hAnsi="Aptos"/>
          <w:b/>
          <w:i w:val="0"/>
          <w:color w:val="123E8C"/>
          <w:sz w:val="30"/>
        </w:rPr>
        <w:t>9. Stage 1 — Data Ingestion</w:t>
      </w:r>
    </w:p>
    <w:p>
      <w:pPr>
        <w:pStyle w:val="ListBullet"/>
        <w:spacing w:after="40"/>
      </w:pPr>
      <w:r>
        <w:rPr>
          <w:rFonts w:ascii="Aptos" w:hAnsi="Aptos"/>
          <w:b w:val="0"/>
          <w:i w:val="0"/>
          <w:color w:val="172033"/>
          <w:sz w:val="20"/>
        </w:rPr>
        <w:t>Load the 25 approved public pages.</w:t>
      </w:r>
    </w:p>
    <w:p>
      <w:pPr>
        <w:pStyle w:val="ListBullet"/>
        <w:spacing w:after="40"/>
      </w:pPr>
      <w:r>
        <w:rPr>
          <w:rFonts w:ascii="Aptos" w:hAnsi="Aptos"/>
          <w:b w:val="0"/>
          <w:i w:val="0"/>
          <w:color w:val="172033"/>
          <w:sz w:val="20"/>
        </w:rPr>
        <w:t>Store raw source content separately from processed text.</w:t>
      </w:r>
    </w:p>
    <w:p>
      <w:pPr>
        <w:pStyle w:val="ListBullet"/>
        <w:spacing w:after="40"/>
      </w:pPr>
      <w:r>
        <w:rPr>
          <w:rFonts w:ascii="Aptos" w:hAnsi="Aptos"/>
          <w:b w:val="0"/>
          <w:i w:val="0"/>
          <w:color w:val="172033"/>
          <w:sz w:val="20"/>
        </w:rPr>
        <w:t>Record URL, title, source type, AMC, scheme (when applicable), category, and retrieval date.</w:t>
      </w:r>
    </w:p>
    <w:p>
      <w:pPr>
        <w:pStyle w:val="ListBullet"/>
        <w:spacing w:after="40"/>
      </w:pPr>
      <w:r>
        <w:rPr>
          <w:rFonts w:ascii="Aptos" w:hAnsi="Aptos"/>
          <w:b w:val="0"/>
          <w:i w:val="0"/>
          <w:color w:val="172033"/>
          <w:sz w:val="20"/>
        </w:rPr>
        <w:t>Do not ingest user account information or PII.</w:t>
      </w:r>
    </w:p>
    <w:p>
      <w:pPr>
        <w:pStyle w:val="ListBullet"/>
        <w:spacing w:after="40"/>
      </w:pPr>
      <w:r>
        <w:rPr>
          <w:rFonts w:ascii="Aptos" w:hAnsi="Aptos"/>
          <w:b w:val="0"/>
          <w:i w:val="0"/>
          <w:color w:val="172033"/>
          <w:sz w:val="20"/>
        </w:rPr>
        <w:t>Keep the original source URL attached to every source document.</w:t>
      </w:r>
    </w:p>
    <w:p>
      <w:pPr>
        <w:pStyle w:val="ListBullet"/>
        <w:spacing w:after="40"/>
      </w:pPr>
      <w:r>
        <w:rPr>
          <w:rFonts w:ascii="Aptos" w:hAnsi="Aptos"/>
          <w:b w:val="0"/>
          <w:i w:val="0"/>
          <w:color w:val="172033"/>
          <w:sz w:val="20"/>
        </w:rPr>
        <w:t>Preserve enough source metadata to drive the UI source row, source-context chip, scheme-context chip, and last-updated display without hard-coding source claims into the LLM.</w:t>
      </w:r>
    </w:p>
    <w:p>
      <w:pPr>
        <w:pStyle w:val="Heading1"/>
        <w:keepNext/>
        <w:spacing w:before="240" w:after="100"/>
      </w:pPr>
      <w:r>
        <w:rPr>
          <w:rFonts w:ascii="Aptos" w:hAnsi="Aptos"/>
          <w:b/>
          <w:i w:val="0"/>
          <w:color w:val="123E8C"/>
          <w:sz w:val="30"/>
        </w:rPr>
        <w:t>10. Stage 2 — Inspect Data BEFORE Writing Chunking Code</w:t>
      </w:r>
    </w:p>
    <w:p>
      <w:pPr>
        <w:spacing w:after="100" w:line="259" w:lineRule="auto"/>
      </w:pPr>
      <w:r>
        <w:rPr>
          <w:rFonts w:ascii="Aptos" w:hAnsi="Aptos"/>
          <w:b w:val="0"/>
          <w:i w:val="0"/>
          <w:color w:val="172033"/>
          <w:sz w:val="21"/>
        </w:rPr>
        <w:t>This remains mandatory. The coding agent must inspect the actual extracted pages before implementing chunking.</w:t>
      </w:r>
    </w:p>
    <w:p>
      <w:pPr>
        <w:pStyle w:val="ListBullet"/>
        <w:spacing w:after="40"/>
      </w:pPr>
      <w:r>
        <w:rPr>
          <w:rFonts w:ascii="Aptos" w:hAnsi="Aptos"/>
          <w:b w:val="0"/>
          <w:i w:val="0"/>
          <w:color w:val="172033"/>
          <w:sz w:val="20"/>
        </w:rPr>
        <w:t>Inspect page structure and identify repeated navigation/UI content.</w:t>
      </w:r>
    </w:p>
    <w:p>
      <w:pPr>
        <w:pStyle w:val="ListBullet"/>
        <w:spacing w:after="40"/>
      </w:pPr>
      <w:r>
        <w:rPr>
          <w:rFonts w:ascii="Aptos" w:hAnsi="Aptos"/>
          <w:b w:val="0"/>
          <w:i w:val="0"/>
          <w:color w:val="172033"/>
          <w:sz w:val="20"/>
        </w:rPr>
        <w:t>Identify logical sections such as overview, minimum SIP, minimum investment, expense information, exit load, riskometer, benchmark, lock-in, and objective.</w:t>
      </w:r>
    </w:p>
    <w:p>
      <w:pPr>
        <w:pStyle w:val="ListBullet"/>
        <w:spacing w:after="40"/>
      </w:pPr>
      <w:r>
        <w:rPr>
          <w:rFonts w:ascii="Aptos" w:hAnsi="Aptos"/>
          <w:b w:val="0"/>
          <w:i w:val="0"/>
          <w:color w:val="172033"/>
          <w:sz w:val="20"/>
        </w:rPr>
        <w:t>Identify whether values are presented as tables, labels, paragraphs, or mixed structures.</w:t>
      </w:r>
    </w:p>
    <w:p>
      <w:pPr>
        <w:pStyle w:val="ListBullet"/>
        <w:spacing w:after="40"/>
      </w:pPr>
      <w:r>
        <w:rPr>
          <w:rFonts w:ascii="Aptos" w:hAnsi="Aptos"/>
          <w:b w:val="0"/>
          <w:i w:val="0"/>
          <w:color w:val="172033"/>
          <w:sz w:val="20"/>
        </w:rPr>
        <w:t>Identify sections that must be excluded from answer generation because the milestone prohibits performance claims or rankings.</w:t>
      </w:r>
    </w:p>
    <w:p>
      <w:pPr>
        <w:pStyle w:val="ListBullet"/>
        <w:spacing w:after="40"/>
      </w:pPr>
      <w:r>
        <w:rPr>
          <w:rFonts w:ascii="Aptos" w:hAnsi="Aptos"/>
          <w:b w:val="0"/>
          <w:i w:val="0"/>
          <w:color w:val="172033"/>
          <w:sz w:val="20"/>
        </w:rPr>
        <w:t>Write a short chunking proposal before coding: chunk size, overlap, boundary rules, and metadata fields.</w:t>
      </w:r>
    </w:p>
    <w:p>
      <w:pPr>
        <w:pStyle w:val="Heading1"/>
        <w:keepNext/>
        <w:spacing w:before="240" w:after="100"/>
      </w:pPr>
      <w:r>
        <w:rPr>
          <w:rFonts w:ascii="Aptos" w:hAnsi="Aptos"/>
          <w:b/>
          <w:i w:val="0"/>
          <w:color w:val="123E8C"/>
          <w:sz w:val="30"/>
        </w:rPr>
        <w:t>11. Stage 3 — Chunking Strategy</w:t>
      </w:r>
    </w:p>
    <w:p>
      <w:pPr>
        <w:spacing w:after="100" w:line="259" w:lineRule="auto"/>
      </w:pPr>
      <w:r>
        <w:rPr>
          <w:rFonts w:ascii="Aptos" w:hAnsi="Aptos"/>
          <w:b w:val="0"/>
          <w:i w:val="0"/>
          <w:color w:val="172033"/>
          <w:sz w:val="21"/>
        </w:rPr>
        <w:t>Use section-aware chunking where possible so a label and its factual value remain together. Do not blindly split every page at arbitrary character boundaries. The final chunk size and overlap must be chosen by the coding agent after inspection and documented in the repository.</w:t>
      </w:r>
    </w:p>
    <w:p>
      <w:pPr>
        <w:spacing w:after="100" w:line="259" w:lineRule="auto"/>
      </w:pPr>
      <w:r>
        <w:rPr>
          <w:rFonts w:ascii="Aptos" w:hAnsi="Aptos"/>
          <w:b w:val="0"/>
          <w:i w:val="0"/>
          <w:color w:val="172033"/>
          <w:sz w:val="21"/>
        </w:rPr>
        <w:t>Minimum metadata per chunk:</w:t>
      </w:r>
    </w:p>
    <w:p>
      <w:pPr>
        <w:pStyle w:val="ListBullet"/>
        <w:spacing w:after="40"/>
      </w:pPr>
      <w:r>
        <w:rPr>
          <w:rFonts w:ascii="Aptos" w:hAnsi="Aptos"/>
          <w:b w:val="0"/>
          <w:i w:val="0"/>
          <w:color w:val="172033"/>
          <w:sz w:val="20"/>
        </w:rPr>
        <w:t>amc = SBI Mutual Fund</w:t>
      </w:r>
    </w:p>
    <w:p>
      <w:pPr>
        <w:pStyle w:val="ListBullet"/>
        <w:spacing w:after="40"/>
      </w:pPr>
      <w:r>
        <w:rPr>
          <w:rFonts w:ascii="Aptos" w:hAnsi="Aptos"/>
          <w:b w:val="0"/>
          <w:i w:val="0"/>
          <w:color w:val="172033"/>
          <w:sz w:val="20"/>
        </w:rPr>
        <w:t>scheme = exact scheme name or null for general pages</w:t>
      </w:r>
    </w:p>
    <w:p>
      <w:pPr>
        <w:pStyle w:val="ListBullet"/>
        <w:spacing w:after="40"/>
      </w:pPr>
      <w:r>
        <w:rPr>
          <w:rFonts w:ascii="Aptos" w:hAnsi="Aptos"/>
          <w:b w:val="0"/>
          <w:i w:val="0"/>
          <w:color w:val="172033"/>
          <w:sz w:val="20"/>
        </w:rPr>
        <w:t>category = Large Cap / Flexi Cap / Small Cap / ELSS / Hybrid / General</w:t>
      </w:r>
    </w:p>
    <w:p>
      <w:pPr>
        <w:pStyle w:val="ListBullet"/>
        <w:spacing w:after="40"/>
      </w:pPr>
      <w:r>
        <w:rPr>
          <w:rFonts w:ascii="Aptos" w:hAnsi="Aptos"/>
          <w:b w:val="0"/>
          <w:i w:val="0"/>
          <w:color w:val="172033"/>
          <w:sz w:val="20"/>
        </w:rPr>
        <w:t>source = Groww or SBI</w:t>
      </w:r>
    </w:p>
    <w:p>
      <w:pPr>
        <w:pStyle w:val="ListBullet"/>
        <w:spacing w:after="40"/>
      </w:pPr>
      <w:r>
        <w:rPr>
          <w:rFonts w:ascii="Aptos" w:hAnsi="Aptos"/>
          <w:b w:val="0"/>
          <w:i w:val="0"/>
          <w:color w:val="172033"/>
          <w:sz w:val="20"/>
        </w:rPr>
        <w:t>source_url = exact public URL</w:t>
      </w:r>
    </w:p>
    <w:p>
      <w:pPr>
        <w:pStyle w:val="ListBullet"/>
        <w:spacing w:after="40"/>
      </w:pPr>
      <w:r>
        <w:rPr>
          <w:rFonts w:ascii="Aptos" w:hAnsi="Aptos"/>
          <w:b w:val="0"/>
          <w:i w:val="0"/>
          <w:color w:val="172033"/>
          <w:sz w:val="20"/>
        </w:rPr>
        <w:t>section = logical section name</w:t>
      </w:r>
    </w:p>
    <w:p>
      <w:pPr>
        <w:pStyle w:val="ListBullet"/>
        <w:spacing w:after="40"/>
      </w:pPr>
      <w:r>
        <w:rPr>
          <w:rFonts w:ascii="Aptos" w:hAnsi="Aptos"/>
          <w:b w:val="0"/>
          <w:i w:val="0"/>
          <w:color w:val="172033"/>
          <w:sz w:val="20"/>
        </w:rPr>
        <w:t>document_id = stable source identifier</w:t>
      </w:r>
    </w:p>
    <w:p>
      <w:pPr>
        <w:pStyle w:val="ListBullet"/>
        <w:spacing w:after="40"/>
      </w:pPr>
      <w:r>
        <w:rPr>
          <w:rFonts w:ascii="Aptos" w:hAnsi="Aptos"/>
          <w:b w:val="0"/>
          <w:i w:val="0"/>
          <w:color w:val="172033"/>
          <w:sz w:val="20"/>
        </w:rPr>
        <w:t>chunk_id = stable chunk identifier</w:t>
      </w:r>
    </w:p>
    <w:p>
      <w:pPr>
        <w:pStyle w:val="ListBullet"/>
        <w:spacing w:after="40"/>
      </w:pPr>
      <w:r>
        <w:rPr>
          <w:rFonts w:ascii="Aptos" w:hAnsi="Aptos"/>
          <w:b w:val="0"/>
          <w:i w:val="0"/>
          <w:color w:val="172033"/>
          <w:sz w:val="20"/>
        </w:rPr>
        <w:t>retrieved_at = date the source was collected</w:t>
      </w:r>
    </w:p>
    <w:p>
      <w:pPr>
        <w:pStyle w:val="Heading1"/>
        <w:keepNext/>
        <w:spacing w:before="240" w:after="100"/>
      </w:pPr>
      <w:r>
        <w:rPr>
          <w:rFonts w:ascii="Aptos" w:hAnsi="Aptos"/>
          <w:b/>
          <w:i w:val="0"/>
          <w:color w:val="123E8C"/>
          <w:sz w:val="30"/>
        </w:rPr>
        <w:t>12. Stage 4 — Human-Readable Chunk Inspection</w:t>
      </w:r>
    </w:p>
    <w:p>
      <w:pPr>
        <w:spacing w:after="100" w:line="259" w:lineRule="auto"/>
      </w:pPr>
      <w:r>
        <w:rPr>
          <w:rFonts w:ascii="Aptos" w:hAnsi="Aptos"/>
          <w:b w:val="0"/>
          <w:i w:val="0"/>
          <w:color w:val="172033"/>
          <w:sz w:val="21"/>
        </w:rPr>
        <w:t>After chunking, save every chunk to a readable file named chunks_inspection.txt. This file must contain the metadata and text for every chunk.</w:t>
      </w:r>
    </w:p>
    <w:p>
      <w:pPr>
        <w:spacing w:after="100" w:line="259" w:lineRule="auto"/>
      </w:pPr>
      <w:r>
        <w:rPr>
          <w:rFonts w:ascii="Aptos" w:hAnsi="Aptos"/>
          <w:b w:val="0"/>
          <w:i/>
          <w:color w:val="596579"/>
          <w:sz w:val="19"/>
        </w:rPr>
        <w:t>Example format: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1944"/>
            <w:shd w:fill="123E8C"/>
            <w:tcMar>
              <w:top w:w="110" w:type="dxa"/>
              <w:start w:w="95" w:type="dxa"/>
              <w:bottom w:w="110" w:type="dxa"/>
              <w:end w:w="95" w:type="dxa"/>
            </w:tcMar>
            <w:vAlign w:val="center"/>
          </w:tcPr>
          <w:p>
            <w:pPr>
              <w:spacing w:after="0"/>
            </w:pPr>
            <w:r>
              <w:rPr>
                <w:rFonts w:ascii="Aptos" w:hAnsi="Aptos"/>
                <w:b/>
                <w:i w:val="0"/>
                <w:color w:val="FFFFFF"/>
                <w:sz w:val="17"/>
              </w:rPr>
              <w:t>Field</w:t>
            </w:r>
          </w:p>
        </w:tc>
        <w:tc>
          <w:tcPr>
            <w:tcW w:type="dxa" w:w="8352"/>
            <w:shd w:fill="123E8C"/>
            <w:tcMar>
              <w:top w:w="110" w:type="dxa"/>
              <w:start w:w="95" w:type="dxa"/>
              <w:bottom w:w="110" w:type="dxa"/>
              <w:end w:w="95" w:type="dxa"/>
            </w:tcMar>
            <w:vAlign w:val="center"/>
          </w:tcPr>
          <w:p>
            <w:pPr>
              <w:spacing w:after="0"/>
            </w:pPr>
            <w:r>
              <w:rPr>
                <w:rFonts w:ascii="Aptos" w:hAnsi="Aptos"/>
                <w:b/>
                <w:i w:val="0"/>
                <w:color w:val="FFFFFF"/>
                <w:sz w:val="17"/>
              </w:rPr>
              <w:t>Example</w:t>
            </w:r>
          </w:p>
        </w:tc>
      </w:tr>
      <w:tr>
        <w:trPr>
          <w:cantSplit w:val="true"/>
        </w:trPr>
        <w:tc>
          <w:tcPr>
            <w:tcW w:type="dxa" w:w="1944"/>
            <w:tcMar>
              <w:top w:w="90" w:type="dxa"/>
              <w:start w:w="95" w:type="dxa"/>
              <w:bottom w:w="90" w:type="dxa"/>
              <w:end w:w="95" w:type="dxa"/>
            </w:tcMar>
            <w:vAlign w:val="top"/>
          </w:tcPr>
          <w:p>
            <w:pPr>
              <w:spacing w:after="0"/>
            </w:pPr>
            <w:r>
              <w:rPr>
                <w:rFonts w:ascii="Aptos" w:hAnsi="Aptos"/>
                <w:b w:val="0"/>
                <w:i w:val="0"/>
                <w:color w:val="172033"/>
                <w:sz w:val="17"/>
              </w:rPr>
              <w:t>CHUNK</w:t>
            </w:r>
          </w:p>
        </w:tc>
        <w:tc>
          <w:tcPr>
            <w:tcW w:type="dxa" w:w="8352"/>
            <w:tcMar>
              <w:top w:w="90" w:type="dxa"/>
              <w:start w:w="95" w:type="dxa"/>
              <w:bottom w:w="90" w:type="dxa"/>
              <w:end w:w="95" w:type="dxa"/>
            </w:tcMar>
            <w:vAlign w:val="top"/>
          </w:tcPr>
          <w:p>
            <w:pPr>
              <w:spacing w:after="0"/>
            </w:pPr>
            <w:r>
              <w:rPr>
                <w:rFonts w:ascii="Aptos" w:hAnsi="Aptos"/>
                <w:b w:val="0"/>
                <w:i w:val="0"/>
                <w:color w:val="172033"/>
                <w:sz w:val="17"/>
              </w:rPr>
              <w:t>sbi_elss_007</w:t>
            </w:r>
          </w:p>
        </w:tc>
      </w:tr>
      <w:tr>
        <w:trPr>
          <w:cantSplit w:val="true"/>
        </w:trPr>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SCHEME</w:t>
            </w:r>
          </w:p>
        </w:tc>
        <w:tc>
          <w:tcPr>
            <w:tcW w:type="dxa" w:w="8352"/>
            <w:shd w:fill="F5F7FA"/>
            <w:tcMar>
              <w:top w:w="90" w:type="dxa"/>
              <w:start w:w="95" w:type="dxa"/>
              <w:bottom w:w="90" w:type="dxa"/>
              <w:end w:w="95" w:type="dxa"/>
            </w:tcMar>
            <w:vAlign w:val="top"/>
          </w:tcPr>
          <w:p>
            <w:pPr>
              <w:spacing w:after="0"/>
            </w:pPr>
            <w:r>
              <w:rPr>
                <w:rFonts w:ascii="Aptos" w:hAnsi="Aptos"/>
                <w:b w:val="0"/>
                <w:i w:val="0"/>
                <w:color w:val="172033"/>
                <w:sz w:val="17"/>
              </w:rPr>
              <w:t>SBI ELSS Tax Saver Fund</w:t>
            </w:r>
          </w:p>
        </w:tc>
      </w:tr>
      <w:tr>
        <w:trPr>
          <w:cantSplit w:val="true"/>
        </w:trPr>
        <w:tc>
          <w:tcPr>
            <w:tcW w:type="dxa" w:w="1944"/>
            <w:tcMar>
              <w:top w:w="90" w:type="dxa"/>
              <w:start w:w="95" w:type="dxa"/>
              <w:bottom w:w="90" w:type="dxa"/>
              <w:end w:w="95" w:type="dxa"/>
            </w:tcMar>
            <w:vAlign w:val="top"/>
          </w:tcPr>
          <w:p>
            <w:pPr>
              <w:spacing w:after="0"/>
            </w:pPr>
            <w:r>
              <w:rPr>
                <w:rFonts w:ascii="Aptos" w:hAnsi="Aptos"/>
                <w:b w:val="0"/>
                <w:i w:val="0"/>
                <w:color w:val="172033"/>
                <w:sz w:val="17"/>
              </w:rPr>
              <w:t>CATEGORY</w:t>
            </w:r>
          </w:p>
        </w:tc>
        <w:tc>
          <w:tcPr>
            <w:tcW w:type="dxa" w:w="8352"/>
            <w:tcMar>
              <w:top w:w="90" w:type="dxa"/>
              <w:start w:w="95" w:type="dxa"/>
              <w:bottom w:w="90" w:type="dxa"/>
              <w:end w:w="95" w:type="dxa"/>
            </w:tcMar>
            <w:vAlign w:val="top"/>
          </w:tcPr>
          <w:p>
            <w:pPr>
              <w:spacing w:after="0"/>
            </w:pPr>
            <w:r>
              <w:rPr>
                <w:rFonts w:ascii="Aptos" w:hAnsi="Aptos"/>
                <w:b w:val="0"/>
                <w:i w:val="0"/>
                <w:color w:val="172033"/>
                <w:sz w:val="17"/>
              </w:rPr>
              <w:t>ELSS</w:t>
            </w:r>
          </w:p>
        </w:tc>
      </w:tr>
      <w:tr>
        <w:trPr>
          <w:cantSplit w:val="true"/>
        </w:trPr>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SECTION</w:t>
            </w:r>
          </w:p>
        </w:tc>
        <w:tc>
          <w:tcPr>
            <w:tcW w:type="dxa" w:w="8352"/>
            <w:shd w:fill="F5F7FA"/>
            <w:tcMar>
              <w:top w:w="90" w:type="dxa"/>
              <w:start w:w="95" w:type="dxa"/>
              <w:bottom w:w="90" w:type="dxa"/>
              <w:end w:w="95" w:type="dxa"/>
            </w:tcMar>
            <w:vAlign w:val="top"/>
          </w:tcPr>
          <w:p>
            <w:pPr>
              <w:spacing w:after="0"/>
            </w:pPr>
            <w:r>
              <w:rPr>
                <w:rFonts w:ascii="Aptos" w:hAnsi="Aptos"/>
                <w:b w:val="0"/>
                <w:i w:val="0"/>
                <w:color w:val="172033"/>
                <w:sz w:val="17"/>
              </w:rPr>
              <w:t>Lock-in</w:t>
            </w:r>
          </w:p>
        </w:tc>
      </w:tr>
      <w:tr>
        <w:trPr>
          <w:cantSplit w:val="true"/>
        </w:trPr>
        <w:tc>
          <w:tcPr>
            <w:tcW w:type="dxa" w:w="1944"/>
            <w:tcMar>
              <w:top w:w="90" w:type="dxa"/>
              <w:start w:w="95" w:type="dxa"/>
              <w:bottom w:w="90" w:type="dxa"/>
              <w:end w:w="95" w:type="dxa"/>
            </w:tcMar>
            <w:vAlign w:val="top"/>
          </w:tcPr>
          <w:p>
            <w:pPr>
              <w:spacing w:after="0"/>
            </w:pPr>
            <w:r>
              <w:rPr>
                <w:rFonts w:ascii="Aptos" w:hAnsi="Aptos"/>
                <w:b w:val="0"/>
                <w:i w:val="0"/>
                <w:color w:val="172033"/>
                <w:sz w:val="17"/>
              </w:rPr>
              <w:t>SOURCE</w:t>
            </w:r>
          </w:p>
        </w:tc>
        <w:tc>
          <w:tcPr>
            <w:tcW w:type="dxa" w:w="8352"/>
            <w:tcMar>
              <w:top w:w="90" w:type="dxa"/>
              <w:start w:w="95" w:type="dxa"/>
              <w:bottom w:w="90" w:type="dxa"/>
              <w:end w:w="95" w:type="dxa"/>
            </w:tcMar>
            <w:vAlign w:val="top"/>
          </w:tcPr>
          <w:p>
            <w:pPr>
              <w:spacing w:after="0"/>
            </w:pPr>
            <w:r>
              <w:rPr>
                <w:rFonts w:ascii="Aptos" w:hAnsi="Aptos"/>
                <w:b w:val="0"/>
                <w:i w:val="0"/>
                <w:color w:val="172033"/>
                <w:sz w:val="17"/>
              </w:rPr>
              <w:t>Groww</w:t>
            </w:r>
          </w:p>
        </w:tc>
      </w:tr>
      <w:tr>
        <w:trPr>
          <w:cantSplit w:val="true"/>
        </w:trPr>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URL</w:t>
            </w:r>
          </w:p>
        </w:tc>
        <w:tc>
          <w:tcPr>
            <w:tcW w:type="dxa" w:w="8352"/>
            <w:shd w:fill="F5F7FA"/>
            <w:tcMar>
              <w:top w:w="90" w:type="dxa"/>
              <w:start w:w="95" w:type="dxa"/>
              <w:bottom w:w="90" w:type="dxa"/>
              <w:end w:w="95" w:type="dxa"/>
            </w:tcMar>
            <w:vAlign w:val="top"/>
          </w:tcPr>
          <w:p>
            <w:pPr>
              <w:spacing w:after="0"/>
            </w:pPr>
            <w:r>
              <w:rPr>
                <w:rFonts w:ascii="Aptos" w:hAnsi="Aptos"/>
                <w:b w:val="0"/>
                <w:i w:val="0"/>
                <w:color w:val="172033"/>
                <w:sz w:val="17"/>
              </w:rPr>
              <w:t>https://groww.in/mutual-funds/sbi-elss-tax-saver-fund-direct-growth</w:t>
            </w:r>
          </w:p>
        </w:tc>
      </w:tr>
      <w:tr>
        <w:trPr>
          <w:cantSplit w:val="true"/>
        </w:trPr>
        <w:tc>
          <w:tcPr>
            <w:tcW w:type="dxa" w:w="1944"/>
            <w:tcMar>
              <w:top w:w="90" w:type="dxa"/>
              <w:start w:w="95" w:type="dxa"/>
              <w:bottom w:w="90" w:type="dxa"/>
              <w:end w:w="95" w:type="dxa"/>
            </w:tcMar>
            <w:vAlign w:val="top"/>
          </w:tcPr>
          <w:p>
            <w:pPr>
              <w:spacing w:after="0"/>
            </w:pPr>
            <w:r>
              <w:rPr>
                <w:rFonts w:ascii="Aptos" w:hAnsi="Aptos"/>
                <w:b w:val="0"/>
                <w:i w:val="0"/>
                <w:color w:val="172033"/>
                <w:sz w:val="17"/>
              </w:rPr>
              <w:t>RETRIEVED_AT</w:t>
            </w:r>
          </w:p>
        </w:tc>
        <w:tc>
          <w:tcPr>
            <w:tcW w:type="dxa" w:w="8352"/>
            <w:tcMar>
              <w:top w:w="90" w:type="dxa"/>
              <w:start w:w="95" w:type="dxa"/>
              <w:bottom w:w="90" w:type="dxa"/>
              <w:end w:w="95" w:type="dxa"/>
            </w:tcMar>
            <w:vAlign w:val="top"/>
          </w:tcPr>
          <w:p>
            <w:pPr>
              <w:spacing w:after="0"/>
            </w:pPr>
            <w:r>
              <w:rPr>
                <w:rFonts w:ascii="Aptos" w:hAnsi="Aptos"/>
                <w:b w:val="0"/>
                <w:i w:val="0"/>
                <w:color w:val="172033"/>
                <w:sz w:val="17"/>
              </w:rPr>
              <w:t>YYYY-MM-DD</w:t>
            </w:r>
          </w:p>
        </w:tc>
      </w:tr>
      <w:tr>
        <w:trPr>
          <w:cantSplit w:val="true"/>
        </w:trPr>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TEXT</w:t>
            </w:r>
          </w:p>
        </w:tc>
        <w:tc>
          <w:tcPr>
            <w:tcW w:type="dxa" w:w="8352"/>
            <w:shd w:fill="F5F7FA"/>
            <w:tcMar>
              <w:top w:w="90" w:type="dxa"/>
              <w:start w:w="95" w:type="dxa"/>
              <w:bottom w:w="90" w:type="dxa"/>
              <w:end w:w="95" w:type="dxa"/>
            </w:tcMar>
            <w:vAlign w:val="top"/>
          </w:tcPr>
          <w:p>
            <w:pPr>
              <w:spacing w:after="0"/>
            </w:pPr>
            <w:r>
              <w:rPr>
                <w:rFonts w:ascii="Aptos" w:hAnsi="Aptos"/>
                <w:b w:val="0"/>
                <w:i w:val="0"/>
                <w:color w:val="172033"/>
                <w:sz w:val="17"/>
              </w:rPr>
              <w:t>[chunk text]</w:t>
            </w:r>
          </w:p>
        </w:tc>
      </w:tr>
    </w:tbl>
    <w:p>
      <w:pPr>
        <w:spacing w:after="20"/>
      </w:pPr>
    </w:p>
    <w:p>
      <w:pPr>
        <w:pStyle w:val="Heading1"/>
        <w:keepNext/>
        <w:spacing w:before="240" w:after="100"/>
      </w:pPr>
      <w:r>
        <w:rPr>
          <w:rFonts w:ascii="Aptos" w:hAnsi="Aptos"/>
          <w:b/>
          <w:i w:val="0"/>
          <w:color w:val="123E8C"/>
          <w:sz w:val="30"/>
        </w:rPr>
        <w:t>13. Stage 5 — Embeddings</w:t>
      </w:r>
    </w:p>
    <w:p>
      <w:pPr>
        <w:pStyle w:val="ListBullet"/>
        <w:spacing w:after="40"/>
      </w:pPr>
      <w:r>
        <w:rPr>
          <w:rFonts w:ascii="Aptos" w:hAnsi="Aptos"/>
          <w:b w:val="0"/>
          <w:i w:val="0"/>
          <w:color w:val="172033"/>
          <w:sz w:val="20"/>
        </w:rPr>
        <w:t>Embedding model: sentence-transformers/all-MiniLM-L6-v2.</w:t>
      </w:r>
    </w:p>
    <w:p>
      <w:pPr>
        <w:pStyle w:val="ListBullet"/>
        <w:spacing w:after="40"/>
      </w:pPr>
      <w:r>
        <w:rPr>
          <w:rFonts w:ascii="Aptos" w:hAnsi="Aptos"/>
          <w:b w:val="0"/>
          <w:i w:val="0"/>
          <w:color w:val="172033"/>
          <w:sz w:val="20"/>
        </w:rPr>
        <w:t>Load the model locally; no embedding API key is required.</w:t>
      </w:r>
    </w:p>
    <w:p>
      <w:pPr>
        <w:pStyle w:val="ListBullet"/>
        <w:spacing w:after="40"/>
      </w:pPr>
      <w:r>
        <w:rPr>
          <w:rFonts w:ascii="Aptos" w:hAnsi="Aptos"/>
          <w:b w:val="0"/>
          <w:i w:val="0"/>
          <w:color w:val="172033"/>
          <w:sz w:val="20"/>
        </w:rPr>
        <w:t>Embed every final chunk once during ingestion.</w:t>
      </w:r>
    </w:p>
    <w:p>
      <w:pPr>
        <w:pStyle w:val="ListBullet"/>
        <w:spacing w:after="40"/>
      </w:pPr>
      <w:r>
        <w:rPr>
          <w:rFonts w:ascii="Aptos" w:hAnsi="Aptos"/>
          <w:b w:val="0"/>
          <w:i w:val="0"/>
          <w:color w:val="172033"/>
          <w:sz w:val="20"/>
        </w:rPr>
        <w:t>Use the exact same model for user queries.</w:t>
      </w:r>
    </w:p>
    <w:p>
      <w:pPr>
        <w:pStyle w:val="ListBullet"/>
        <w:spacing w:after="40"/>
      </w:pPr>
      <w:r>
        <w:rPr>
          <w:rFonts w:ascii="Aptos" w:hAnsi="Aptos"/>
          <w:b w:val="0"/>
          <w:i w:val="0"/>
          <w:color w:val="172033"/>
          <w:sz w:val="20"/>
        </w:rPr>
        <w:t>Expect 384-dimensional embeddings.</w:t>
      </w:r>
    </w:p>
    <w:p>
      <w:pPr>
        <w:pStyle w:val="ListBullet"/>
        <w:spacing w:after="40"/>
      </w:pPr>
      <w:r>
        <w:rPr>
          <w:rFonts w:ascii="Aptos" w:hAnsi="Aptos"/>
          <w:b w:val="0"/>
          <w:i w:val="0"/>
          <w:color w:val="172033"/>
          <w:sz w:val="20"/>
        </w:rPr>
        <w:t>Run PII masking before embedding so sensitive values are not represented in query vectors.</w:t>
      </w:r>
    </w:p>
    <w:p>
      <w:pPr>
        <w:pStyle w:val="Heading1"/>
        <w:keepNext/>
        <w:spacing w:before="240" w:after="100"/>
      </w:pPr>
      <w:r>
        <w:rPr>
          <w:rFonts w:ascii="Aptos" w:hAnsi="Aptos"/>
          <w:b/>
          <w:i w:val="0"/>
          <w:color w:val="123E8C"/>
          <w:sz w:val="30"/>
        </w:rPr>
        <w:t>14. Stage 6 — Persistent ChromaDB</w:t>
      </w:r>
    </w:p>
    <w:p>
      <w:pPr>
        <w:pStyle w:val="ListBullet"/>
        <w:spacing w:after="40"/>
      </w:pPr>
      <w:r>
        <w:rPr>
          <w:rFonts w:ascii="Aptos" w:hAnsi="Aptos"/>
          <w:b w:val="0"/>
          <w:i w:val="0"/>
          <w:color w:val="172033"/>
          <w:sz w:val="20"/>
        </w:rPr>
        <w:t>Create a persistent ChromaDB collection on disk.</w:t>
      </w:r>
    </w:p>
    <w:p>
      <w:pPr>
        <w:pStyle w:val="ListBullet"/>
        <w:spacing w:after="40"/>
      </w:pPr>
      <w:r>
        <w:rPr>
          <w:rFonts w:ascii="Aptos" w:hAnsi="Aptos"/>
          <w:b w:val="0"/>
          <w:i w:val="0"/>
          <w:color w:val="172033"/>
          <w:sz w:val="20"/>
        </w:rPr>
        <w:t>Store chunk text, embedding, and metadata together.</w:t>
      </w:r>
    </w:p>
    <w:p>
      <w:pPr>
        <w:pStyle w:val="ListBullet"/>
        <w:spacing w:after="40"/>
      </w:pPr>
      <w:r>
        <w:rPr>
          <w:rFonts w:ascii="Aptos" w:hAnsi="Aptos"/>
          <w:b w:val="0"/>
          <w:i w:val="0"/>
          <w:color w:val="172033"/>
          <w:sz w:val="20"/>
        </w:rPr>
        <w:t>Do not rebuild the vector database every time the app starts.</w:t>
      </w:r>
    </w:p>
    <w:p>
      <w:pPr>
        <w:pStyle w:val="ListBullet"/>
        <w:spacing w:after="40"/>
      </w:pPr>
      <w:r>
        <w:rPr>
          <w:rFonts w:ascii="Aptos" w:hAnsi="Aptos"/>
          <w:b w:val="0"/>
          <w:i w:val="0"/>
          <w:color w:val="172033"/>
          <w:sz w:val="20"/>
        </w:rPr>
        <w:t>Ingestion should be an explicit first-run/update operation.</w:t>
      </w:r>
    </w:p>
    <w:p>
      <w:pPr>
        <w:pStyle w:val="ListBullet"/>
        <w:spacing w:after="40"/>
      </w:pPr>
      <w:r>
        <w:rPr>
          <w:rFonts w:ascii="Aptos" w:hAnsi="Aptos"/>
          <w:b w:val="0"/>
          <w:i w:val="0"/>
          <w:color w:val="172033"/>
          <w:sz w:val="20"/>
        </w:rPr>
        <w:t>The chatbot should load the existing persisted collection on normal startup.</w:t>
      </w:r>
    </w:p>
    <w:p>
      <w:pPr>
        <w:pStyle w:val="Heading1"/>
        <w:keepNext/>
        <w:spacing w:before="240" w:after="100"/>
      </w:pPr>
      <w:r>
        <w:rPr>
          <w:rFonts w:ascii="Aptos" w:hAnsi="Aptos"/>
          <w:b/>
          <w:i w:val="0"/>
          <w:color w:val="123E8C"/>
          <w:sz w:val="30"/>
        </w:rPr>
        <w:t>15. Stage 7 — Query Pipeline</w:t>
      </w:r>
    </w:p>
    <w:p>
      <w:pPr>
        <w:spacing w:after="100" w:line="259" w:lineRule="auto"/>
      </w:pPr>
      <w:r>
        <w:rPr>
          <w:rFonts w:ascii="Aptos" w:hAnsi="Aptos"/>
          <w:b w:val="0"/>
          <w:i w:val="0"/>
          <w:color w:val="172033"/>
          <w:sz w:val="21"/>
        </w:rPr>
        <w:t>The original retrieval sequence remains unchanged. Wireframe states are mapped around the same pipeline: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432"/>
            <w:shd w:fill="123E8C"/>
            <w:tcMar>
              <w:top w:w="110" w:type="dxa"/>
              <w:start w:w="95" w:type="dxa"/>
              <w:bottom w:w="110" w:type="dxa"/>
              <w:end w:w="95" w:type="dxa"/>
            </w:tcMar>
            <w:vAlign w:val="center"/>
          </w:tcPr>
          <w:p>
            <w:pPr>
              <w:spacing w:after="0"/>
            </w:pPr>
            <w:r>
              <w:rPr>
                <w:rFonts w:ascii="Aptos" w:hAnsi="Aptos"/>
                <w:b/>
                <w:i w:val="0"/>
                <w:color w:val="FFFFFF"/>
                <w:sz w:val="17"/>
              </w:rPr>
              <w:t>#</w:t>
            </w:r>
          </w:p>
        </w:tc>
        <w:tc>
          <w:tcPr>
            <w:tcW w:type="dxa" w:w="1944"/>
            <w:shd w:fill="123E8C"/>
            <w:tcMar>
              <w:top w:w="110" w:type="dxa"/>
              <w:start w:w="95" w:type="dxa"/>
              <w:bottom w:w="110" w:type="dxa"/>
              <w:end w:w="95" w:type="dxa"/>
            </w:tcMar>
            <w:vAlign w:val="center"/>
          </w:tcPr>
          <w:p>
            <w:pPr>
              <w:spacing w:after="0"/>
            </w:pPr>
            <w:r>
              <w:rPr>
                <w:rFonts w:ascii="Aptos" w:hAnsi="Aptos"/>
                <w:b/>
                <w:i w:val="0"/>
                <w:color w:val="FFFFFF"/>
                <w:sz w:val="17"/>
              </w:rPr>
              <w:t>Pipeline stage</w:t>
            </w:r>
          </w:p>
        </w:tc>
        <w:tc>
          <w:tcPr>
            <w:tcW w:type="dxa" w:w="7920"/>
            <w:shd w:fill="123E8C"/>
            <w:tcMar>
              <w:top w:w="110" w:type="dxa"/>
              <w:start w:w="95" w:type="dxa"/>
              <w:bottom w:w="110" w:type="dxa"/>
              <w:end w:w="95" w:type="dxa"/>
            </w:tcMar>
            <w:vAlign w:val="center"/>
          </w:tcPr>
          <w:p>
            <w:pPr>
              <w:spacing w:after="0"/>
            </w:pPr>
            <w:r>
              <w:rPr>
                <w:rFonts w:ascii="Aptos" w:hAnsi="Aptos"/>
                <w:b/>
                <w:i w:val="0"/>
                <w:color w:val="FFFFFF"/>
                <w:sz w:val="17"/>
              </w:rPr>
              <w:t>Wireframe-aligned behavior</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7"/>
              </w:rPr>
              <w:t>1</w:t>
            </w:r>
          </w:p>
        </w:tc>
        <w:tc>
          <w:tcPr>
            <w:tcW w:type="dxa" w:w="1944"/>
            <w:tcMar>
              <w:top w:w="90" w:type="dxa"/>
              <w:start w:w="95" w:type="dxa"/>
              <w:bottom w:w="90" w:type="dxa"/>
              <w:end w:w="95" w:type="dxa"/>
            </w:tcMar>
            <w:vAlign w:val="top"/>
          </w:tcPr>
          <w:p>
            <w:pPr>
              <w:spacing w:after="0"/>
            </w:pPr>
            <w:r>
              <w:rPr>
                <w:rFonts w:ascii="Aptos" w:hAnsi="Aptos"/>
                <w:b w:val="0"/>
                <w:i w:val="0"/>
                <w:color w:val="172033"/>
                <w:sz w:val="17"/>
              </w:rPr>
              <w:t>Question input</w:t>
            </w:r>
          </w:p>
        </w:tc>
        <w:tc>
          <w:tcPr>
            <w:tcW w:type="dxa" w:w="7920"/>
            <w:tcMar>
              <w:top w:w="90" w:type="dxa"/>
              <w:start w:w="95" w:type="dxa"/>
              <w:bottom w:w="90" w:type="dxa"/>
              <w:end w:w="95" w:type="dxa"/>
            </w:tcMar>
            <w:vAlign w:val="top"/>
          </w:tcPr>
          <w:p>
            <w:pPr>
              <w:spacing w:after="0"/>
            </w:pPr>
            <w:r>
              <w:rPr>
                <w:rFonts w:ascii="Aptos" w:hAnsi="Aptos"/>
                <w:b w:val="0"/>
                <w:i w:val="0"/>
                <w:color w:val="172033"/>
                <w:sz w:val="17"/>
              </w:rPr>
              <w:t>Receive the user question from the composer.</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7"/>
              </w:rPr>
              <w:t>2</w:t>
            </w:r>
          </w:p>
        </w:tc>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Input guardrails</w:t>
            </w:r>
          </w:p>
        </w:tc>
        <w:tc>
          <w:tcPr>
            <w:tcW w:type="dxa" w:w="7920"/>
            <w:shd w:fill="F5F7FA"/>
            <w:tcMar>
              <w:top w:w="90" w:type="dxa"/>
              <w:start w:w="95" w:type="dxa"/>
              <w:bottom w:w="90" w:type="dxa"/>
              <w:end w:w="95" w:type="dxa"/>
            </w:tcMar>
            <w:vAlign w:val="top"/>
          </w:tcPr>
          <w:p>
            <w:pPr>
              <w:spacing w:after="0"/>
            </w:pPr>
            <w:r>
              <w:rPr>
                <w:rFonts w:ascii="Aptos" w:hAnsi="Aptos"/>
                <w:b w:val="0"/>
                <w:i w:val="0"/>
                <w:color w:val="172033"/>
                <w:sz w:val="17"/>
              </w:rPr>
              <w:t>Run PII, advice, and performance checks before embedding. Mask/redact sensitive strings and classify restricted intents.</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7"/>
              </w:rPr>
              <w:t>3</w:t>
            </w:r>
          </w:p>
        </w:tc>
        <w:tc>
          <w:tcPr>
            <w:tcW w:type="dxa" w:w="1944"/>
            <w:tcMar>
              <w:top w:w="90" w:type="dxa"/>
              <w:start w:w="95" w:type="dxa"/>
              <w:bottom w:w="90" w:type="dxa"/>
              <w:end w:w="95" w:type="dxa"/>
            </w:tcMar>
            <w:vAlign w:val="top"/>
          </w:tcPr>
          <w:p>
            <w:pPr>
              <w:spacing w:after="0"/>
            </w:pPr>
            <w:r>
              <w:rPr>
                <w:rFonts w:ascii="Aptos" w:hAnsi="Aptos"/>
                <w:b w:val="0"/>
                <w:i w:val="0"/>
                <w:color w:val="172033"/>
                <w:sz w:val="17"/>
              </w:rPr>
              <w:t>Embed</w:t>
            </w:r>
          </w:p>
        </w:tc>
        <w:tc>
          <w:tcPr>
            <w:tcW w:type="dxa" w:w="7920"/>
            <w:tcMar>
              <w:top w:w="90" w:type="dxa"/>
              <w:start w:w="95" w:type="dxa"/>
              <w:bottom w:w="90" w:type="dxa"/>
              <w:end w:w="95" w:type="dxa"/>
            </w:tcMar>
            <w:vAlign w:val="top"/>
          </w:tcPr>
          <w:p>
            <w:pPr>
              <w:spacing w:after="0"/>
            </w:pPr>
            <w:r>
              <w:rPr>
                <w:rFonts w:ascii="Aptos" w:hAnsi="Aptos"/>
                <w:b w:val="0"/>
                <w:i w:val="0"/>
                <w:color w:val="172033"/>
                <w:sz w:val="17"/>
              </w:rPr>
              <w:t>Embed only the permitted/non-sensitive query text with all-MiniLM-L6-v2.</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7"/>
              </w:rPr>
              <w:t>4</w:t>
            </w:r>
          </w:p>
        </w:tc>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Retrieve</w:t>
            </w:r>
          </w:p>
        </w:tc>
        <w:tc>
          <w:tcPr>
            <w:tcW w:type="dxa" w:w="7920"/>
            <w:shd w:fill="F5F7FA"/>
            <w:tcMar>
              <w:top w:w="90" w:type="dxa"/>
              <w:start w:w="95" w:type="dxa"/>
              <w:bottom w:w="90" w:type="dxa"/>
              <w:end w:w="95" w:type="dxa"/>
            </w:tcMar>
            <w:vAlign w:val="top"/>
          </w:tcPr>
          <w:p>
            <w:pPr>
              <w:spacing w:after="0"/>
            </w:pPr>
            <w:r>
              <w:rPr>
                <w:rFonts w:ascii="Aptos" w:hAnsi="Aptos"/>
                <w:b w:val="0"/>
                <w:i w:val="0"/>
                <w:color w:val="172033"/>
                <w:sz w:val="17"/>
              </w:rPr>
              <w:t>Query ChromaDB for top-K relevant chunks, preferring scheme-matched chunks when a scheme is named.</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7"/>
              </w:rPr>
              <w:t>5</w:t>
            </w:r>
          </w:p>
        </w:tc>
        <w:tc>
          <w:tcPr>
            <w:tcW w:type="dxa" w:w="1944"/>
            <w:tcMar>
              <w:top w:w="90" w:type="dxa"/>
              <w:start w:w="95" w:type="dxa"/>
              <w:bottom w:w="90" w:type="dxa"/>
              <w:end w:w="95" w:type="dxa"/>
            </w:tcMar>
            <w:vAlign w:val="top"/>
          </w:tcPr>
          <w:p>
            <w:pPr>
              <w:spacing w:after="0"/>
            </w:pPr>
            <w:r>
              <w:rPr>
                <w:rFonts w:ascii="Aptos" w:hAnsi="Aptos"/>
                <w:b w:val="0"/>
                <w:i w:val="0"/>
                <w:color w:val="172033"/>
                <w:sz w:val="17"/>
              </w:rPr>
              <w:t>Generate</w:t>
            </w:r>
          </w:p>
        </w:tc>
        <w:tc>
          <w:tcPr>
            <w:tcW w:type="dxa" w:w="7920"/>
            <w:tcMar>
              <w:top w:w="90" w:type="dxa"/>
              <w:start w:w="95" w:type="dxa"/>
              <w:bottom w:w="90" w:type="dxa"/>
              <w:end w:w="95" w:type="dxa"/>
            </w:tcMar>
            <w:vAlign w:val="top"/>
          </w:tcPr>
          <w:p>
            <w:pPr>
              <w:spacing w:after="0"/>
            </w:pPr>
            <w:r>
              <w:rPr>
                <w:rFonts w:ascii="Aptos" w:hAnsi="Aptos"/>
                <w:b w:val="0"/>
                <w:i w:val="0"/>
                <w:color w:val="172033"/>
                <w:sz w:val="17"/>
              </w:rPr>
              <w:t>Pass only relevant retrieved context to the OpenAI LLM with facts-only rules.</w:t>
            </w:r>
          </w:p>
        </w:tc>
      </w:tr>
      <w:tr>
        <w:trPr>
          <w:cantSplit w:val="true"/>
        </w:trPr>
        <w:tc>
          <w:tcPr>
            <w:tcW w:type="dxa" w:w="432"/>
            <w:shd w:fill="F5F7FA"/>
            <w:tcMar>
              <w:top w:w="90" w:type="dxa"/>
              <w:start w:w="95" w:type="dxa"/>
              <w:bottom w:w="90" w:type="dxa"/>
              <w:end w:w="95" w:type="dxa"/>
            </w:tcMar>
            <w:vAlign w:val="top"/>
          </w:tcPr>
          <w:p>
            <w:pPr>
              <w:spacing w:after="0"/>
            </w:pPr>
            <w:r>
              <w:rPr>
                <w:rFonts w:ascii="Aptos" w:hAnsi="Aptos"/>
                <w:b w:val="0"/>
                <w:i w:val="0"/>
                <w:color w:val="172033"/>
                <w:sz w:val="17"/>
              </w:rPr>
              <w:t>6</w:t>
            </w:r>
          </w:p>
        </w:tc>
        <w:tc>
          <w:tcPr>
            <w:tcW w:type="dxa" w:w="1944"/>
            <w:shd w:fill="F5F7FA"/>
            <w:tcMar>
              <w:top w:w="90" w:type="dxa"/>
              <w:start w:w="95" w:type="dxa"/>
              <w:bottom w:w="90" w:type="dxa"/>
              <w:end w:w="95" w:type="dxa"/>
            </w:tcMar>
            <w:vAlign w:val="top"/>
          </w:tcPr>
          <w:p>
            <w:pPr>
              <w:spacing w:after="0"/>
            </w:pPr>
            <w:r>
              <w:rPr>
                <w:rFonts w:ascii="Aptos" w:hAnsi="Aptos"/>
                <w:b w:val="0"/>
                <w:i w:val="0"/>
                <w:color w:val="172033"/>
                <w:sz w:val="17"/>
              </w:rPr>
              <w:t>Validate</w:t>
            </w:r>
          </w:p>
        </w:tc>
        <w:tc>
          <w:tcPr>
            <w:tcW w:type="dxa" w:w="7920"/>
            <w:shd w:fill="F5F7FA"/>
            <w:tcMar>
              <w:top w:w="90" w:type="dxa"/>
              <w:start w:w="95" w:type="dxa"/>
              <w:bottom w:w="90" w:type="dxa"/>
              <w:end w:w="95" w:type="dxa"/>
            </w:tcMar>
            <w:vAlign w:val="top"/>
          </w:tcPr>
          <w:p>
            <w:pPr>
              <w:spacing w:after="0"/>
            </w:pPr>
            <w:r>
              <w:rPr>
                <w:rFonts w:ascii="Aptos" w:hAnsi="Aptos"/>
                <w:b w:val="0"/>
                <w:i w:val="0"/>
                <w:color w:val="172033"/>
                <w:sz w:val="17"/>
              </w:rPr>
              <w:t>Check sentence count, source presence, update date, prohibited recommendations, unsupported claims, and metadata consistency.</w:t>
            </w:r>
          </w:p>
        </w:tc>
      </w:tr>
      <w:tr>
        <w:trPr>
          <w:cantSplit w:val="true"/>
        </w:trPr>
        <w:tc>
          <w:tcPr>
            <w:tcW w:type="dxa" w:w="432"/>
            <w:tcMar>
              <w:top w:w="90" w:type="dxa"/>
              <w:start w:w="95" w:type="dxa"/>
              <w:bottom w:w="90" w:type="dxa"/>
              <w:end w:w="95" w:type="dxa"/>
            </w:tcMar>
            <w:vAlign w:val="top"/>
          </w:tcPr>
          <w:p>
            <w:pPr>
              <w:spacing w:after="0"/>
            </w:pPr>
            <w:r>
              <w:rPr>
                <w:rFonts w:ascii="Aptos" w:hAnsi="Aptos"/>
                <w:b w:val="0"/>
                <w:i w:val="0"/>
                <w:color w:val="172033"/>
                <w:sz w:val="17"/>
              </w:rPr>
              <w:t>7</w:t>
            </w:r>
          </w:p>
        </w:tc>
        <w:tc>
          <w:tcPr>
            <w:tcW w:type="dxa" w:w="1944"/>
            <w:tcMar>
              <w:top w:w="90" w:type="dxa"/>
              <w:start w:w="95" w:type="dxa"/>
              <w:bottom w:w="90" w:type="dxa"/>
              <w:end w:w="95" w:type="dxa"/>
            </w:tcMar>
            <w:vAlign w:val="top"/>
          </w:tcPr>
          <w:p>
            <w:pPr>
              <w:spacing w:after="0"/>
            </w:pPr>
            <w:r>
              <w:rPr>
                <w:rFonts w:ascii="Aptos" w:hAnsi="Aptos"/>
                <w:b w:val="0"/>
                <w:i w:val="0"/>
                <w:color w:val="172033"/>
                <w:sz w:val="17"/>
              </w:rPr>
              <w:t>Render</w:t>
            </w:r>
          </w:p>
        </w:tc>
        <w:tc>
          <w:tcPr>
            <w:tcW w:type="dxa" w:w="7920"/>
            <w:tcMar>
              <w:top w:w="90" w:type="dxa"/>
              <w:start w:w="95" w:type="dxa"/>
              <w:bottom w:w="90" w:type="dxa"/>
              <w:end w:w="95" w:type="dxa"/>
            </w:tcMar>
            <w:vAlign w:val="top"/>
          </w:tcPr>
          <w:p>
            <w:pPr>
              <w:spacing w:after="0"/>
            </w:pPr>
            <w:r>
              <w:rPr>
                <w:rFonts w:ascii="Aptos" w:hAnsi="Aptos"/>
                <w:b w:val="0"/>
                <w:i w:val="0"/>
                <w:color w:val="172033"/>
                <w:sz w:val="17"/>
              </w:rPr>
              <w:t>Map the validated result into the appropriate UI response state: factual, refusal, unsupported, privacy, or error.</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1ED"/>
            <w:tcBorders>
              <w:top w:val="single" w:sz="8" w:color="D9DFEA"/>
              <w:left w:val="single" w:sz="12" w:color="B42318"/>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B42318"/>
                <w:sz w:val="20"/>
              </w:rPr>
              <w:t>Response-state precedence</w:t>
            </w:r>
          </w:p>
          <w:p>
            <w:pPr>
              <w:spacing w:after="0"/>
            </w:pPr>
            <w:r>
              <w:rPr>
                <w:rFonts w:ascii="Aptos" w:hAnsi="Aptos"/>
                <w:b w:val="0"/>
                <w:i w:val="0"/>
                <w:color w:val="172033"/>
                <w:sz w:val="19"/>
              </w:rPr>
              <w:t>Guardrails are evaluated before retrieval/generation. Advice, performance-restricted, and PII cases must not be “answered first and corrected later.” System/retrieval errors are only entered after the normal query path cannot safely produce a source-backed result.</w:t>
            </w:r>
          </w:p>
        </w:tc>
      </w:tr>
    </w:tbl>
    <w:p>
      <w:pPr>
        <w:spacing w:after="20"/>
      </w:pPr>
    </w:p>
    <w:p>
      <w:pPr>
        <w:pStyle w:val="Heading1"/>
        <w:keepNext/>
        <w:spacing w:before="240" w:after="100"/>
      </w:pPr>
      <w:r>
        <w:rPr>
          <w:rFonts w:ascii="Aptos" w:hAnsi="Aptos"/>
          <w:b/>
          <w:i w:val="0"/>
          <w:color w:val="123E8C"/>
          <w:sz w:val="30"/>
        </w:rPr>
        <w:t>16. Stage 8 — LLM Generation Rules</w:t>
      </w:r>
    </w:p>
    <w:p>
      <w:pPr>
        <w:spacing w:after="100" w:line="259" w:lineRule="auto"/>
      </w:pPr>
      <w:r>
        <w:rPr>
          <w:rFonts w:ascii="Aptos" w:hAnsi="Aptos"/>
          <w:b w:val="0"/>
          <w:i w:val="0"/>
          <w:color w:val="172033"/>
          <w:sz w:val="21"/>
        </w:rPr>
        <w:t>The LLM must be instructed to use only retrieved context. It must not rely on general model knowledge when the requested fact is absent.</w:t>
      </w:r>
    </w:p>
    <w:p>
      <w:pPr>
        <w:pStyle w:val="ListBullet"/>
        <w:spacing w:after="40"/>
      </w:pPr>
      <w:r>
        <w:rPr>
          <w:rFonts w:ascii="Aptos" w:hAnsi="Aptos"/>
          <w:b w:val="0"/>
          <w:i w:val="0"/>
          <w:color w:val="172033"/>
          <w:sz w:val="20"/>
        </w:rPr>
        <w:t>Facts only.</w:t>
      </w:r>
    </w:p>
    <w:p>
      <w:pPr>
        <w:pStyle w:val="ListBullet"/>
        <w:spacing w:after="40"/>
      </w:pPr>
      <w:r>
        <w:rPr>
          <w:rFonts w:ascii="Aptos" w:hAnsi="Aptos"/>
          <w:b w:val="0"/>
          <w:i w:val="0"/>
          <w:color w:val="172033"/>
          <w:sz w:val="20"/>
        </w:rPr>
        <w:t>No buy/sell/hold recommendation.</w:t>
      </w:r>
    </w:p>
    <w:p>
      <w:pPr>
        <w:pStyle w:val="ListBullet"/>
        <w:spacing w:after="40"/>
      </w:pPr>
      <w:r>
        <w:rPr>
          <w:rFonts w:ascii="Aptos" w:hAnsi="Aptos"/>
          <w:b w:val="0"/>
          <w:i w:val="0"/>
          <w:color w:val="172033"/>
          <w:sz w:val="20"/>
        </w:rPr>
        <w:t>No portfolio allocation advice.</w:t>
      </w:r>
    </w:p>
    <w:p>
      <w:pPr>
        <w:pStyle w:val="ListBullet"/>
        <w:spacing w:after="40"/>
      </w:pPr>
      <w:r>
        <w:rPr>
          <w:rFonts w:ascii="Aptos" w:hAnsi="Aptos"/>
          <w:b w:val="0"/>
          <w:i w:val="0"/>
          <w:color w:val="172033"/>
          <w:sz w:val="20"/>
        </w:rPr>
        <w:t>No ranking schemes as better/worse.</w:t>
      </w:r>
    </w:p>
    <w:p>
      <w:pPr>
        <w:pStyle w:val="ListBullet"/>
        <w:spacing w:after="40"/>
      </w:pPr>
      <w:r>
        <w:rPr>
          <w:rFonts w:ascii="Aptos" w:hAnsi="Aptos"/>
          <w:b w:val="0"/>
          <w:i w:val="0"/>
          <w:color w:val="172033"/>
          <w:sz w:val="20"/>
        </w:rPr>
        <w:t>No performance calculations or comparisons.</w:t>
      </w:r>
    </w:p>
    <w:p>
      <w:pPr>
        <w:pStyle w:val="ListBullet"/>
        <w:spacing w:after="40"/>
      </w:pPr>
      <w:r>
        <w:rPr>
          <w:rFonts w:ascii="Aptos" w:hAnsi="Aptos"/>
          <w:b w:val="0"/>
          <w:i w:val="0"/>
          <w:color w:val="172033"/>
          <w:sz w:val="20"/>
        </w:rPr>
        <w:t>No unsupported facts.</w:t>
      </w:r>
    </w:p>
    <w:p>
      <w:pPr>
        <w:pStyle w:val="ListBullet"/>
        <w:spacing w:after="40"/>
      </w:pPr>
      <w:r>
        <w:rPr>
          <w:rFonts w:ascii="Aptos" w:hAnsi="Aptos"/>
          <w:b w:val="0"/>
          <w:i w:val="0"/>
          <w:color w:val="172033"/>
          <w:sz w:val="20"/>
        </w:rPr>
        <w:t>Narrative answer: maximum 3 sentences.</w:t>
      </w:r>
    </w:p>
    <w:p>
      <w:pPr>
        <w:pStyle w:val="ListBullet"/>
        <w:spacing w:after="40"/>
      </w:pPr>
      <w:r>
        <w:rPr>
          <w:rFonts w:ascii="Aptos" w:hAnsi="Aptos"/>
          <w:b w:val="0"/>
          <w:i w:val="0"/>
          <w:color w:val="172033"/>
          <w:sz w:val="20"/>
        </w:rPr>
        <w:t>Exactly one source link for source-backed responses.</w:t>
      </w:r>
    </w:p>
    <w:p>
      <w:pPr>
        <w:pStyle w:val="ListBullet"/>
        <w:spacing w:after="40"/>
      </w:pPr>
      <w:r>
        <w:rPr>
          <w:rFonts w:ascii="Aptos" w:hAnsi="Aptos"/>
          <w:b w:val="0"/>
          <w:i w:val="0"/>
          <w:color w:val="172033"/>
          <w:sz w:val="20"/>
        </w:rPr>
        <w:t>Include: Last updated from sources: [retrieval date].</w:t>
      </w:r>
    </w:p>
    <w:p>
      <w:pPr>
        <w:pStyle w:val="ListBullet"/>
        <w:spacing w:after="40"/>
      </w:pPr>
      <w:r>
        <w:rPr>
          <w:rFonts w:ascii="Aptos" w:hAnsi="Aptos"/>
          <w:b w:val="0"/>
          <w:i w:val="0"/>
          <w:color w:val="172033"/>
          <w:sz w:val="20"/>
        </w:rPr>
        <w:t>When the answer is not present in retrieved context, explicitly say it was not found in the available source data.</w:t>
      </w:r>
    </w:p>
    <w:p>
      <w:pPr>
        <w:pStyle w:val="ListBullet"/>
        <w:spacing w:after="40"/>
      </w:pPr>
      <w:r>
        <w:rPr>
          <w:rFonts w:ascii="Aptos" w:hAnsi="Aptos"/>
          <w:b w:val="0"/>
          <w:i w:val="0"/>
          <w:color w:val="172033"/>
          <w:sz w:val="20"/>
        </w:rPr>
        <w:t>Do not generate source URLs from model memory; source URLs come from retrieval metadata.</w:t>
      </w:r>
    </w:p>
    <w:p>
      <w:pPr>
        <w:pStyle w:val="Heading1"/>
        <w:keepNext/>
        <w:spacing w:before="240" w:after="100"/>
      </w:pPr>
      <w:r>
        <w:rPr>
          <w:rFonts w:ascii="Aptos" w:hAnsi="Aptos"/>
          <w:b/>
          <w:i w:val="0"/>
          <w:color w:val="123E8C"/>
          <w:sz w:val="30"/>
        </w:rPr>
        <w:t>17. Stage 9 — Guardrails and Response Types</w:t>
      </w:r>
    </w:p>
    <w:p>
      <w:pPr>
        <w:spacing w:after="100" w:line="259" w:lineRule="auto"/>
      </w:pPr>
      <w:r>
        <w:rPr>
          <w:rFonts w:ascii="Aptos" w:hAnsi="Aptos"/>
          <w:b w:val="0"/>
          <w:i w:val="0"/>
          <w:color w:val="172033"/>
          <w:sz w:val="21"/>
        </w:rPr>
        <w:t>The wireframes make the guardrails user-visible rather than treating them as invisible backend behavior. The table below defines the expected product response for each case.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800"/>
            <w:shd w:fill="123E8C"/>
            <w:tcMar>
              <w:top w:w="110" w:type="dxa"/>
              <w:start w:w="95" w:type="dxa"/>
              <w:bottom w:w="110" w:type="dxa"/>
              <w:end w:w="95" w:type="dxa"/>
            </w:tcMar>
            <w:vAlign w:val="center"/>
          </w:tcPr>
          <w:p>
            <w:pPr>
              <w:spacing w:after="0"/>
            </w:pPr>
            <w:r>
              <w:rPr>
                <w:rFonts w:ascii="Aptos" w:hAnsi="Aptos"/>
                <w:b/>
                <w:i w:val="0"/>
                <w:color w:val="FFFFFF"/>
                <w:sz w:val="16"/>
              </w:rPr>
              <w:t>Guardrail / state</w:t>
            </w:r>
          </w:p>
        </w:tc>
        <w:tc>
          <w:tcPr>
            <w:tcW w:type="dxa" w:w="3384"/>
            <w:shd w:fill="123E8C"/>
            <w:tcMar>
              <w:top w:w="110" w:type="dxa"/>
              <w:start w:w="95" w:type="dxa"/>
              <w:bottom w:w="110" w:type="dxa"/>
              <w:end w:w="95" w:type="dxa"/>
            </w:tcMar>
            <w:vAlign w:val="center"/>
          </w:tcPr>
          <w:p>
            <w:pPr>
              <w:spacing w:after="0"/>
            </w:pPr>
            <w:r>
              <w:rPr>
                <w:rFonts w:ascii="Aptos" w:hAnsi="Aptos"/>
                <w:b/>
                <w:i w:val="0"/>
                <w:color w:val="FFFFFF"/>
                <w:sz w:val="16"/>
              </w:rPr>
              <w:t>Example</w:t>
            </w:r>
          </w:p>
        </w:tc>
        <w:tc>
          <w:tcPr>
            <w:tcW w:type="dxa" w:w="5112"/>
            <w:shd w:fill="123E8C"/>
            <w:tcMar>
              <w:top w:w="110" w:type="dxa"/>
              <w:start w:w="95" w:type="dxa"/>
              <w:bottom w:w="110" w:type="dxa"/>
              <w:end w:w="95" w:type="dxa"/>
            </w:tcMar>
            <w:vAlign w:val="center"/>
          </w:tcPr>
          <w:p>
            <w:pPr>
              <w:spacing w:after="0"/>
            </w:pPr>
            <w:r>
              <w:rPr>
                <w:rFonts w:ascii="Aptos" w:hAnsi="Aptos"/>
                <w:b/>
                <w:i w:val="0"/>
                <w:color w:val="FFFFFF"/>
                <w:sz w:val="16"/>
              </w:rPr>
              <w:t>Action</w:t>
            </w:r>
          </w:p>
        </w:tc>
      </w:tr>
      <w:tr>
        <w:trPr>
          <w:cantSplit w:val="true"/>
        </w:trPr>
        <w:tc>
          <w:tcPr>
            <w:tcW w:type="dxa" w:w="1800"/>
            <w:tcMar>
              <w:top w:w="90" w:type="dxa"/>
              <w:start w:w="95" w:type="dxa"/>
              <w:bottom w:w="90" w:type="dxa"/>
              <w:end w:w="95" w:type="dxa"/>
            </w:tcMar>
            <w:vAlign w:val="top"/>
          </w:tcPr>
          <w:p>
            <w:pPr>
              <w:spacing w:after="0"/>
            </w:pPr>
            <w:r>
              <w:rPr>
                <w:rFonts w:ascii="Aptos" w:hAnsi="Aptos"/>
                <w:b w:val="0"/>
                <w:i w:val="0"/>
                <w:color w:val="172033"/>
                <w:sz w:val="16"/>
              </w:rPr>
              <w:t>Advice</w:t>
            </w:r>
          </w:p>
        </w:tc>
        <w:tc>
          <w:tcPr>
            <w:tcW w:type="dxa" w:w="3384"/>
            <w:tcMar>
              <w:top w:w="90" w:type="dxa"/>
              <w:start w:w="95" w:type="dxa"/>
              <w:bottom w:w="90" w:type="dxa"/>
              <w:end w:w="95" w:type="dxa"/>
            </w:tcMar>
            <w:vAlign w:val="top"/>
          </w:tcPr>
          <w:p>
            <w:pPr>
              <w:spacing w:after="0"/>
            </w:pPr>
            <w:r>
              <w:rPr>
                <w:rFonts w:ascii="Aptos" w:hAnsi="Aptos"/>
                <w:b w:val="0"/>
                <w:i w:val="0"/>
                <w:color w:val="172033"/>
                <w:sz w:val="16"/>
              </w:rPr>
              <w:t>“Should I invest in SBI Small Cap Fund?”</w:t>
            </w:r>
          </w:p>
        </w:tc>
        <w:tc>
          <w:tcPr>
            <w:tcW w:type="dxa" w:w="5112"/>
            <w:tcMar>
              <w:top w:w="90" w:type="dxa"/>
              <w:start w:w="95" w:type="dxa"/>
              <w:bottom w:w="90" w:type="dxa"/>
              <w:end w:w="95" w:type="dxa"/>
            </w:tcMar>
            <w:vAlign w:val="top"/>
          </w:tcPr>
          <w:p>
            <w:pPr>
              <w:spacing w:after="0"/>
            </w:pPr>
            <w:r>
              <w:rPr>
                <w:rFonts w:ascii="Aptos" w:hAnsi="Aptos"/>
                <w:b w:val="0"/>
                <w:i w:val="0"/>
                <w:color w:val="172033"/>
                <w:sz w:val="16"/>
              </w:rPr>
              <w:t>Refuse investment advice. Show a factual scheme overview such as category, expense ratio, riskometer, and exit load when supported; expose permitted factual inquiry chips.</w:t>
            </w:r>
          </w:p>
        </w:tc>
      </w:tr>
      <w:tr>
        <w:trPr>
          <w:cantSplit w:val="true"/>
        </w:trPr>
        <w:tc>
          <w:tcPr>
            <w:tcW w:type="dxa" w:w="1800"/>
            <w:shd w:fill="F5F7FA"/>
            <w:tcMar>
              <w:top w:w="90" w:type="dxa"/>
              <w:start w:w="95" w:type="dxa"/>
              <w:bottom w:w="90" w:type="dxa"/>
              <w:end w:w="95" w:type="dxa"/>
            </w:tcMar>
            <w:vAlign w:val="top"/>
          </w:tcPr>
          <w:p>
            <w:pPr>
              <w:spacing w:after="0"/>
            </w:pPr>
            <w:r>
              <w:rPr>
                <w:rFonts w:ascii="Aptos" w:hAnsi="Aptos"/>
                <w:b w:val="0"/>
                <w:i w:val="0"/>
                <w:color w:val="172033"/>
                <w:sz w:val="16"/>
              </w:rPr>
              <w:t>Performance</w:t>
            </w:r>
          </w:p>
        </w:tc>
        <w:tc>
          <w:tcPr>
            <w:tcW w:type="dxa" w:w="3384"/>
            <w:shd w:fill="F5F7FA"/>
            <w:tcMar>
              <w:top w:w="90" w:type="dxa"/>
              <w:start w:w="95" w:type="dxa"/>
              <w:bottom w:w="90" w:type="dxa"/>
              <w:end w:w="95" w:type="dxa"/>
            </w:tcMar>
            <w:vAlign w:val="top"/>
          </w:tcPr>
          <w:p>
            <w:pPr>
              <w:spacing w:after="0"/>
            </w:pPr>
            <w:r>
              <w:rPr>
                <w:rFonts w:ascii="Aptos" w:hAnsi="Aptos"/>
                <w:b w:val="0"/>
                <w:i w:val="0"/>
                <w:color w:val="172033"/>
                <w:sz w:val="16"/>
              </w:rPr>
              <w:t>“Which SBI fund has the highest return?” / “What is the latest benchmark return?”</w:t>
            </w:r>
          </w:p>
        </w:tc>
        <w:tc>
          <w:tcPr>
            <w:tcW w:type="dxa" w:w="5112"/>
            <w:shd w:fill="F5F7FA"/>
            <w:tcMar>
              <w:top w:w="90" w:type="dxa"/>
              <w:start w:w="95" w:type="dxa"/>
              <w:bottom w:w="90" w:type="dxa"/>
              <w:end w:w="95" w:type="dxa"/>
            </w:tcMar>
            <w:vAlign w:val="top"/>
          </w:tcPr>
          <w:p>
            <w:pPr>
              <w:spacing w:after="0"/>
            </w:pPr>
            <w:r>
              <w:rPr>
                <w:rFonts w:ascii="Aptos" w:hAnsi="Aptos"/>
                <w:b w:val="0"/>
                <w:i w:val="0"/>
                <w:color w:val="172033"/>
                <w:sz w:val="16"/>
              </w:rPr>
              <w:t>Do not calculate, compare, rank, forecast, or disclose return performance. Route to a policy-safe response or an error/recovery state as appropriate; benchmark identity/name remains allowed as a scheme fact.</w:t>
            </w:r>
          </w:p>
        </w:tc>
      </w:tr>
      <w:tr>
        <w:trPr>
          <w:cantSplit w:val="true"/>
        </w:trPr>
        <w:tc>
          <w:tcPr>
            <w:tcW w:type="dxa" w:w="1800"/>
            <w:tcMar>
              <w:top w:w="90" w:type="dxa"/>
              <w:start w:w="95" w:type="dxa"/>
              <w:bottom w:w="90" w:type="dxa"/>
              <w:end w:w="95" w:type="dxa"/>
            </w:tcMar>
            <w:vAlign w:val="top"/>
          </w:tcPr>
          <w:p>
            <w:pPr>
              <w:spacing w:after="0"/>
            </w:pPr>
            <w:r>
              <w:rPr>
                <w:rFonts w:ascii="Aptos" w:hAnsi="Aptos"/>
                <w:b w:val="0"/>
                <w:i w:val="0"/>
                <w:color w:val="172033"/>
                <w:sz w:val="16"/>
              </w:rPr>
              <w:t>PII</w:t>
            </w:r>
          </w:p>
        </w:tc>
        <w:tc>
          <w:tcPr>
            <w:tcW w:type="dxa" w:w="3384"/>
            <w:tcMar>
              <w:top w:w="90" w:type="dxa"/>
              <w:start w:w="95" w:type="dxa"/>
              <w:bottom w:w="90" w:type="dxa"/>
              <w:end w:w="95" w:type="dxa"/>
            </w:tcMar>
            <w:vAlign w:val="top"/>
          </w:tcPr>
          <w:p>
            <w:pPr>
              <w:spacing w:after="0"/>
            </w:pPr>
            <w:r>
              <w:rPr>
                <w:rFonts w:ascii="Aptos" w:hAnsi="Aptos"/>
                <w:b w:val="0"/>
                <w:i w:val="0"/>
                <w:color w:val="172033"/>
                <w:sz w:val="16"/>
              </w:rPr>
              <w:t>“My PAN is … and Aadhaar is …”</w:t>
            </w:r>
          </w:p>
        </w:tc>
        <w:tc>
          <w:tcPr>
            <w:tcW w:type="dxa" w:w="5112"/>
            <w:tcMar>
              <w:top w:w="90" w:type="dxa"/>
              <w:start w:w="95" w:type="dxa"/>
              <w:bottom w:w="90" w:type="dxa"/>
              <w:end w:w="95" w:type="dxa"/>
            </w:tcMar>
            <w:vAlign w:val="top"/>
          </w:tcPr>
          <w:p>
            <w:pPr>
              <w:spacing w:after="0"/>
            </w:pPr>
            <w:r>
              <w:rPr>
                <w:rFonts w:ascii="Aptos" w:hAnsi="Aptos"/>
                <w:b w:val="0"/>
                <w:i w:val="0"/>
                <w:color w:val="172033"/>
                <w:sz w:val="16"/>
              </w:rPr>
              <w:t>Mask/redact sensitive tokens before downstream processing; explain that the assistant cannot access portfolios or process credentials; provide official self-service routes for portfolio/statement tasks when those routes are part of the approved UI.</w:t>
            </w:r>
          </w:p>
        </w:tc>
      </w:tr>
      <w:tr>
        <w:trPr>
          <w:cantSplit w:val="true"/>
        </w:trPr>
        <w:tc>
          <w:tcPr>
            <w:tcW w:type="dxa" w:w="1800"/>
            <w:shd w:fill="F5F7FA"/>
            <w:tcMar>
              <w:top w:w="90" w:type="dxa"/>
              <w:start w:w="95" w:type="dxa"/>
              <w:bottom w:w="90" w:type="dxa"/>
              <w:end w:w="95" w:type="dxa"/>
            </w:tcMar>
            <w:vAlign w:val="top"/>
          </w:tcPr>
          <w:p>
            <w:pPr>
              <w:spacing w:after="0"/>
            </w:pPr>
            <w:r>
              <w:rPr>
                <w:rFonts w:ascii="Aptos" w:hAnsi="Aptos"/>
                <w:b w:val="0"/>
                <w:i w:val="0"/>
                <w:color w:val="172033"/>
                <w:sz w:val="16"/>
              </w:rPr>
              <w:t>Private contact / unavailable personal data</w:t>
            </w:r>
          </w:p>
        </w:tc>
        <w:tc>
          <w:tcPr>
            <w:tcW w:type="dxa" w:w="3384"/>
            <w:shd w:fill="F5F7FA"/>
            <w:tcMar>
              <w:top w:w="90" w:type="dxa"/>
              <w:start w:w="95" w:type="dxa"/>
              <w:bottom w:w="90" w:type="dxa"/>
              <w:end w:w="95" w:type="dxa"/>
            </w:tcMar>
            <w:vAlign w:val="top"/>
          </w:tcPr>
          <w:p>
            <w:pPr>
              <w:spacing w:after="0"/>
            </w:pPr>
            <w:r>
              <w:rPr>
                <w:rFonts w:ascii="Aptos" w:hAnsi="Aptos"/>
                <w:b w:val="0"/>
                <w:i w:val="0"/>
                <w:color w:val="172033"/>
                <w:sz w:val="16"/>
              </w:rPr>
              <w:t>“What is the fund manager’s personal phone number?”</w:t>
            </w:r>
          </w:p>
        </w:tc>
        <w:tc>
          <w:tcPr>
            <w:tcW w:type="dxa" w:w="5112"/>
            <w:shd w:fill="F5F7FA"/>
            <w:tcMar>
              <w:top w:w="90" w:type="dxa"/>
              <w:start w:w="95" w:type="dxa"/>
              <w:bottom w:w="90" w:type="dxa"/>
              <w:end w:w="95" w:type="dxa"/>
            </w:tcMar>
            <w:vAlign w:val="top"/>
          </w:tcPr>
          <w:p>
            <w:pPr>
              <w:spacing w:after="0"/>
            </w:pPr>
            <w:r>
              <w:rPr>
                <w:rFonts w:ascii="Aptos" w:hAnsi="Aptos"/>
                <w:b w:val="0"/>
                <w:i w:val="0"/>
                <w:color w:val="172033"/>
                <w:sz w:val="16"/>
              </w:rPr>
              <w:t>State that the information is not available in the approved source data and that personal contact details are not disclosed; suggest supported factual questions.</w:t>
            </w:r>
          </w:p>
        </w:tc>
      </w:tr>
      <w:tr>
        <w:trPr>
          <w:cantSplit w:val="true"/>
        </w:trPr>
        <w:tc>
          <w:tcPr>
            <w:tcW w:type="dxa" w:w="1800"/>
            <w:tcMar>
              <w:top w:w="90" w:type="dxa"/>
              <w:start w:w="95" w:type="dxa"/>
              <w:bottom w:w="90" w:type="dxa"/>
              <w:end w:w="95" w:type="dxa"/>
            </w:tcMar>
            <w:vAlign w:val="top"/>
          </w:tcPr>
          <w:p>
            <w:pPr>
              <w:spacing w:after="0"/>
            </w:pPr>
            <w:r>
              <w:rPr>
                <w:rFonts w:ascii="Aptos" w:hAnsi="Aptos"/>
                <w:b w:val="0"/>
                <w:i w:val="0"/>
                <w:color w:val="172033"/>
                <w:sz w:val="16"/>
              </w:rPr>
              <w:t>Unsupported fact</w:t>
            </w:r>
          </w:p>
        </w:tc>
        <w:tc>
          <w:tcPr>
            <w:tcW w:type="dxa" w:w="3384"/>
            <w:tcMar>
              <w:top w:w="90" w:type="dxa"/>
              <w:start w:w="95" w:type="dxa"/>
              <w:bottom w:w="90" w:type="dxa"/>
              <w:end w:w="95" w:type="dxa"/>
            </w:tcMar>
            <w:vAlign w:val="top"/>
          </w:tcPr>
          <w:p>
            <w:pPr>
              <w:spacing w:after="0"/>
            </w:pPr>
            <w:r>
              <w:rPr>
                <w:rFonts w:ascii="Aptos" w:hAnsi="Aptos"/>
                <w:b w:val="0"/>
                <w:i w:val="0"/>
                <w:color w:val="172033"/>
                <w:sz w:val="16"/>
              </w:rPr>
              <w:t>Question requests a value not present in the corpus.</w:t>
            </w:r>
          </w:p>
        </w:tc>
        <w:tc>
          <w:tcPr>
            <w:tcW w:type="dxa" w:w="5112"/>
            <w:tcMar>
              <w:top w:w="90" w:type="dxa"/>
              <w:start w:w="95" w:type="dxa"/>
              <w:bottom w:w="90" w:type="dxa"/>
              <w:end w:w="95" w:type="dxa"/>
            </w:tcMar>
            <w:vAlign w:val="top"/>
          </w:tcPr>
          <w:p>
            <w:pPr>
              <w:spacing w:after="0"/>
            </w:pPr>
            <w:r>
              <w:rPr>
                <w:rFonts w:ascii="Aptos" w:hAnsi="Aptos"/>
                <w:b w:val="0"/>
                <w:i w:val="0"/>
                <w:color w:val="172033"/>
                <w:sz w:val="16"/>
              </w:rPr>
              <w:t>Say it was not found in the available source data; provide relevant standard-fact shortcuts where useful; do not hallucinate.</w:t>
            </w:r>
          </w:p>
        </w:tc>
      </w:tr>
      <w:tr>
        <w:trPr>
          <w:cantSplit w:val="true"/>
        </w:trPr>
        <w:tc>
          <w:tcPr>
            <w:tcW w:type="dxa" w:w="1800"/>
            <w:shd w:fill="F5F7FA"/>
            <w:tcMar>
              <w:top w:w="90" w:type="dxa"/>
              <w:start w:w="95" w:type="dxa"/>
              <w:bottom w:w="90" w:type="dxa"/>
              <w:end w:w="95" w:type="dxa"/>
            </w:tcMar>
            <w:vAlign w:val="top"/>
          </w:tcPr>
          <w:p>
            <w:pPr>
              <w:spacing w:after="0"/>
            </w:pPr>
            <w:r>
              <w:rPr>
                <w:rFonts w:ascii="Aptos" w:hAnsi="Aptos"/>
                <w:b w:val="0"/>
                <w:i w:val="0"/>
                <w:color w:val="172033"/>
                <w:sz w:val="16"/>
              </w:rPr>
              <w:t>Retrieval/system error</w:t>
            </w:r>
          </w:p>
        </w:tc>
        <w:tc>
          <w:tcPr>
            <w:tcW w:type="dxa" w:w="3384"/>
            <w:shd w:fill="F5F7FA"/>
            <w:tcMar>
              <w:top w:w="90" w:type="dxa"/>
              <w:start w:w="95" w:type="dxa"/>
              <w:bottom w:w="90" w:type="dxa"/>
              <w:end w:w="95" w:type="dxa"/>
            </w:tcMar>
            <w:vAlign w:val="top"/>
          </w:tcPr>
          <w:p>
            <w:pPr>
              <w:spacing w:after="0"/>
            </w:pPr>
            <w:r>
              <w:rPr>
                <w:rFonts w:ascii="Aptos" w:hAnsi="Aptos"/>
                <w:b w:val="0"/>
                <w:i w:val="0"/>
                <w:color w:val="172033"/>
                <w:sz w:val="16"/>
              </w:rPr>
              <w:t>Source retrieval fails or times out.</w:t>
            </w:r>
          </w:p>
        </w:tc>
        <w:tc>
          <w:tcPr>
            <w:tcW w:type="dxa" w:w="5112"/>
            <w:shd w:fill="F5F7FA"/>
            <w:tcMar>
              <w:top w:w="90" w:type="dxa"/>
              <w:start w:w="95" w:type="dxa"/>
              <w:bottom w:w="90" w:type="dxa"/>
              <w:end w:w="95" w:type="dxa"/>
            </w:tcMar>
            <w:vAlign w:val="top"/>
          </w:tcPr>
          <w:p>
            <w:pPr>
              <w:spacing w:after="0"/>
            </w:pPr>
            <w:r>
              <w:rPr>
                <w:rFonts w:ascii="Aptos" w:hAnsi="Aptos"/>
                <w:b w:val="0"/>
                <w:i w:val="0"/>
                <w:color w:val="172033"/>
                <w:sz w:val="16"/>
              </w:rPr>
              <w:t>Show error state with Retry, Ask a different question, and standard scheme-fact shortcuts. Do not invent a source or claim that data was successfully retrieved.</w:t>
            </w:r>
          </w:p>
        </w:tc>
      </w:tr>
    </w:tbl>
    <w:p>
      <w:pPr>
        <w:spacing w:after="20"/>
      </w:pPr>
    </w:p>
    <w:p>
      <w:pPr>
        <w:pStyle w:val="Heading1"/>
        <w:keepNext/>
        <w:spacing w:before="240" w:after="100"/>
      </w:pPr>
      <w:r>
        <w:rPr>
          <w:rFonts w:ascii="Aptos" w:hAnsi="Aptos"/>
          <w:b/>
          <w:i w:val="0"/>
          <w:color w:val="123E8C"/>
          <w:sz w:val="30"/>
        </w:rPr>
        <w:t>18. Stage 10 — Citation and Metadata Handling</w:t>
      </w:r>
    </w:p>
    <w:p>
      <w:pPr>
        <w:pStyle w:val="ListBullet"/>
        <w:spacing w:after="40"/>
      </w:pPr>
      <w:r>
        <w:rPr>
          <w:rFonts w:ascii="Aptos" w:hAnsi="Aptos"/>
          <w:b/>
          <w:i w:val="0"/>
          <w:color w:val="172033"/>
          <w:sz w:val="20"/>
        </w:rPr>
        <w:t xml:space="preserve">Factual source row: </w:t>
      </w:r>
      <w:r>
        <w:rPr>
          <w:rFonts w:ascii="Aptos" w:hAnsi="Aptos"/>
          <w:b w:val="0"/>
          <w:i w:val="0"/>
          <w:color w:val="172033"/>
          <w:sz w:val="20"/>
        </w:rPr>
        <w:t>show one clear source link using the retrieved source URL and the source display name.</w:t>
      </w:r>
    </w:p>
    <w:p>
      <w:pPr>
        <w:pStyle w:val="ListBullet"/>
        <w:spacing w:after="40"/>
      </w:pPr>
      <w:r>
        <w:rPr>
          <w:rFonts w:ascii="Aptos" w:hAnsi="Aptos"/>
          <w:b/>
          <w:i w:val="0"/>
          <w:color w:val="172033"/>
          <w:sz w:val="20"/>
        </w:rPr>
        <w:t xml:space="preserve">Last updated: </w:t>
      </w:r>
      <w:r>
        <w:rPr>
          <w:rFonts w:ascii="Aptos" w:hAnsi="Aptos"/>
          <w:b w:val="0"/>
          <w:i w:val="0"/>
          <w:color w:val="172033"/>
          <w:sz w:val="20"/>
        </w:rPr>
        <w:t>show “Last updated from sources: [date]” on source-backed factual responses.</w:t>
      </w:r>
    </w:p>
    <w:p>
      <w:pPr>
        <w:pStyle w:val="ListBullet"/>
        <w:spacing w:after="40"/>
      </w:pPr>
      <w:r>
        <w:rPr>
          <w:rFonts w:ascii="Aptos" w:hAnsi="Aptos"/>
          <w:b/>
          <w:i w:val="0"/>
          <w:color w:val="172033"/>
          <w:sz w:val="20"/>
        </w:rPr>
        <w:t xml:space="preserve">Policy responses: </w:t>
      </w:r>
      <w:r>
        <w:rPr>
          <w:rFonts w:ascii="Aptos" w:hAnsi="Aptos"/>
          <w:b w:val="0"/>
          <w:i w:val="0"/>
          <w:color w:val="172033"/>
          <w:sz w:val="20"/>
        </w:rPr>
        <w:t>advice/privacy/refusal states may use policy metadata such as “Policy verified: [date]” when the response is grounded in a product policy/source rather than a scheme fact.</w:t>
      </w:r>
    </w:p>
    <w:p>
      <w:pPr>
        <w:pStyle w:val="ListBullet"/>
        <w:spacing w:after="40"/>
      </w:pPr>
      <w:r>
        <w:rPr>
          <w:rFonts w:ascii="Aptos" w:hAnsi="Aptos"/>
          <w:b/>
          <w:i w:val="0"/>
          <w:color w:val="172033"/>
          <w:sz w:val="20"/>
        </w:rPr>
        <w:t xml:space="preserve">Error state: </w:t>
      </w:r>
      <w:r>
        <w:rPr>
          <w:rFonts w:ascii="Aptos" w:hAnsi="Aptos"/>
          <w:b w:val="0"/>
          <w:i w:val="0"/>
          <w:color w:val="172033"/>
          <w:sz w:val="20"/>
        </w:rPr>
        <w:t>do not show a fabricated source link; standard-fact shortcut links may be shown as separate recovery actions.</w:t>
      </w:r>
    </w:p>
    <w:p>
      <w:pPr>
        <w:pStyle w:val="ListBullet"/>
        <w:spacing w:after="40"/>
      </w:pPr>
      <w:r>
        <w:rPr>
          <w:rFonts w:ascii="Aptos" w:hAnsi="Aptos"/>
          <w:b/>
          <w:i w:val="0"/>
          <w:color w:val="172033"/>
          <w:sz w:val="20"/>
        </w:rPr>
        <w:t xml:space="preserve">Programmatic rendering: </w:t>
      </w:r>
      <w:r>
        <w:rPr>
          <w:rFonts w:ascii="Aptos" w:hAnsi="Aptos"/>
          <w:b w:val="0"/>
          <w:i w:val="0"/>
          <w:color w:val="172033"/>
          <w:sz w:val="20"/>
        </w:rPr>
        <w:t>retrieval should return source metadata; the presentation layer should append/render the source URL rather than trusting the LLM to reproduce it.</w:t>
      </w:r>
    </w:p>
    <w:p>
      <w:pPr>
        <w:pStyle w:val="Heading1"/>
        <w:keepNext/>
        <w:spacing w:before="240" w:after="100"/>
      </w:pPr>
      <w:r>
        <w:rPr>
          <w:rFonts w:ascii="Aptos" w:hAnsi="Aptos"/>
          <w:b/>
          <w:i w:val="0"/>
          <w:color w:val="123E8C"/>
          <w:sz w:val="30"/>
        </w:rPr>
        <w:t>19. Wireframe-Aligned UI Specification</w:t>
      </w:r>
    </w:p>
    <w:p>
      <w:pPr>
        <w:spacing w:after="100" w:line="259" w:lineRule="auto"/>
      </w:pPr>
      <w:r>
        <w:rPr>
          <w:rFonts w:ascii="Aptos" w:hAnsi="Aptos"/>
          <w:b w:val="0"/>
          <w:i w:val="0"/>
          <w:color w:val="172033"/>
          <w:sz w:val="21"/>
        </w:rPr>
        <w:t>This section replaces the earlier “Tiny UI” description with the concrete product surface represented in the supplied wireframes. It specifies presentation and interaction requirements without changing the core RAG architecture.</w:t>
      </w:r>
    </w:p>
    <w:p>
      <w:pPr>
        <w:pStyle w:val="Heading2"/>
        <w:keepNext/>
        <w:spacing w:before="160" w:after="100"/>
      </w:pPr>
      <w:r>
        <w:rPr>
          <w:rFonts w:ascii="Aptos" w:hAnsi="Aptos"/>
          <w:b/>
          <w:i w:val="0"/>
          <w:color w:val="0A56C9"/>
          <w:sz w:val="24"/>
        </w:rPr>
        <w:t>19.1 Assistant Home / Empty State</w:t>
      </w:r>
    </w:p>
    <w:p>
      <w:pPr>
        <w:spacing w:after="60"/>
      </w:pPr>
      <w:r>
        <w:rPr>
          <w:rFonts w:ascii="Aptos" w:hAnsi="Aptos"/>
          <w:b/>
          <w:i w:val="0"/>
          <w:color w:val="172033"/>
          <w:sz w:val="20"/>
        </w:rPr>
        <w:t xml:space="preserve">Purpose: </w:t>
      </w:r>
      <w:r>
        <w:rPr>
          <w:rFonts w:ascii="Aptos" w:hAnsi="Aptos"/>
          <w:b w:val="0"/>
          <w:i w:val="0"/>
          <w:color w:val="172033"/>
          <w:sz w:val="20"/>
        </w:rPr>
        <w:t>Give users a clear entry point into the facts-only knowledge desk.</w:t>
      </w:r>
    </w:p>
    <w:p>
      <w:pPr>
        <w:spacing w:after="60"/>
      </w:pPr>
      <w:r>
        <w:rPr>
          <w:rFonts w:ascii="Aptos" w:hAnsi="Aptos"/>
          <w:b/>
          <w:i w:val="0"/>
          <w:color w:val="172033"/>
          <w:sz w:val="20"/>
        </w:rPr>
        <w:t xml:space="preserve">Header: </w:t>
      </w:r>
      <w:r>
        <w:rPr>
          <w:rFonts w:ascii="Aptos" w:hAnsi="Aptos"/>
          <w:b w:val="0"/>
          <w:i w:val="0"/>
          <w:color w:val="172033"/>
          <w:sz w:val="20"/>
        </w:rPr>
        <w:t>SBI Mutual Fund branding, Assistant selected, Schemes, Help, About, and profile icon.</w:t>
      </w:r>
    </w:p>
    <w:p>
      <w:pPr>
        <w:spacing w:after="60"/>
      </w:pPr>
      <w:r>
        <w:rPr>
          <w:rFonts w:ascii="Aptos" w:hAnsi="Aptos"/>
          <w:b/>
          <w:i w:val="0"/>
          <w:color w:val="172033"/>
          <w:sz w:val="20"/>
        </w:rPr>
        <w:t xml:space="preserve">Hero: </w:t>
      </w:r>
      <w:r>
        <w:rPr>
          <w:rFonts w:ascii="Aptos" w:hAnsi="Aptos"/>
          <w:b w:val="0"/>
          <w:i w:val="0"/>
          <w:color w:val="172033"/>
          <w:sz w:val="20"/>
        </w:rPr>
        <w:t>AI Assisted Knowledge Desk label; “SBI Mutual Fund FAQ Assistant”; factual subtitle.</w:t>
      </w:r>
    </w:p>
    <w:p>
      <w:pPr>
        <w:spacing w:after="60"/>
      </w:pPr>
      <w:r>
        <w:rPr>
          <w:rFonts w:ascii="Aptos" w:hAnsi="Aptos"/>
          <w:b/>
          <w:i w:val="0"/>
          <w:color w:val="172033"/>
          <w:sz w:val="20"/>
        </w:rPr>
        <w:t xml:space="preserve">Guardrail notice: </w:t>
      </w:r>
      <w:r>
        <w:rPr>
          <w:rFonts w:ascii="Aptos" w:hAnsi="Aptos"/>
          <w:b w:val="0"/>
          <w:i w:val="0"/>
          <w:color w:val="172033"/>
          <w:sz w:val="20"/>
        </w:rPr>
        <w:t>Visible “Facts-only. No investment advice.” notice.</w:t>
      </w:r>
    </w:p>
    <w:p>
      <w:pPr>
        <w:spacing w:after="60"/>
      </w:pPr>
      <w:r>
        <w:rPr>
          <w:rFonts w:ascii="Aptos" w:hAnsi="Aptos"/>
          <w:b/>
          <w:i w:val="0"/>
          <w:color w:val="172033"/>
          <w:sz w:val="20"/>
        </w:rPr>
        <w:t xml:space="preserve">Example cards: </w:t>
      </w:r>
      <w:r>
        <w:rPr>
          <w:rFonts w:ascii="Aptos" w:hAnsi="Aptos"/>
          <w:b w:val="0"/>
          <w:i w:val="0"/>
          <w:color w:val="172033"/>
          <w:sz w:val="20"/>
        </w:rPr>
        <w:t>Three suggested questions: expense ratio of SBI Flexicap Fund; ELSS lock-in period; capital-gains statement download.</w:t>
      </w:r>
    </w:p>
    <w:p>
      <w:pPr>
        <w:spacing w:after="60"/>
      </w:pPr>
      <w:r>
        <w:rPr>
          <w:rFonts w:ascii="Aptos" w:hAnsi="Aptos"/>
          <w:b/>
          <w:i w:val="0"/>
          <w:color w:val="172033"/>
          <w:sz w:val="20"/>
        </w:rPr>
        <w:t xml:space="preserve">Popular topics: </w:t>
      </w:r>
      <w:r>
        <w:rPr>
          <w:rFonts w:ascii="Aptos" w:hAnsi="Aptos"/>
          <w:b w:val="0"/>
          <w:i w:val="0"/>
          <w:color w:val="172033"/>
          <w:sz w:val="20"/>
        </w:rPr>
        <w:t>Expense Ratio, Minimum SIP, Exit Load, Riskometer, Benchmark, ELSS Lock-in, Statements, Fund Category.</w:t>
      </w:r>
    </w:p>
    <w:p>
      <w:pPr>
        <w:spacing w:after="60"/>
      </w:pPr>
      <w:r>
        <w:rPr>
          <w:rFonts w:ascii="Aptos" w:hAnsi="Aptos"/>
          <w:b/>
          <w:i w:val="0"/>
          <w:color w:val="172033"/>
          <w:sz w:val="20"/>
        </w:rPr>
        <w:t xml:space="preserve">Composer: </w:t>
      </w:r>
      <w:r>
        <w:rPr>
          <w:rFonts w:ascii="Aptos" w:hAnsi="Aptos"/>
          <w:b w:val="0"/>
          <w:i w:val="0"/>
          <w:color w:val="172033"/>
          <w:sz w:val="20"/>
        </w:rPr>
        <w:t>Single question input and Ask action; helper text may explain that answers are sourced from verified scheme data.</w:t>
      </w:r>
    </w:p>
    <w:p>
      <w:pPr>
        <w:pStyle w:val="Heading2"/>
        <w:keepNext/>
        <w:spacing w:before="160" w:after="100"/>
      </w:pPr>
      <w:r>
        <w:rPr>
          <w:rFonts w:ascii="Aptos" w:hAnsi="Aptos"/>
          <w:b/>
          <w:i w:val="0"/>
          <w:color w:val="0A56C9"/>
          <w:sz w:val="24"/>
        </w:rPr>
        <w:t>19.2 Retrieval / Loading State</w:t>
      </w:r>
    </w:p>
    <w:p>
      <w:pPr>
        <w:spacing w:after="60"/>
      </w:pPr>
      <w:r>
        <w:rPr>
          <w:rFonts w:ascii="Aptos" w:hAnsi="Aptos"/>
          <w:b/>
          <w:i w:val="0"/>
          <w:color w:val="172033"/>
          <w:sz w:val="20"/>
        </w:rPr>
        <w:t xml:space="preserve">User message: </w:t>
      </w:r>
      <w:r>
        <w:rPr>
          <w:rFonts w:ascii="Aptos" w:hAnsi="Aptos"/>
          <w:b w:val="0"/>
          <w:i w:val="0"/>
          <w:color w:val="172033"/>
          <w:sz w:val="20"/>
        </w:rPr>
        <w:t>Display the submitted question as the user chat bubble with timestamp.</w:t>
      </w:r>
    </w:p>
    <w:p>
      <w:pPr>
        <w:spacing w:after="60"/>
      </w:pPr>
      <w:r>
        <w:rPr>
          <w:rFonts w:ascii="Aptos" w:hAnsi="Aptos"/>
          <w:b/>
          <w:i w:val="0"/>
          <w:color w:val="172033"/>
          <w:sz w:val="20"/>
        </w:rPr>
        <w:t xml:space="preserve">Assistant loading: </w:t>
      </w:r>
      <w:r>
        <w:rPr>
          <w:rFonts w:ascii="Aptos" w:hAnsi="Aptos"/>
          <w:b w:val="0"/>
          <w:i w:val="0"/>
          <w:color w:val="172033"/>
          <w:sz w:val="20"/>
        </w:rPr>
        <w:t>Show “Searching relevant information from SBI Mutual Fund sources…” with lightweight loading/skeleton treatment.</w:t>
      </w:r>
    </w:p>
    <w:p>
      <w:pPr>
        <w:spacing w:after="60"/>
      </w:pPr>
      <w:r>
        <w:rPr>
          <w:rFonts w:ascii="Aptos" w:hAnsi="Aptos"/>
          <w:b/>
          <w:i w:val="0"/>
          <w:color w:val="172033"/>
          <w:sz w:val="20"/>
        </w:rPr>
        <w:t xml:space="preserve">Scheme context: </w:t>
      </w:r>
      <w:r>
        <w:rPr>
          <w:rFonts w:ascii="Aptos" w:hAnsi="Aptos"/>
          <w:b w:val="0"/>
          <w:i w:val="0"/>
          <w:color w:val="172033"/>
          <w:sz w:val="20"/>
        </w:rPr>
        <w:t>Show a scheme-context chip when the question identifies a scheme, e.g., “SBI Flexicap Fund”.</w:t>
      </w:r>
    </w:p>
    <w:p>
      <w:pPr>
        <w:spacing w:after="60"/>
      </w:pPr>
      <w:r>
        <w:rPr>
          <w:rFonts w:ascii="Aptos" w:hAnsi="Aptos"/>
          <w:b/>
          <w:i w:val="0"/>
          <w:color w:val="172033"/>
          <w:sz w:val="20"/>
        </w:rPr>
        <w:t xml:space="preserve">Source context: </w:t>
      </w:r>
      <w:r>
        <w:rPr>
          <w:rFonts w:ascii="Aptos" w:hAnsi="Aptos"/>
          <w:b w:val="0"/>
          <w:i w:val="0"/>
          <w:color w:val="172033"/>
          <w:sz w:val="20"/>
        </w:rPr>
        <w:t>Show a contextual source chip such as “Official SID / Factsheet” only when the retrieved metadata supports that label.</w:t>
      </w:r>
    </w:p>
    <w:p>
      <w:pPr>
        <w:spacing w:after="60"/>
      </w:pPr>
      <w:r>
        <w:rPr>
          <w:rFonts w:ascii="Aptos" w:hAnsi="Aptos"/>
          <w:b/>
          <w:i w:val="0"/>
          <w:color w:val="172033"/>
          <w:sz w:val="20"/>
        </w:rPr>
        <w:t xml:space="preserve">Composer: </w:t>
      </w:r>
      <w:r>
        <w:rPr>
          <w:rFonts w:ascii="Aptos" w:hAnsi="Aptos"/>
          <w:b w:val="0"/>
          <w:i w:val="0"/>
          <w:color w:val="172033"/>
          <w:sz w:val="20"/>
        </w:rPr>
        <w:t>Keep the question input accessible near the bottom of the experience; do not block the page on the loader.</w:t>
      </w:r>
    </w:p>
    <w:p>
      <w:pPr>
        <w:pStyle w:val="Heading2"/>
        <w:keepNext/>
        <w:spacing w:before="160" w:after="100"/>
      </w:pPr>
      <w:r>
        <w:rPr>
          <w:rFonts w:ascii="Aptos" w:hAnsi="Aptos"/>
          <w:b/>
          <w:i w:val="0"/>
          <w:color w:val="0A56C9"/>
          <w:sz w:val="24"/>
        </w:rPr>
        <w:t>19.3 Factual Answer State</w:t>
      </w:r>
    </w:p>
    <w:p>
      <w:pPr>
        <w:spacing w:after="60"/>
      </w:pPr>
      <w:r>
        <w:rPr>
          <w:rFonts w:ascii="Aptos" w:hAnsi="Aptos"/>
          <w:b/>
          <w:i w:val="0"/>
          <w:color w:val="172033"/>
          <w:sz w:val="20"/>
        </w:rPr>
        <w:t xml:space="preserve">Answer card: </w:t>
      </w:r>
      <w:r>
        <w:rPr>
          <w:rFonts w:ascii="Aptos" w:hAnsi="Aptos"/>
          <w:b w:val="0"/>
          <w:i w:val="0"/>
          <w:color w:val="172033"/>
          <w:sz w:val="20"/>
        </w:rPr>
        <w:t>Scheme name, category badge, narrative answer, structured fact metrics where relevant.</w:t>
      </w:r>
    </w:p>
    <w:p>
      <w:pPr>
        <w:spacing w:after="60"/>
      </w:pPr>
      <w:r>
        <w:rPr>
          <w:rFonts w:ascii="Aptos" w:hAnsi="Aptos"/>
          <w:b/>
          <w:i w:val="0"/>
          <w:color w:val="172033"/>
          <w:sz w:val="20"/>
        </w:rPr>
        <w:t xml:space="preserve">Structured metrics: </w:t>
      </w:r>
      <w:r>
        <w:rPr>
          <w:rFonts w:ascii="Aptos" w:hAnsi="Aptos"/>
          <w:b w:val="0"/>
          <w:i w:val="0"/>
          <w:color w:val="172033"/>
          <w:sz w:val="20"/>
        </w:rPr>
        <w:t>For expense-ratio questions, the wireframe shows Regular and Direct values as separate factual metrics. Similar layouts may be used for supported facts such as riskometer or exit load.</w:t>
      </w:r>
    </w:p>
    <w:p>
      <w:pPr>
        <w:spacing w:after="60"/>
      </w:pPr>
      <w:r>
        <w:rPr>
          <w:rFonts w:ascii="Aptos" w:hAnsi="Aptos"/>
          <w:b/>
          <w:i w:val="0"/>
          <w:color w:val="172033"/>
          <w:sz w:val="20"/>
        </w:rPr>
        <w:t xml:space="preserve">Source row: </w:t>
      </w:r>
      <w:r>
        <w:rPr>
          <w:rFonts w:ascii="Aptos" w:hAnsi="Aptos"/>
          <w:b w:val="0"/>
          <w:i w:val="0"/>
          <w:color w:val="172033"/>
          <w:sz w:val="20"/>
        </w:rPr>
        <w:t>One clear source link plus last-updated metadata.</w:t>
      </w:r>
    </w:p>
    <w:p>
      <w:pPr>
        <w:spacing w:after="60"/>
      </w:pPr>
      <w:r>
        <w:rPr>
          <w:rFonts w:ascii="Aptos" w:hAnsi="Aptos"/>
          <w:b/>
          <w:i w:val="0"/>
          <w:color w:val="172033"/>
          <w:sz w:val="20"/>
        </w:rPr>
        <w:t xml:space="preserve">Interactions: </w:t>
      </w:r>
      <w:r>
        <w:rPr>
          <w:rFonts w:ascii="Aptos" w:hAnsi="Aptos"/>
          <w:b w:val="0"/>
          <w:i w:val="0"/>
          <w:color w:val="172033"/>
          <w:sz w:val="20"/>
        </w:rPr>
        <w:t>Thumbs up, thumbs down, and copy affordances.</w:t>
      </w:r>
    </w:p>
    <w:p>
      <w:pPr>
        <w:spacing w:after="60"/>
      </w:pPr>
      <w:r>
        <w:rPr>
          <w:rFonts w:ascii="Aptos" w:hAnsi="Aptos"/>
          <w:b/>
          <w:i w:val="0"/>
          <w:color w:val="172033"/>
          <w:sz w:val="20"/>
        </w:rPr>
        <w:t xml:space="preserve">Suggested questions: </w:t>
      </w:r>
      <w:r>
        <w:rPr>
          <w:rFonts w:ascii="Aptos" w:hAnsi="Aptos"/>
          <w:b w:val="0"/>
          <w:i w:val="0"/>
          <w:color w:val="172033"/>
          <w:sz w:val="20"/>
        </w:rPr>
        <w:t>Contextual follow-ups such as Exit load and Minimum SIP amount.</w:t>
      </w:r>
    </w:p>
    <w:p>
      <w:pPr>
        <w:pStyle w:val="Heading2"/>
        <w:keepNext/>
        <w:spacing w:before="160" w:after="100"/>
      </w:pPr>
      <w:r>
        <w:rPr>
          <w:rFonts w:ascii="Aptos" w:hAnsi="Aptos"/>
          <w:b/>
          <w:i w:val="0"/>
          <w:color w:val="0A56C9"/>
          <w:sz w:val="24"/>
        </w:rPr>
        <w:t>19.4 Advice Refusal State</w:t>
      </w:r>
    </w:p>
    <w:p>
      <w:pPr>
        <w:spacing w:after="60"/>
      </w:pPr>
      <w:r>
        <w:rPr>
          <w:rFonts w:ascii="Aptos" w:hAnsi="Aptos"/>
          <w:b/>
          <w:i w:val="0"/>
          <w:color w:val="172033"/>
          <w:sz w:val="20"/>
        </w:rPr>
        <w:t xml:space="preserve">Refusal: </w:t>
      </w:r>
      <w:r>
        <w:rPr>
          <w:rFonts w:ascii="Aptos" w:hAnsi="Aptos"/>
          <w:b w:val="0"/>
          <w:i w:val="0"/>
          <w:color w:val="172033"/>
          <w:sz w:val="20"/>
        </w:rPr>
        <w:t>Lead with a clear “I can’t provide investment advice” message.</w:t>
      </w:r>
    </w:p>
    <w:p>
      <w:pPr>
        <w:spacing w:after="60"/>
      </w:pPr>
      <w:r>
        <w:rPr>
          <w:rFonts w:ascii="Aptos" w:hAnsi="Aptos"/>
          <w:b/>
          <w:i w:val="0"/>
          <w:color w:val="172033"/>
          <w:sz w:val="20"/>
        </w:rPr>
        <w:t xml:space="preserve">Factual fallback: </w:t>
      </w:r>
      <w:r>
        <w:rPr>
          <w:rFonts w:ascii="Aptos" w:hAnsi="Aptos"/>
          <w:b w:val="0"/>
          <w:i w:val="0"/>
          <w:color w:val="172033"/>
          <w:sz w:val="20"/>
        </w:rPr>
        <w:t>Show a factual fund overview with category, expense ratio, riskometer, exit load, and active-scheme/status information only when supported by retrieved data.</w:t>
      </w:r>
    </w:p>
    <w:p>
      <w:pPr>
        <w:spacing w:after="60"/>
      </w:pPr>
      <w:r>
        <w:rPr>
          <w:rFonts w:ascii="Aptos" w:hAnsi="Aptos"/>
          <w:b/>
          <w:i w:val="0"/>
          <w:color w:val="172033"/>
          <w:sz w:val="20"/>
        </w:rPr>
        <w:t xml:space="preserve">Permitted inquiries: </w:t>
      </w:r>
      <w:r>
        <w:rPr>
          <w:rFonts w:ascii="Aptos" w:hAnsi="Aptos"/>
          <w:b w:val="0"/>
          <w:i w:val="0"/>
          <w:color w:val="172033"/>
          <w:sz w:val="20"/>
        </w:rPr>
        <w:t>Provide factual chips such as expense ratio, exit load, and minimum SIP amount.</w:t>
      </w:r>
    </w:p>
    <w:p>
      <w:pPr>
        <w:spacing w:after="60"/>
      </w:pPr>
      <w:r>
        <w:rPr>
          <w:rFonts w:ascii="Aptos" w:hAnsi="Aptos"/>
          <w:b/>
          <w:i w:val="0"/>
          <w:color w:val="172033"/>
          <w:sz w:val="20"/>
        </w:rPr>
        <w:t xml:space="preserve">Disclosure: </w:t>
      </w:r>
      <w:r>
        <w:rPr>
          <w:rFonts w:ascii="Aptos" w:hAnsi="Aptos"/>
          <w:b w:val="0"/>
          <w:i w:val="0"/>
          <w:color w:val="172033"/>
          <w:sz w:val="20"/>
        </w:rPr>
        <w:t>Show source and date/policy metadata without implying a recommendation.</w:t>
      </w:r>
    </w:p>
    <w:p>
      <w:pPr>
        <w:pStyle w:val="Heading2"/>
        <w:keepNext/>
        <w:spacing w:before="160" w:after="100"/>
      </w:pPr>
      <w:r>
        <w:rPr>
          <w:rFonts w:ascii="Aptos" w:hAnsi="Aptos"/>
          <w:b/>
          <w:i w:val="0"/>
          <w:color w:val="0A56C9"/>
          <w:sz w:val="24"/>
        </w:rPr>
        <w:t>19.5 Unsupported / Private Information State</w:t>
      </w:r>
    </w:p>
    <w:p>
      <w:pPr>
        <w:spacing w:after="60"/>
      </w:pPr>
      <w:r>
        <w:rPr>
          <w:rFonts w:ascii="Aptos" w:hAnsi="Aptos"/>
          <w:b/>
          <w:i w:val="0"/>
          <w:color w:val="172033"/>
          <w:sz w:val="20"/>
        </w:rPr>
        <w:t xml:space="preserve">Not found: </w:t>
      </w:r>
      <w:r>
        <w:rPr>
          <w:rFonts w:ascii="Aptos" w:hAnsi="Aptos"/>
          <w:b w:val="0"/>
          <w:i w:val="0"/>
          <w:color w:val="172033"/>
          <w:sz w:val="20"/>
        </w:rPr>
        <w:t>Use a neutral “I couldn’t find that information in the available SBI Mutual Fund source data” state.</w:t>
      </w:r>
    </w:p>
    <w:p>
      <w:pPr>
        <w:spacing w:after="60"/>
      </w:pPr>
      <w:r>
        <w:rPr>
          <w:rFonts w:ascii="Aptos" w:hAnsi="Aptos"/>
          <w:b/>
          <w:i w:val="0"/>
          <w:color w:val="172033"/>
          <w:sz w:val="20"/>
        </w:rPr>
        <w:t xml:space="preserve">Privacy explanation: </w:t>
      </w:r>
      <w:r>
        <w:rPr>
          <w:rFonts w:ascii="Aptos" w:hAnsi="Aptos"/>
          <w:b w:val="0"/>
          <w:i w:val="0"/>
          <w:color w:val="172033"/>
          <w:sz w:val="20"/>
        </w:rPr>
        <w:t>For personal contact details or other private information, explicitly state that personal contact details are confidential/not disclosed in the approved source set.</w:t>
      </w:r>
    </w:p>
    <w:p>
      <w:pPr>
        <w:spacing w:after="60"/>
      </w:pPr>
      <w:r>
        <w:rPr>
          <w:rFonts w:ascii="Aptos" w:hAnsi="Aptos"/>
          <w:b/>
          <w:i w:val="0"/>
          <w:color w:val="172033"/>
          <w:sz w:val="20"/>
        </w:rPr>
        <w:t xml:space="preserve">Try asking about: </w:t>
      </w:r>
      <w:r>
        <w:rPr>
          <w:rFonts w:ascii="Aptos" w:hAnsi="Aptos"/>
          <w:b w:val="0"/>
          <w:i w:val="0"/>
          <w:color w:val="172033"/>
          <w:sz w:val="20"/>
        </w:rPr>
        <w:t>Show relevant factual prompts based on the user’s topic, e.g., fund NAV, exit load policy, fund manager tenure.</w:t>
      </w:r>
    </w:p>
    <w:p>
      <w:pPr>
        <w:spacing w:after="60"/>
      </w:pPr>
      <w:r>
        <w:rPr>
          <w:rFonts w:ascii="Aptos" w:hAnsi="Aptos"/>
          <w:b/>
          <w:i w:val="0"/>
          <w:color w:val="172033"/>
          <w:sz w:val="20"/>
        </w:rPr>
        <w:t xml:space="preserve">Source row: </w:t>
      </w:r>
      <w:r>
        <w:rPr>
          <w:rFonts w:ascii="Aptos" w:hAnsi="Aptos"/>
          <w:b w:val="0"/>
          <w:i w:val="0"/>
          <w:color w:val="172033"/>
          <w:sz w:val="20"/>
        </w:rPr>
        <w:t>Use the relevant approved source/policy metadata; do not fabricate a source for unavailable personal data.</w:t>
      </w:r>
    </w:p>
    <w:p>
      <w:pPr>
        <w:pStyle w:val="Heading2"/>
        <w:keepNext/>
        <w:spacing w:before="160" w:after="100"/>
      </w:pPr>
      <w:r>
        <w:rPr>
          <w:rFonts w:ascii="Aptos" w:hAnsi="Aptos"/>
          <w:b/>
          <w:i w:val="0"/>
          <w:color w:val="0A56C9"/>
          <w:sz w:val="24"/>
        </w:rPr>
        <w:t>19.6 PII / Privacy Safeguard State</w:t>
      </w:r>
    </w:p>
    <w:p>
      <w:pPr>
        <w:spacing w:after="60"/>
      </w:pPr>
      <w:r>
        <w:rPr>
          <w:rFonts w:ascii="Aptos" w:hAnsi="Aptos"/>
          <w:b/>
          <w:i w:val="0"/>
          <w:color w:val="172033"/>
          <w:sz w:val="20"/>
        </w:rPr>
        <w:t xml:space="preserve">Detection: </w:t>
      </w:r>
      <w:r>
        <w:rPr>
          <w:rFonts w:ascii="Aptos" w:hAnsi="Aptos"/>
          <w:b w:val="0"/>
          <w:i w:val="0"/>
          <w:color w:val="172033"/>
          <w:sz w:val="20"/>
        </w:rPr>
        <w:t>Sensitive identity tokens are visually redacted/masked in the user-visible message.</w:t>
      </w:r>
    </w:p>
    <w:p>
      <w:pPr>
        <w:spacing w:after="60"/>
      </w:pPr>
      <w:r>
        <w:rPr>
          <w:rFonts w:ascii="Aptos" w:hAnsi="Aptos"/>
          <w:b/>
          <w:i w:val="0"/>
          <w:color w:val="172033"/>
          <w:sz w:val="20"/>
        </w:rPr>
        <w:t xml:space="preserve">Warning: </w:t>
      </w:r>
      <w:r>
        <w:rPr>
          <w:rFonts w:ascii="Aptos" w:hAnsi="Aptos"/>
          <w:b w:val="0"/>
          <w:i w:val="0"/>
          <w:color w:val="172033"/>
          <w:sz w:val="20"/>
        </w:rPr>
        <w:t>Prominent warning: do not share personal or account credentials in the assistant.</w:t>
      </w:r>
    </w:p>
    <w:p>
      <w:pPr>
        <w:spacing w:after="60"/>
      </w:pPr>
      <w:r>
        <w:rPr>
          <w:rFonts w:ascii="Aptos" w:hAnsi="Aptos"/>
          <w:b/>
          <w:i w:val="0"/>
          <w:color w:val="172033"/>
          <w:sz w:val="20"/>
        </w:rPr>
        <w:t xml:space="preserve">Capability boundary: </w:t>
      </w:r>
      <w:r>
        <w:rPr>
          <w:rFonts w:ascii="Aptos" w:hAnsi="Aptos"/>
          <w:b w:val="0"/>
          <w:i w:val="0"/>
          <w:color w:val="172033"/>
          <w:sz w:val="20"/>
        </w:rPr>
        <w:t>State that the FAQ Assistant cannot access live investor portfolios, execute transactions, or process private credentials such as PAN, Aadhaar, OTPs, or bank-account details.</w:t>
      </w:r>
    </w:p>
    <w:p>
      <w:pPr>
        <w:spacing w:after="60"/>
      </w:pPr>
      <w:r>
        <w:rPr>
          <w:rFonts w:ascii="Aptos" w:hAnsi="Aptos"/>
          <w:b/>
          <w:i w:val="0"/>
          <w:color w:val="172033"/>
          <w:sz w:val="20"/>
        </w:rPr>
        <w:t xml:space="preserve">Self-service routes: </w:t>
      </w:r>
      <w:r>
        <w:rPr>
          <w:rFonts w:ascii="Aptos" w:hAnsi="Aptos"/>
          <w:b w:val="0"/>
          <w:i w:val="0"/>
          <w:color w:val="172033"/>
          <w:sz w:val="20"/>
        </w:rPr>
        <w:t>Where represented in the wireframe, provide official investor portal and Groww dashboard routes for portfolio/statement tasks.</w:t>
      </w:r>
    </w:p>
    <w:p>
      <w:pPr>
        <w:spacing w:after="60"/>
      </w:pPr>
      <w:r>
        <w:rPr>
          <w:rFonts w:ascii="Aptos" w:hAnsi="Aptos"/>
          <w:b/>
          <w:i w:val="0"/>
          <w:color w:val="172033"/>
          <w:sz w:val="20"/>
        </w:rPr>
        <w:t xml:space="preserve">Privacy messaging: </w:t>
      </w:r>
      <w:r>
        <w:rPr>
          <w:rFonts w:ascii="Aptos" w:hAnsi="Aptos"/>
          <w:b w:val="0"/>
          <w:i w:val="0"/>
          <w:color w:val="172033"/>
          <w:sz w:val="20"/>
        </w:rPr>
        <w:t>The wireframe shows “End-to-End Privacy Guaranteed” and “Conversations do not persist across devices.” These statements are product requirements only if the implementation actually guarantees them; otherwise the copy must be softened before release.</w:t>
      </w:r>
    </w:p>
    <w:p>
      <w:pPr>
        <w:pStyle w:val="Heading2"/>
        <w:keepNext/>
        <w:spacing w:before="160" w:after="100"/>
      </w:pPr>
      <w:r>
        <w:rPr>
          <w:rFonts w:ascii="Aptos" w:hAnsi="Aptos"/>
          <w:b/>
          <w:i w:val="0"/>
          <w:color w:val="0A56C9"/>
          <w:sz w:val="24"/>
        </w:rPr>
        <w:t>19.7 Retrieval / System Error State</w:t>
      </w:r>
    </w:p>
    <w:p>
      <w:pPr>
        <w:spacing w:after="60"/>
      </w:pPr>
      <w:r>
        <w:rPr>
          <w:rFonts w:ascii="Aptos" w:hAnsi="Aptos"/>
          <w:b/>
          <w:i w:val="0"/>
          <w:color w:val="172033"/>
          <w:sz w:val="20"/>
        </w:rPr>
        <w:t xml:space="preserve">Error message: </w:t>
      </w:r>
      <w:r>
        <w:rPr>
          <w:rFonts w:ascii="Aptos" w:hAnsi="Aptos"/>
          <w:b w:val="0"/>
          <w:i w:val="0"/>
          <w:color w:val="172033"/>
          <w:sz w:val="20"/>
        </w:rPr>
        <w:t>“Something went wrong. We couldn’t retrieve the latest data right now. Please try your question again in a moment.”</w:t>
      </w:r>
    </w:p>
    <w:p>
      <w:pPr>
        <w:spacing w:after="60"/>
      </w:pPr>
      <w:r>
        <w:rPr>
          <w:rFonts w:ascii="Aptos" w:hAnsi="Aptos"/>
          <w:b/>
          <w:i w:val="0"/>
          <w:color w:val="172033"/>
          <w:sz w:val="20"/>
        </w:rPr>
        <w:t xml:space="preserve">Recovery actions: </w:t>
      </w:r>
      <w:r>
        <w:rPr>
          <w:rFonts w:ascii="Aptos" w:hAnsi="Aptos"/>
          <w:b w:val="0"/>
          <w:i w:val="0"/>
          <w:color w:val="172033"/>
          <w:sz w:val="20"/>
        </w:rPr>
        <w:t>Retry and Ask a different question.</w:t>
      </w:r>
    </w:p>
    <w:p>
      <w:pPr>
        <w:spacing w:after="60"/>
      </w:pPr>
      <w:r>
        <w:rPr>
          <w:rFonts w:ascii="Aptos" w:hAnsi="Aptos"/>
          <w:b/>
          <w:i w:val="0"/>
          <w:color w:val="172033"/>
          <w:sz w:val="20"/>
        </w:rPr>
        <w:t xml:space="preserve">Standard facts: </w:t>
      </w:r>
      <w:r>
        <w:rPr>
          <w:rFonts w:ascii="Aptos" w:hAnsi="Aptos"/>
          <w:b w:val="0"/>
          <w:i w:val="0"/>
          <w:color w:val="172033"/>
          <w:sz w:val="20"/>
        </w:rPr>
        <w:t>Provide shortcut actions for scheme NAV, expense ratio, and riskometer or similarly stable facts.</w:t>
      </w:r>
    </w:p>
    <w:p>
      <w:pPr>
        <w:spacing w:after="60"/>
      </w:pPr>
      <w:r>
        <w:rPr>
          <w:rFonts w:ascii="Aptos" w:hAnsi="Aptos"/>
          <w:b/>
          <w:i w:val="0"/>
          <w:color w:val="172033"/>
          <w:sz w:val="20"/>
        </w:rPr>
        <w:t xml:space="preserve">Query retention: </w:t>
      </w:r>
      <w:r>
        <w:rPr>
          <w:rFonts w:ascii="Aptos" w:hAnsi="Aptos"/>
          <w:b w:val="0"/>
          <w:i w:val="0"/>
          <w:color w:val="172033"/>
          <w:sz w:val="20"/>
        </w:rPr>
        <w:t>The wireframe says the question is saved for retry. Treat this as transient session state only; do not persist PII or private account information.</w:t>
      </w:r>
    </w:p>
    <w:p>
      <w:pPr>
        <w:spacing w:after="60"/>
      </w:pPr>
      <w:r>
        <w:rPr>
          <w:rFonts w:ascii="Aptos" w:hAnsi="Aptos"/>
          <w:b/>
          <w:i w:val="0"/>
          <w:color w:val="172033"/>
          <w:sz w:val="20"/>
        </w:rPr>
        <w:t xml:space="preserve">Status: </w:t>
      </w:r>
      <w:r>
        <w:rPr>
          <w:rFonts w:ascii="Aptos" w:hAnsi="Aptos"/>
          <w:b w:val="0"/>
          <w:i w:val="0"/>
          <w:color w:val="172033"/>
          <w:sz w:val="20"/>
        </w:rPr>
        <w:t>A lightweight “system recovery ready” state may appear after an error.</w:t>
      </w:r>
    </w:p>
    <w:p>
      <w:pPr>
        <w:pStyle w:val="Heading1"/>
        <w:keepNext/>
        <w:spacing w:before="240" w:after="100"/>
      </w:pPr>
      <w:r>
        <w:rPr>
          <w:rFonts w:ascii="Aptos" w:hAnsi="Aptos"/>
          <w:b/>
          <w:i w:val="0"/>
          <w:color w:val="123E8C"/>
          <w:sz w:val="30"/>
        </w:rPr>
        <w:t>20. End-to-End UX Workflows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088"/>
            <w:shd w:fill="123E8C"/>
            <w:tcMar>
              <w:top w:w="110" w:type="dxa"/>
              <w:start w:w="95" w:type="dxa"/>
              <w:bottom w:w="110" w:type="dxa"/>
              <w:end w:w="95" w:type="dxa"/>
            </w:tcMar>
            <w:vAlign w:val="center"/>
          </w:tcPr>
          <w:p>
            <w:pPr>
              <w:spacing w:after="0"/>
            </w:pPr>
            <w:r>
              <w:rPr>
                <w:rFonts w:ascii="Aptos" w:hAnsi="Aptos"/>
                <w:b/>
                <w:i w:val="0"/>
                <w:color w:val="FFFFFF"/>
                <w:sz w:val="17"/>
              </w:rPr>
              <w:t>Workflow</w:t>
            </w:r>
          </w:p>
        </w:tc>
        <w:tc>
          <w:tcPr>
            <w:tcW w:type="dxa" w:w="8208"/>
            <w:shd w:fill="123E8C"/>
            <w:tcMar>
              <w:top w:w="110" w:type="dxa"/>
              <w:start w:w="95" w:type="dxa"/>
              <w:bottom w:w="110" w:type="dxa"/>
              <w:end w:w="95" w:type="dxa"/>
            </w:tcMar>
            <w:vAlign w:val="center"/>
          </w:tcPr>
          <w:p>
            <w:pPr>
              <w:spacing w:after="0"/>
            </w:pPr>
            <w:r>
              <w:rPr>
                <w:rFonts w:ascii="Aptos" w:hAnsi="Aptos"/>
                <w:b/>
                <w:i w:val="0"/>
                <w:color w:val="FFFFFF"/>
                <w:sz w:val="17"/>
              </w:rPr>
              <w:t>Sequence</w:t>
            </w:r>
          </w:p>
        </w:tc>
      </w:tr>
      <w:tr>
        <w:trPr>
          <w:cantSplit w:val="true"/>
        </w:trPr>
        <w:tc>
          <w:tcPr>
            <w:tcW w:type="dxa" w:w="2088"/>
            <w:tcMar>
              <w:top w:w="90" w:type="dxa"/>
              <w:start w:w="95" w:type="dxa"/>
              <w:bottom w:w="90" w:type="dxa"/>
              <w:end w:w="95" w:type="dxa"/>
            </w:tcMar>
            <w:vAlign w:val="top"/>
          </w:tcPr>
          <w:p>
            <w:pPr>
              <w:spacing w:after="0"/>
            </w:pPr>
            <w:r>
              <w:rPr>
                <w:rFonts w:ascii="Aptos" w:hAnsi="Aptos"/>
                <w:b w:val="0"/>
                <w:i w:val="0"/>
                <w:color w:val="172033"/>
                <w:sz w:val="17"/>
              </w:rPr>
              <w:t>A. Factual FAQ</w:t>
            </w:r>
          </w:p>
        </w:tc>
        <w:tc>
          <w:tcPr>
            <w:tcW w:type="dxa" w:w="8208"/>
            <w:tcMar>
              <w:top w:w="90" w:type="dxa"/>
              <w:start w:w="95" w:type="dxa"/>
              <w:bottom w:w="90" w:type="dxa"/>
              <w:end w:w="95" w:type="dxa"/>
            </w:tcMar>
            <w:vAlign w:val="top"/>
          </w:tcPr>
          <w:p>
            <w:pPr>
              <w:spacing w:after="0"/>
            </w:pPr>
            <w:r>
              <w:rPr>
                <w:rFonts w:ascii="Aptos" w:hAnsi="Aptos"/>
                <w:b w:val="0"/>
                <w:i w:val="0"/>
                <w:color w:val="172033"/>
                <w:sz w:val="17"/>
              </w:rPr>
              <w:t>Home → user selects question card or enters question → input guardrails → scheme-aware retrieval → LLM generation → validation → factual answer card → source row + last-updated → suggested follow-up questions.</w:t>
            </w:r>
          </w:p>
        </w:tc>
      </w:tr>
      <w:tr>
        <w:trPr>
          <w:cantSplit w:val="true"/>
        </w:trPr>
        <w:tc>
          <w:tcPr>
            <w:tcW w:type="dxa" w:w="2088"/>
            <w:shd w:fill="F5F7FA"/>
            <w:tcMar>
              <w:top w:w="90" w:type="dxa"/>
              <w:start w:w="95" w:type="dxa"/>
              <w:bottom w:w="90" w:type="dxa"/>
              <w:end w:w="95" w:type="dxa"/>
            </w:tcMar>
            <w:vAlign w:val="top"/>
          </w:tcPr>
          <w:p>
            <w:pPr>
              <w:spacing w:after="0"/>
            </w:pPr>
            <w:r>
              <w:rPr>
                <w:rFonts w:ascii="Aptos" w:hAnsi="Aptos"/>
                <w:b w:val="0"/>
                <w:i w:val="0"/>
                <w:color w:val="172033"/>
                <w:sz w:val="17"/>
              </w:rPr>
              <w:t>B. Advice request</w:t>
            </w:r>
          </w:p>
        </w:tc>
        <w:tc>
          <w:tcPr>
            <w:tcW w:type="dxa" w:w="8208"/>
            <w:shd w:fill="F5F7FA"/>
            <w:tcMar>
              <w:top w:w="90" w:type="dxa"/>
              <w:start w:w="95" w:type="dxa"/>
              <w:bottom w:w="90" w:type="dxa"/>
              <w:end w:w="95" w:type="dxa"/>
            </w:tcMar>
            <w:vAlign w:val="top"/>
          </w:tcPr>
          <w:p>
            <w:pPr>
              <w:spacing w:after="0"/>
            </w:pPr>
            <w:r>
              <w:rPr>
                <w:rFonts w:ascii="Aptos" w:hAnsi="Aptos"/>
                <w:b w:val="0"/>
                <w:i w:val="0"/>
                <w:color w:val="172033"/>
                <w:sz w:val="17"/>
              </w:rPr>
              <w:t>Composer → advice guardrail triggers before normal answer generation → refusal card → factual fund overview from retrieved public data (where available) → permitted inquiry chips → source/policy metadata.</w:t>
            </w:r>
          </w:p>
        </w:tc>
      </w:tr>
      <w:tr>
        <w:trPr>
          <w:cantSplit w:val="true"/>
        </w:trPr>
        <w:tc>
          <w:tcPr>
            <w:tcW w:type="dxa" w:w="2088"/>
            <w:tcMar>
              <w:top w:w="90" w:type="dxa"/>
              <w:start w:w="95" w:type="dxa"/>
              <w:bottom w:w="90" w:type="dxa"/>
              <w:end w:w="95" w:type="dxa"/>
            </w:tcMar>
            <w:vAlign w:val="top"/>
          </w:tcPr>
          <w:p>
            <w:pPr>
              <w:spacing w:after="0"/>
            </w:pPr>
            <w:r>
              <w:rPr>
                <w:rFonts w:ascii="Aptos" w:hAnsi="Aptos"/>
                <w:b w:val="0"/>
                <w:i w:val="0"/>
                <w:color w:val="172033"/>
                <w:sz w:val="17"/>
              </w:rPr>
              <w:t>C. Private/unsupported question</w:t>
            </w:r>
          </w:p>
        </w:tc>
        <w:tc>
          <w:tcPr>
            <w:tcW w:type="dxa" w:w="8208"/>
            <w:tcMar>
              <w:top w:w="90" w:type="dxa"/>
              <w:start w:w="95" w:type="dxa"/>
              <w:bottom w:w="90" w:type="dxa"/>
              <w:end w:w="95" w:type="dxa"/>
            </w:tcMar>
            <w:vAlign w:val="top"/>
          </w:tcPr>
          <w:p>
            <w:pPr>
              <w:spacing w:after="0"/>
            </w:pPr>
            <w:r>
              <w:rPr>
                <w:rFonts w:ascii="Aptos" w:hAnsi="Aptos"/>
                <w:b w:val="0"/>
                <w:i w:val="0"/>
                <w:color w:val="172033"/>
                <w:sz w:val="17"/>
              </w:rPr>
              <w:t>Composer → retrieval/availability check → no supported personal information → not-found/private-data card → explanation → suggested factual questions → source/policy metadata.</w:t>
            </w:r>
          </w:p>
        </w:tc>
      </w:tr>
      <w:tr>
        <w:trPr>
          <w:cantSplit w:val="true"/>
        </w:trPr>
        <w:tc>
          <w:tcPr>
            <w:tcW w:type="dxa" w:w="2088"/>
            <w:shd w:fill="F5F7FA"/>
            <w:tcMar>
              <w:top w:w="90" w:type="dxa"/>
              <w:start w:w="95" w:type="dxa"/>
              <w:bottom w:w="90" w:type="dxa"/>
              <w:end w:w="95" w:type="dxa"/>
            </w:tcMar>
            <w:vAlign w:val="top"/>
          </w:tcPr>
          <w:p>
            <w:pPr>
              <w:spacing w:after="0"/>
            </w:pPr>
            <w:r>
              <w:rPr>
                <w:rFonts w:ascii="Aptos" w:hAnsi="Aptos"/>
                <w:b w:val="0"/>
                <w:i w:val="0"/>
                <w:color w:val="172033"/>
                <w:sz w:val="17"/>
              </w:rPr>
              <w:t>D. PII input</w:t>
            </w:r>
          </w:p>
        </w:tc>
        <w:tc>
          <w:tcPr>
            <w:tcW w:type="dxa" w:w="8208"/>
            <w:shd w:fill="F5F7FA"/>
            <w:tcMar>
              <w:top w:w="90" w:type="dxa"/>
              <w:start w:w="95" w:type="dxa"/>
              <w:bottom w:w="90" w:type="dxa"/>
              <w:end w:w="95" w:type="dxa"/>
            </w:tcMar>
            <w:vAlign w:val="top"/>
          </w:tcPr>
          <w:p>
            <w:pPr>
              <w:spacing w:after="0"/>
            </w:pPr>
            <w:r>
              <w:rPr>
                <w:rFonts w:ascii="Aptos" w:hAnsi="Aptos"/>
                <w:b w:val="0"/>
                <w:i w:val="0"/>
                <w:color w:val="172033"/>
                <w:sz w:val="17"/>
              </w:rPr>
              <w:t>Composer → sensitive-token detection → visual masking/redaction → raw token excluded from embedding/retrieval/LLM → privacy safeguard card → official self-service routes for account-specific actions.</w:t>
            </w:r>
          </w:p>
        </w:tc>
      </w:tr>
      <w:tr>
        <w:trPr>
          <w:cantSplit w:val="true"/>
        </w:trPr>
        <w:tc>
          <w:tcPr>
            <w:tcW w:type="dxa" w:w="2088"/>
            <w:tcMar>
              <w:top w:w="90" w:type="dxa"/>
              <w:start w:w="95" w:type="dxa"/>
              <w:bottom w:w="90" w:type="dxa"/>
              <w:end w:w="95" w:type="dxa"/>
            </w:tcMar>
            <w:vAlign w:val="top"/>
          </w:tcPr>
          <w:p>
            <w:pPr>
              <w:spacing w:after="0"/>
            </w:pPr>
            <w:r>
              <w:rPr>
                <w:rFonts w:ascii="Aptos" w:hAnsi="Aptos"/>
                <w:b w:val="0"/>
                <w:i w:val="0"/>
                <w:color w:val="172033"/>
                <w:sz w:val="17"/>
              </w:rPr>
              <w:t>E. Retrieval failure</w:t>
            </w:r>
          </w:p>
        </w:tc>
        <w:tc>
          <w:tcPr>
            <w:tcW w:type="dxa" w:w="8208"/>
            <w:tcMar>
              <w:top w:w="90" w:type="dxa"/>
              <w:start w:w="95" w:type="dxa"/>
              <w:bottom w:w="90" w:type="dxa"/>
              <w:end w:w="95" w:type="dxa"/>
            </w:tcMar>
            <w:vAlign w:val="top"/>
          </w:tcPr>
          <w:p>
            <w:pPr>
              <w:spacing w:after="0"/>
            </w:pPr>
            <w:r>
              <w:rPr>
                <w:rFonts w:ascii="Aptos" w:hAnsi="Aptos"/>
                <w:b w:val="0"/>
                <w:i w:val="0"/>
                <w:color w:val="172033"/>
                <w:sz w:val="17"/>
              </w:rPr>
              <w:t>Composer → normal guardrails pass → retrieval fails → error card → Retry or Ask a different question → standard-fact shortcuts → transient query retained only for retry state.</w:t>
            </w:r>
          </w:p>
        </w:tc>
      </w:tr>
    </w:tbl>
    <w:p>
      <w:pPr>
        <w:spacing w:after="20"/>
      </w:pPr>
    </w:p>
    <w:p>
      <w:pPr>
        <w:pStyle w:val="Heading1"/>
        <w:keepNext/>
        <w:spacing w:before="240" w:after="100"/>
      </w:pPr>
      <w:r>
        <w:rPr>
          <w:rFonts w:ascii="Aptos" w:hAnsi="Aptos"/>
          <w:b/>
          <w:i w:val="0"/>
          <w:color w:val="123E8C"/>
          <w:sz w:val="30"/>
        </w:rPr>
        <w:t>21. Stage 11 — Testing</w:t>
      </w:r>
    </w:p>
    <w:p>
      <w:pPr>
        <w:spacing w:after="100" w:line="259" w:lineRule="auto"/>
      </w:pPr>
      <w:r>
        <w:rPr>
          <w:rFonts w:ascii="Aptos" w:hAnsi="Aptos"/>
          <w:b w:val="0"/>
          <w:i w:val="0"/>
          <w:color w:val="172033"/>
          <w:sz w:val="21"/>
        </w:rPr>
        <w:t>Testing must now validate both the RAG behavior already defined in the original brief and the new response states shown in the wireframes.</w:t>
      </w:r>
    </w:p>
    <w:p>
      <w:pPr>
        <w:pStyle w:val="ListBullet"/>
        <w:spacing w:after="40"/>
      </w:pPr>
      <w:r>
        <w:rPr>
          <w:rFonts w:ascii="Aptos" w:hAnsi="Aptos"/>
          <w:b w:val="0"/>
          <w:i w:val="0"/>
          <w:color w:val="172033"/>
          <w:sz w:val="20"/>
        </w:rPr>
        <w:t>Test at least 5–10 factual questions across all five schemes.</w:t>
      </w:r>
    </w:p>
    <w:p>
      <w:pPr>
        <w:pStyle w:val="ListBullet"/>
        <w:spacing w:after="40"/>
      </w:pPr>
      <w:r>
        <w:rPr>
          <w:rFonts w:ascii="Aptos" w:hAnsi="Aptos"/>
          <w:b w:val="0"/>
          <w:i w:val="0"/>
          <w:color w:val="172033"/>
          <w:sz w:val="20"/>
        </w:rPr>
        <w:t>Test expense information, exit load, minimum SIP, lock-in, riskometer, benchmark identity/name, and statement/tax procedure.</w:t>
      </w:r>
    </w:p>
    <w:p>
      <w:pPr>
        <w:pStyle w:val="ListBullet"/>
        <w:spacing w:after="40"/>
      </w:pPr>
      <w:r>
        <w:rPr>
          <w:rFonts w:ascii="Aptos" w:hAnsi="Aptos"/>
          <w:b w:val="0"/>
          <w:i w:val="0"/>
          <w:color w:val="172033"/>
          <w:sz w:val="20"/>
        </w:rPr>
        <w:t>Test cross-scheme confusion: ask about Scheme A while retrieving similar terminology from Scheme B.</w:t>
      </w:r>
    </w:p>
    <w:p>
      <w:pPr>
        <w:pStyle w:val="ListBullet"/>
        <w:spacing w:after="40"/>
      </w:pPr>
      <w:r>
        <w:rPr>
          <w:rFonts w:ascii="Aptos" w:hAnsi="Aptos"/>
          <w:b w:val="0"/>
          <w:i w:val="0"/>
          <w:color w:val="172033"/>
          <w:sz w:val="20"/>
        </w:rPr>
        <w:t>Test advice refusal and verify that a factual fallback is shown without recommendation language.</w:t>
      </w:r>
    </w:p>
    <w:p>
      <w:pPr>
        <w:pStyle w:val="ListBullet"/>
        <w:spacing w:after="40"/>
      </w:pPr>
      <w:r>
        <w:rPr>
          <w:rFonts w:ascii="Aptos" w:hAnsi="Aptos"/>
          <w:b w:val="0"/>
          <w:i w:val="0"/>
          <w:color w:val="172033"/>
          <w:sz w:val="20"/>
        </w:rPr>
        <w:t>Test performance restriction with return/ranking/forecast-style prompts; verify no return calculation, comparison, ranking, or recommendation is produced.</w:t>
      </w:r>
    </w:p>
    <w:p>
      <w:pPr>
        <w:pStyle w:val="ListBullet"/>
        <w:spacing w:after="40"/>
      </w:pPr>
      <w:r>
        <w:rPr>
          <w:rFonts w:ascii="Aptos" w:hAnsi="Aptos"/>
          <w:b w:val="0"/>
          <w:i w:val="0"/>
          <w:color w:val="172033"/>
          <w:sz w:val="20"/>
        </w:rPr>
        <w:t>Test PII input handling with PAN, Aadhaar, account number, OTP, email, and phone patterns; verify masking occurs before embedding/retrieval/LLM and no raw value is stored.</w:t>
      </w:r>
    </w:p>
    <w:p>
      <w:pPr>
        <w:pStyle w:val="ListBullet"/>
        <w:spacing w:after="40"/>
      </w:pPr>
      <w:r>
        <w:rPr>
          <w:rFonts w:ascii="Aptos" w:hAnsi="Aptos"/>
          <w:b w:val="0"/>
          <w:i w:val="0"/>
          <w:color w:val="172033"/>
          <w:sz w:val="20"/>
        </w:rPr>
        <w:t>Test private-contact questions and verify the system does not fabricate personal contact details.</w:t>
      </w:r>
    </w:p>
    <w:p>
      <w:pPr>
        <w:pStyle w:val="ListBullet"/>
        <w:spacing w:after="40"/>
      </w:pPr>
      <w:r>
        <w:rPr>
          <w:rFonts w:ascii="Aptos" w:hAnsi="Aptos"/>
          <w:b w:val="0"/>
          <w:i w:val="0"/>
          <w:color w:val="172033"/>
          <w:sz w:val="20"/>
        </w:rPr>
        <w:t>Test unknown questions and verify that the system does not hallucinate.</w:t>
      </w:r>
    </w:p>
    <w:p>
      <w:pPr>
        <w:pStyle w:val="ListBullet"/>
        <w:spacing w:after="40"/>
      </w:pPr>
      <w:r>
        <w:rPr>
          <w:rFonts w:ascii="Aptos" w:hAnsi="Aptos"/>
          <w:b w:val="0"/>
          <w:i w:val="0"/>
          <w:color w:val="172033"/>
          <w:sz w:val="20"/>
        </w:rPr>
        <w:t>Test retrieval failure and verify Retry / alternative-question / standard-fact recovery behavior.</w:t>
      </w:r>
    </w:p>
    <w:p>
      <w:pPr>
        <w:pStyle w:val="ListBullet"/>
        <w:spacing w:after="40"/>
      </w:pPr>
      <w:r>
        <w:rPr>
          <w:rFonts w:ascii="Aptos" w:hAnsi="Aptos"/>
          <w:b w:val="0"/>
          <w:i w:val="0"/>
          <w:color w:val="172033"/>
          <w:sz w:val="20"/>
        </w:rPr>
        <w:t>Verify source context and source links match actual retrieved metadata.</w:t>
      </w:r>
    </w:p>
    <w:p>
      <w:pPr>
        <w:pStyle w:val="ListBullet"/>
        <w:spacing w:after="40"/>
      </w:pPr>
      <w:r>
        <w:rPr>
          <w:rFonts w:ascii="Aptos" w:hAnsi="Aptos"/>
          <w:b w:val="0"/>
          <w:i w:val="0"/>
          <w:color w:val="172033"/>
          <w:sz w:val="20"/>
        </w:rPr>
        <w:t>Verify every source-backed factual response contains exactly one source link and the last-updated line.</w:t>
      </w:r>
    </w:p>
    <w:p>
      <w:pPr>
        <w:pStyle w:val="ListBullet"/>
        <w:spacing w:after="40"/>
      </w:pPr>
      <w:r>
        <w:rPr>
          <w:rFonts w:ascii="Aptos" w:hAnsi="Aptos"/>
          <w:b w:val="0"/>
          <w:i w:val="0"/>
          <w:color w:val="172033"/>
          <w:sz w:val="20"/>
        </w:rPr>
        <w:t>Verify error responses do not invent a source link when no source was retrieved.</w:t>
      </w:r>
    </w:p>
    <w:p>
      <w:pPr>
        <w:pStyle w:val="ListBullet"/>
        <w:spacing w:after="40"/>
      </w:pPr>
      <w:r>
        <w:rPr>
          <w:rFonts w:ascii="Aptos" w:hAnsi="Aptos"/>
          <w:b w:val="0"/>
          <w:i w:val="0"/>
          <w:color w:val="172033"/>
          <w:sz w:val="20"/>
        </w:rPr>
        <w:t>Verify structured fact cards do not contradict the narrative answer or source metadata.</w:t>
      </w:r>
    </w:p>
    <w:p>
      <w:pPr>
        <w:pStyle w:val="ListBullet"/>
        <w:spacing w:after="40"/>
      </w:pPr>
      <w:r>
        <w:rPr>
          <w:rFonts w:ascii="Aptos" w:hAnsi="Aptos"/>
          <w:b w:val="0"/>
          <w:i w:val="0"/>
          <w:color w:val="172033"/>
          <w:sz w:val="20"/>
        </w:rPr>
        <w:t>Verify the UI’s “daily synchronization”, “end-to-end privacy”, and “not transmitted to servers” language only appears when the implementation supports those claims.</w:t>
      </w:r>
    </w:p>
    <w:p>
      <w:pPr>
        <w:pStyle w:val="Heading1"/>
        <w:keepNext/>
        <w:spacing w:before="240" w:after="100"/>
      </w:pPr>
      <w:r>
        <w:rPr>
          <w:rFonts w:ascii="Aptos" w:hAnsi="Aptos"/>
          <w:b/>
          <w:i w:val="0"/>
          <w:color w:val="123E8C"/>
          <w:sz w:val="30"/>
        </w:rPr>
        <w:t>22. Deliverables</w:t>
      </w:r>
    </w:p>
    <w:p>
      <w:pPr>
        <w:pStyle w:val="ListBullet"/>
        <w:spacing w:after="40"/>
      </w:pPr>
      <w:r>
        <w:rPr>
          <w:rFonts w:ascii="Aptos" w:hAnsi="Aptos"/>
          <w:b w:val="0"/>
          <w:i w:val="0"/>
          <w:color w:val="172033"/>
          <w:sz w:val="20"/>
        </w:rPr>
        <w:t>Working RAG prototype or 3-minute demo video.</w:t>
      </w:r>
    </w:p>
    <w:p>
      <w:pPr>
        <w:pStyle w:val="ListBullet"/>
        <w:spacing w:after="40"/>
      </w:pPr>
      <w:r>
        <w:rPr>
          <w:rFonts w:ascii="Aptos" w:hAnsi="Aptos"/>
          <w:b w:val="0"/>
          <w:i w:val="0"/>
          <w:color w:val="172033"/>
          <w:sz w:val="20"/>
        </w:rPr>
        <w:t>Source list CSV/MD containing the five core scheme URLs; the full 25-source corpus must also be documented in the project file/README.</w:t>
      </w:r>
    </w:p>
    <w:p>
      <w:pPr>
        <w:pStyle w:val="ListBullet"/>
        <w:spacing w:after="40"/>
      </w:pPr>
      <w:r>
        <w:rPr>
          <w:rFonts w:ascii="Aptos" w:hAnsi="Aptos"/>
          <w:b w:val="0"/>
          <w:i w:val="0"/>
          <w:color w:val="172033"/>
          <w:sz w:val="20"/>
        </w:rPr>
        <w:t>README with setup, architecture, corpus scope, ingestion command, query command, UI response states, and known limitations.</w:t>
      </w:r>
    </w:p>
    <w:p>
      <w:pPr>
        <w:pStyle w:val="ListBullet"/>
        <w:spacing w:after="40"/>
      </w:pPr>
      <w:r>
        <w:rPr>
          <w:rFonts w:ascii="Aptos" w:hAnsi="Aptos"/>
          <w:b w:val="0"/>
          <w:i w:val="0"/>
          <w:color w:val="172033"/>
          <w:sz w:val="20"/>
        </w:rPr>
        <w:t>Sample Q&amp;A file with 5–10 questions, answers, and source links.</w:t>
      </w:r>
    </w:p>
    <w:p>
      <w:pPr>
        <w:pStyle w:val="ListBullet"/>
        <w:spacing w:after="40"/>
      </w:pPr>
      <w:r>
        <w:rPr>
          <w:rFonts w:ascii="Aptos" w:hAnsi="Aptos"/>
          <w:b w:val="0"/>
          <w:i w:val="0"/>
          <w:color w:val="172033"/>
          <w:sz w:val="20"/>
        </w:rPr>
        <w:t>Disclaimer snippet: “Facts-only. No investment advice.”</w:t>
      </w:r>
    </w:p>
    <w:p>
      <w:pPr>
        <w:pStyle w:val="ListBullet"/>
        <w:spacing w:after="40"/>
      </w:pPr>
      <w:r>
        <w:rPr>
          <w:rFonts w:ascii="Aptos" w:hAnsi="Aptos"/>
          <w:b w:val="0"/>
          <w:i w:val="0"/>
          <w:color w:val="172033"/>
          <w:sz w:val="20"/>
        </w:rPr>
        <w:t>chunks_inspection.txt containing all generated chunks.</w:t>
      </w:r>
    </w:p>
    <w:p>
      <w:pPr>
        <w:pStyle w:val="ListBullet"/>
        <w:spacing w:after="40"/>
      </w:pPr>
      <w:r>
        <w:rPr>
          <w:rFonts w:ascii="Aptos" w:hAnsi="Aptos"/>
          <w:b w:val="0"/>
          <w:i w:val="0"/>
          <w:color w:val="172033"/>
          <w:sz w:val="20"/>
        </w:rPr>
        <w:t>Persistent ChromaDB directory/database.</w:t>
      </w:r>
    </w:p>
    <w:p>
      <w:pPr>
        <w:pStyle w:val="ListBullet"/>
        <w:spacing w:after="40"/>
      </w:pPr>
      <w:r>
        <w:rPr>
          <w:rFonts w:ascii="Aptos" w:hAnsi="Aptos"/>
          <w:b w:val="0"/>
          <w:i w:val="0"/>
          <w:color w:val="172033"/>
          <w:sz w:val="20"/>
        </w:rPr>
        <w:t>The UI implementation represented in the wireframes, including loading, factual answer, refusal, privacy, unsupported, and error/recovery states.</w:t>
      </w:r>
    </w:p>
    <w:p>
      <w:pPr>
        <w:pStyle w:val="Heading1"/>
        <w:keepNext/>
        <w:spacing w:before="240" w:after="100"/>
      </w:pPr>
      <w:r>
        <w:rPr>
          <w:rFonts w:ascii="Aptos" w:hAnsi="Aptos"/>
          <w:b/>
          <w:i w:val="0"/>
          <w:color w:val="123E8C"/>
          <w:sz w:val="30"/>
        </w:rPr>
        <w:t>23. Recommended Repository Structure</w:t>
      </w:r>
    </w:p>
    <w:p>
      <w:pPr>
        <w:spacing w:after="100" w:line="259" w:lineRule="auto"/>
      </w:pPr>
      <w:r>
        <w:rPr>
          <w:rFonts w:ascii="Aptos" w:hAnsi="Aptos"/>
          <w:b w:val="0"/>
          <w:i w:val="0"/>
          <w:color w:val="172033"/>
          <w:sz w:val="21"/>
        </w:rPr>
        <w:t>The core structure is retained. UI state/rendering files may be added under the application layer as an implementation detail, but the RAG modules remain unchanged.</w:t>
      </w:r>
    </w:p>
    <w:tbl>
      <w:tblPr>
        <w:tblStyle w:val="TableGrid"/>
        <w:tblW w:type="auto" w:w="0"/>
        <w:tblLook w:firstColumn="1" w:firstRow="1" w:lastColumn="0" w:lastRow="0" w:noHBand="0" w:noVBand="1" w:val="04A0"/>
      </w:tblPr>
      <w:tblGrid>
        <w:gridCol w:w="10166"/>
      </w:tblGrid>
      <w:tr>
        <w:tc>
          <w:tcPr>
            <w:tcW w:type="dxa" w:w="10166"/>
            <w:shd w:fill="F5F7FA"/>
            <w:tcMar>
              <w:top w:w="130" w:type="dxa"/>
              <w:start w:w="170" w:type="dxa"/>
              <w:bottom w:w="130" w:type="dxa"/>
              <w:end w:w="170" w:type="dxa"/>
            </w:tcMar>
          </w:tcPr>
          <w:p>
            <w:r>
              <w:rPr>
                <w:rFonts w:ascii="Aptos" w:hAnsi="Aptos"/>
                <w:b w:val="0"/>
                <w:i w:val="0"/>
                <w:color w:val="172033"/>
                <w:sz w:val="18"/>
              </w:rPr>
              <w:t>project/</w:t>
              <w:br/>
              <w:t>├── data/</w:t>
              <w:br/>
              <w:t>│   ├── raw/</w:t>
              <w:br/>
              <w:t>│   ├── processed/</w:t>
              <w:br/>
              <w:t>│   └── sources.csv</w:t>
              <w:br/>
              <w:t>├── docs/</w:t>
              <w:br/>
              <w:t>│   ├── chunking_strategy.md</w:t>
              <w:br/>
              <w:t>│   └── chunks_inspection.txt</w:t>
              <w:br/>
              <w:t>├── src/</w:t>
              <w:br/>
              <w:t>│   ├── ingest.py</w:t>
              <w:br/>
              <w:t>│   ├── chunk.py</w:t>
              <w:br/>
              <w:t>│   ├── embed.py</w:t>
              <w:br/>
              <w:t>│   ├── vector_store.py</w:t>
              <w:br/>
              <w:t>│   ├── retrieve.py</w:t>
              <w:br/>
              <w:t>│   ├── guardrails.py</w:t>
              <w:br/>
              <w:t>│   ├── generate.py</w:t>
              <w:br/>
              <w:t>│   └── app.py</w:t>
              <w:br/>
              <w:t>├── chroma_db/</w:t>
              <w:br/>
              <w:t>├── tests/</w:t>
              <w:br/>
              <w:t>├── .env</w:t>
              <w:br/>
              <w:t>├── .gitignore</w:t>
              <w:br/>
              <w:t>├── requirements.txt</w:t>
              <w:br/>
              <w:t>└── README.md</w:t>
            </w:r>
          </w:p>
        </w:tc>
      </w:tr>
    </w:tbl>
    <w:p>
      <w:pPr>
        <w:spacing w:after="40"/>
      </w:pPr>
    </w:p>
    <w:p>
      <w:pPr>
        <w:pStyle w:val="Heading1"/>
        <w:keepNext/>
        <w:spacing w:before="240" w:after="100"/>
      </w:pPr>
      <w:r>
        <w:rPr>
          <w:rFonts w:ascii="Aptos" w:hAnsi="Aptos"/>
          <w:b/>
          <w:i w:val="0"/>
          <w:color w:val="123E8C"/>
          <w:sz w:val="30"/>
        </w:rPr>
        <w:t>24. Final End-to-End Flow</w:t>
      </w:r>
    </w:p>
    <w:p>
      <w:pPr>
        <w:spacing w:after="100" w:line="259" w:lineRule="auto"/>
      </w:pPr>
      <w:r>
        <w:rPr>
          <w:rFonts w:ascii="Aptos" w:hAnsi="Aptos"/>
          <w:b w:val="0"/>
          <w:i w:val="0"/>
          <w:color w:val="172033"/>
          <w:sz w:val="21"/>
        </w:rPr>
        <w:t>INGESTION</w:t>
      </w:r>
    </w:p>
    <w:p>
      <w:pPr>
        <w:spacing w:after="100" w:line="259" w:lineRule="auto"/>
      </w:pPr>
      <w:r>
        <w:rPr>
          <w:rFonts w:ascii="Aptos" w:hAnsi="Aptos"/>
          <w:b w:val="0"/>
          <w:i w:val="0"/>
          <w:color w:val="172033"/>
          <w:sz w:val="21"/>
        </w:rPr>
        <w:t>25 public pages → Load → Clean → Inspect → Chunking proposal → Chunk → all-MiniLM-L6-v2 → 384-D vectors → persistent ChromaDB.</w:t>
      </w:r>
    </w:p>
    <w:p>
      <w:pPr>
        <w:spacing w:after="100" w:line="259" w:lineRule="auto"/>
      </w:pPr>
      <w:r>
        <w:rPr>
          <w:rFonts w:ascii="Aptos" w:hAnsi="Aptos"/>
          <w:b w:val="0"/>
          <w:i w:val="0"/>
          <w:color w:val="172033"/>
          <w:sz w:val="21"/>
        </w:rPr>
        <w:t>QUERY</w:t>
      </w:r>
    </w:p>
    <w:p>
      <w:pPr>
        <w:spacing w:after="100" w:line="259" w:lineRule="auto"/>
      </w:pPr>
      <w:r>
        <w:rPr>
          <w:rFonts w:ascii="Aptos" w:hAnsi="Aptos"/>
          <w:b w:val="0"/>
          <w:i w:val="0"/>
          <w:color w:val="172033"/>
          <w:sz w:val="21"/>
        </w:rPr>
        <w:t>User question → PII/advice/performance guardrails → all-MiniLM-L6-v2 → ChromaDB top-K retrieval → scheme-aware context → OpenAI LLM → validation → UI response state → source/metadata rendering.</w:t>
      </w:r>
    </w:p>
    <w:tbl>
      <w:tblPr>
        <w:tblW w:type="auto" w:w="0"/>
        <w:jc w:val="center"/>
        <w:tblLook w:firstColumn="1" w:firstRow="1" w:lastColumn="0" w:lastRow="0" w:noHBand="0" w:noVBand="1" w:val="04A0"/>
      </w:tblPr>
      <w:tblGrid>
        <w:gridCol w:w="10166"/>
      </w:tblGrid>
      <w:tr>
        <w:tc>
          <w:tcPr>
            <w:tcW w:type="dxa" w:w="10166"/>
            <w:shd w:fill="E8F8F2"/>
            <w:tcBorders>
              <w:top w:val="single" w:sz="8" w:color="D9DFEA"/>
              <w:left w:val="single" w:sz="12" w:color="007F66"/>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007F66"/>
                <w:sz w:val="20"/>
              </w:rPr>
              <w:t>Important preservation rule</w:t>
            </w:r>
          </w:p>
          <w:p>
            <w:pPr>
              <w:spacing w:after="0"/>
            </w:pPr>
            <w:r>
              <w:rPr>
                <w:rFonts w:ascii="Aptos" w:hAnsi="Aptos"/>
                <w:b w:val="0"/>
                <w:i w:val="0"/>
                <w:color w:val="172033"/>
                <w:sz w:val="19"/>
              </w:rPr>
              <w:t>The above changes describe the same core architecture as the original Product Brief. No new vector database, embedding API, agent framework, portfolio connector, transaction API, or replacement model is introduced by this v2 specification.</w:t>
            </w:r>
          </w:p>
        </w:tc>
      </w:tr>
    </w:tbl>
    <w:p>
      <w:pPr>
        <w:spacing w:after="20"/>
      </w:pPr>
    </w:p>
    <w:p>
      <w:pPr>
        <w:pStyle w:val="Heading1"/>
        <w:keepNext/>
        <w:spacing w:before="240" w:after="100"/>
      </w:pPr>
      <w:r>
        <w:rPr>
          <w:rFonts w:ascii="Aptos" w:hAnsi="Aptos"/>
          <w:b/>
          <w:i w:val="0"/>
          <w:color w:val="123E8C"/>
          <w:sz w:val="30"/>
        </w:rPr>
        <w:t>25. Important Corpus Rule</w:t>
      </w:r>
    </w:p>
    <w:p>
      <w:pPr>
        <w:spacing w:after="100" w:line="259" w:lineRule="auto"/>
      </w:pPr>
      <w:r>
        <w:rPr>
          <w:rFonts w:ascii="Aptos" w:hAnsi="Aptos"/>
          <w:b w:val="0"/>
          <w:i w:val="0"/>
          <w:color w:val="172033"/>
          <w:sz w:val="21"/>
        </w:rPr>
        <w:t>Do not treat the 25 URLs as 25 independent facts to be blindly concatenated. The RAG system must preserve source identity and scheme identity. Scheme-specific values must come from the relevant scheme page or an explicitly relevant approved supporting source. General education pages should not override a scheme-specific value. When sources conflict, prefer the most current, directly relevant source and expose the source date.</w:t>
      </w:r>
    </w:p>
    <w:p>
      <w:pPr>
        <w:pStyle w:val="Heading1"/>
        <w:keepNext/>
        <w:spacing w:before="240" w:after="100"/>
      </w:pPr>
      <w:r>
        <w:rPr>
          <w:rFonts w:ascii="Aptos" w:hAnsi="Aptos"/>
          <w:b/>
          <w:i w:val="0"/>
          <w:color w:val="123E8C"/>
          <w:sz w:val="30"/>
        </w:rPr>
        <w:t>26. Source Verification Note</w:t>
      </w:r>
    </w:p>
    <w:p>
      <w:pPr>
        <w:spacing w:after="100" w:line="259" w:lineRule="auto"/>
      </w:pPr>
      <w:r>
        <w:rPr>
          <w:rFonts w:ascii="Aptos" w:hAnsi="Aptos"/>
          <w:b w:val="0"/>
          <w:i w:val="0"/>
          <w:color w:val="172033"/>
          <w:sz w:val="21"/>
        </w:rPr>
        <w:t>The URLs in this document were assembled from the provided Product Brief source corpus. Web pages can change, so the ingestion process must record the retrieval date and the README should state when the corpus was last refreshed.</w:t>
      </w:r>
    </w:p>
    <w:p>
      <w:pPr>
        <w:pStyle w:val="Heading1"/>
        <w:keepNext/>
        <w:spacing w:before="240" w:after="100"/>
      </w:pPr>
      <w:r>
        <w:rPr>
          <w:rFonts w:ascii="Aptos" w:hAnsi="Aptos"/>
          <w:b/>
          <w:i w:val="0"/>
          <w:color w:val="123E8C"/>
          <w:sz w:val="30"/>
        </w:rPr>
        <w:t>27. Wireframe-to-Requirement Acceptance Criteria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792"/>
            <w:shd w:fill="123E8C"/>
            <w:tcMar>
              <w:top w:w="110" w:type="dxa"/>
              <w:start w:w="95" w:type="dxa"/>
              <w:bottom w:w="110" w:type="dxa"/>
              <w:end w:w="95" w:type="dxa"/>
            </w:tcMar>
            <w:vAlign w:val="center"/>
          </w:tcPr>
          <w:p>
            <w:pPr>
              <w:spacing w:after="0"/>
            </w:pPr>
            <w:r>
              <w:rPr>
                <w:rFonts w:ascii="Aptos" w:hAnsi="Aptos"/>
                <w:b/>
                <w:i w:val="0"/>
                <w:color w:val="FFFFFF"/>
                <w:sz w:val="16"/>
              </w:rPr>
              <w:t>ID</w:t>
            </w:r>
          </w:p>
        </w:tc>
        <w:tc>
          <w:tcPr>
            <w:tcW w:type="dxa" w:w="4320"/>
            <w:shd w:fill="123E8C"/>
            <w:tcMar>
              <w:top w:w="110" w:type="dxa"/>
              <w:start w:w="95" w:type="dxa"/>
              <w:bottom w:w="110" w:type="dxa"/>
              <w:end w:w="95" w:type="dxa"/>
            </w:tcMar>
            <w:vAlign w:val="center"/>
          </w:tcPr>
          <w:p>
            <w:pPr>
              <w:spacing w:after="0"/>
            </w:pPr>
            <w:r>
              <w:rPr>
                <w:rFonts w:ascii="Aptos" w:hAnsi="Aptos"/>
                <w:b/>
                <w:i w:val="0"/>
                <w:color w:val="FFFFFF"/>
                <w:sz w:val="16"/>
              </w:rPr>
              <w:t>Requirement</w:t>
            </w:r>
          </w:p>
        </w:tc>
        <w:tc>
          <w:tcPr>
            <w:tcW w:type="dxa" w:w="5256"/>
            <w:shd w:fill="123E8C"/>
            <w:tcMar>
              <w:top w:w="110" w:type="dxa"/>
              <w:start w:w="95" w:type="dxa"/>
              <w:bottom w:w="110" w:type="dxa"/>
              <w:end w:w="95" w:type="dxa"/>
            </w:tcMar>
            <w:vAlign w:val="center"/>
          </w:tcPr>
          <w:p>
            <w:pPr>
              <w:spacing w:after="0"/>
            </w:pPr>
            <w:r>
              <w:rPr>
                <w:rFonts w:ascii="Aptos" w:hAnsi="Aptos"/>
                <w:b/>
                <w:i w:val="0"/>
                <w:color w:val="FFFFFF"/>
                <w:sz w:val="16"/>
              </w:rPr>
              <w:t>Acceptance check</w:t>
            </w:r>
          </w:p>
        </w:tc>
      </w:tr>
      <w:tr>
        <w:trPr>
          <w:cantSplit w:val="true"/>
        </w:trPr>
        <w:tc>
          <w:tcPr>
            <w:tcW w:type="dxa" w:w="792"/>
            <w:tcMar>
              <w:top w:w="90" w:type="dxa"/>
              <w:start w:w="95" w:type="dxa"/>
              <w:bottom w:w="90" w:type="dxa"/>
              <w:end w:w="95" w:type="dxa"/>
            </w:tcMar>
            <w:vAlign w:val="top"/>
          </w:tcPr>
          <w:p>
            <w:pPr>
              <w:spacing w:after="0"/>
            </w:pPr>
            <w:r>
              <w:rPr>
                <w:rFonts w:ascii="Aptos" w:hAnsi="Aptos"/>
                <w:b w:val="0"/>
                <w:i w:val="0"/>
                <w:color w:val="172033"/>
                <w:sz w:val="16"/>
              </w:rPr>
              <w:t>UI-01</w:t>
            </w:r>
          </w:p>
        </w:tc>
        <w:tc>
          <w:tcPr>
            <w:tcW w:type="dxa" w:w="4320"/>
            <w:tcMar>
              <w:top w:w="90" w:type="dxa"/>
              <w:start w:w="95" w:type="dxa"/>
              <w:bottom w:w="90" w:type="dxa"/>
              <w:end w:w="95" w:type="dxa"/>
            </w:tcMar>
            <w:vAlign w:val="top"/>
          </w:tcPr>
          <w:p>
            <w:pPr>
              <w:spacing w:after="0"/>
            </w:pPr>
            <w:r>
              <w:rPr>
                <w:rFonts w:ascii="Aptos" w:hAnsi="Aptos"/>
                <w:b w:val="0"/>
                <w:i w:val="0"/>
                <w:color w:val="172033"/>
                <w:sz w:val="16"/>
              </w:rPr>
              <w:t>Home screen visibly communicates facts-only / no-investment-advice positioning.</w:t>
            </w:r>
          </w:p>
        </w:tc>
        <w:tc>
          <w:tcPr>
            <w:tcW w:type="dxa" w:w="5256"/>
            <w:tcMar>
              <w:top w:w="90" w:type="dxa"/>
              <w:start w:w="95" w:type="dxa"/>
              <w:bottom w:w="90" w:type="dxa"/>
              <w:end w:w="95" w:type="dxa"/>
            </w:tcMar>
            <w:vAlign w:val="top"/>
          </w:tcPr>
          <w:p>
            <w:pPr>
              <w:spacing w:after="0"/>
            </w:pPr>
            <w:r>
              <w:rPr>
                <w:rFonts w:ascii="Aptos" w:hAnsi="Aptos"/>
                <w:b w:val="0"/>
                <w:i w:val="0"/>
                <w:color w:val="172033"/>
                <w:sz w:val="16"/>
              </w:rPr>
              <w:t>User can start from example questions, popular-topic chips, or free-form input.</w:t>
            </w:r>
          </w:p>
        </w:tc>
      </w:tr>
      <w:tr>
        <w:trPr>
          <w:cantSplit w:val="true"/>
        </w:trPr>
        <w:tc>
          <w:tcPr>
            <w:tcW w:type="dxa" w:w="792"/>
            <w:shd w:fill="F5F7FA"/>
            <w:tcMar>
              <w:top w:w="90" w:type="dxa"/>
              <w:start w:w="95" w:type="dxa"/>
              <w:bottom w:w="90" w:type="dxa"/>
              <w:end w:w="95" w:type="dxa"/>
            </w:tcMar>
            <w:vAlign w:val="top"/>
          </w:tcPr>
          <w:p>
            <w:pPr>
              <w:spacing w:after="0"/>
            </w:pPr>
            <w:r>
              <w:rPr>
                <w:rFonts w:ascii="Aptos" w:hAnsi="Aptos"/>
                <w:b w:val="0"/>
                <w:i w:val="0"/>
                <w:color w:val="172033"/>
                <w:sz w:val="16"/>
              </w:rPr>
              <w:t>UI-02</w:t>
            </w:r>
          </w:p>
        </w:tc>
        <w:tc>
          <w:tcPr>
            <w:tcW w:type="dxa" w:w="4320"/>
            <w:shd w:fill="F5F7FA"/>
            <w:tcMar>
              <w:top w:w="90" w:type="dxa"/>
              <w:start w:w="95" w:type="dxa"/>
              <w:bottom w:w="90" w:type="dxa"/>
              <w:end w:w="95" w:type="dxa"/>
            </w:tcMar>
            <w:vAlign w:val="top"/>
          </w:tcPr>
          <w:p>
            <w:pPr>
              <w:spacing w:after="0"/>
            </w:pPr>
            <w:r>
              <w:rPr>
                <w:rFonts w:ascii="Aptos" w:hAnsi="Aptos"/>
                <w:b w:val="0"/>
                <w:i w:val="0"/>
                <w:color w:val="172033"/>
                <w:sz w:val="16"/>
              </w:rPr>
              <w:t>Question submission shows a user message followed by a retrieval/loading state.</w:t>
            </w:r>
          </w:p>
        </w:tc>
        <w:tc>
          <w:tcPr>
            <w:tcW w:type="dxa" w:w="5256"/>
            <w:shd w:fill="F5F7FA"/>
            <w:tcMar>
              <w:top w:w="90" w:type="dxa"/>
              <w:start w:w="95" w:type="dxa"/>
              <w:bottom w:w="90" w:type="dxa"/>
              <w:end w:w="95" w:type="dxa"/>
            </w:tcMar>
            <w:vAlign w:val="top"/>
          </w:tcPr>
          <w:p>
            <w:pPr>
              <w:spacing w:after="0"/>
            </w:pPr>
            <w:r>
              <w:rPr>
                <w:rFonts w:ascii="Aptos" w:hAnsi="Aptos"/>
                <w:b w:val="0"/>
                <w:i w:val="0"/>
                <w:color w:val="172033"/>
                <w:sz w:val="16"/>
              </w:rPr>
              <w:t>Loading copy does not imply a successful answer before retrieval completes.</w:t>
            </w:r>
          </w:p>
        </w:tc>
      </w:tr>
      <w:tr>
        <w:trPr>
          <w:cantSplit w:val="true"/>
        </w:trPr>
        <w:tc>
          <w:tcPr>
            <w:tcW w:type="dxa" w:w="792"/>
            <w:tcMar>
              <w:top w:w="90" w:type="dxa"/>
              <w:start w:w="95" w:type="dxa"/>
              <w:bottom w:w="90" w:type="dxa"/>
              <w:end w:w="95" w:type="dxa"/>
            </w:tcMar>
            <w:vAlign w:val="top"/>
          </w:tcPr>
          <w:p>
            <w:pPr>
              <w:spacing w:after="0"/>
            </w:pPr>
            <w:r>
              <w:rPr>
                <w:rFonts w:ascii="Aptos" w:hAnsi="Aptos"/>
                <w:b w:val="0"/>
                <w:i w:val="0"/>
                <w:color w:val="172033"/>
                <w:sz w:val="16"/>
              </w:rPr>
              <w:t>UI-03</w:t>
            </w:r>
          </w:p>
        </w:tc>
        <w:tc>
          <w:tcPr>
            <w:tcW w:type="dxa" w:w="4320"/>
            <w:tcMar>
              <w:top w:w="90" w:type="dxa"/>
              <w:start w:w="95" w:type="dxa"/>
              <w:bottom w:w="90" w:type="dxa"/>
              <w:end w:w="95" w:type="dxa"/>
            </w:tcMar>
            <w:vAlign w:val="top"/>
          </w:tcPr>
          <w:p>
            <w:pPr>
              <w:spacing w:after="0"/>
            </w:pPr>
            <w:r>
              <w:rPr>
                <w:rFonts w:ascii="Aptos" w:hAnsi="Aptos"/>
                <w:b w:val="0"/>
                <w:i w:val="0"/>
                <w:color w:val="172033"/>
                <w:sz w:val="16"/>
              </w:rPr>
              <w:t>Scheme-specific responses expose scheme identity and relevant source context.</w:t>
            </w:r>
          </w:p>
        </w:tc>
        <w:tc>
          <w:tcPr>
            <w:tcW w:type="dxa" w:w="5256"/>
            <w:tcMar>
              <w:top w:w="90" w:type="dxa"/>
              <w:start w:w="95" w:type="dxa"/>
              <w:bottom w:w="90" w:type="dxa"/>
              <w:end w:w="95" w:type="dxa"/>
            </w:tcMar>
            <w:vAlign w:val="top"/>
          </w:tcPr>
          <w:p>
            <w:pPr>
              <w:spacing w:after="0"/>
            </w:pPr>
            <w:r>
              <w:rPr>
                <w:rFonts w:ascii="Aptos" w:hAnsi="Aptos"/>
                <w:b w:val="0"/>
                <w:i w:val="0"/>
                <w:color w:val="172033"/>
                <w:sz w:val="16"/>
              </w:rPr>
              <w:t>Context labels are backed by retrieved metadata.</w:t>
            </w:r>
          </w:p>
        </w:tc>
      </w:tr>
      <w:tr>
        <w:trPr>
          <w:cantSplit w:val="true"/>
        </w:trPr>
        <w:tc>
          <w:tcPr>
            <w:tcW w:type="dxa" w:w="792"/>
            <w:shd w:fill="F5F7FA"/>
            <w:tcMar>
              <w:top w:w="90" w:type="dxa"/>
              <w:start w:w="95" w:type="dxa"/>
              <w:bottom w:w="90" w:type="dxa"/>
              <w:end w:w="95" w:type="dxa"/>
            </w:tcMar>
            <w:vAlign w:val="top"/>
          </w:tcPr>
          <w:p>
            <w:pPr>
              <w:spacing w:after="0"/>
            </w:pPr>
            <w:r>
              <w:rPr>
                <w:rFonts w:ascii="Aptos" w:hAnsi="Aptos"/>
                <w:b w:val="0"/>
                <w:i w:val="0"/>
                <w:color w:val="172033"/>
                <w:sz w:val="16"/>
              </w:rPr>
              <w:t>UI-04</w:t>
            </w:r>
          </w:p>
        </w:tc>
        <w:tc>
          <w:tcPr>
            <w:tcW w:type="dxa" w:w="4320"/>
            <w:shd w:fill="F5F7FA"/>
            <w:tcMar>
              <w:top w:w="90" w:type="dxa"/>
              <w:start w:w="95" w:type="dxa"/>
              <w:bottom w:w="90" w:type="dxa"/>
              <w:end w:w="95" w:type="dxa"/>
            </w:tcMar>
            <w:vAlign w:val="top"/>
          </w:tcPr>
          <w:p>
            <w:pPr>
              <w:spacing w:after="0"/>
            </w:pPr>
            <w:r>
              <w:rPr>
                <w:rFonts w:ascii="Aptos" w:hAnsi="Aptos"/>
                <w:b w:val="0"/>
                <w:i w:val="0"/>
                <w:color w:val="172033"/>
                <w:sz w:val="16"/>
              </w:rPr>
              <w:t>Factual answers show a source row and last-updated metadata.</w:t>
            </w:r>
          </w:p>
        </w:tc>
        <w:tc>
          <w:tcPr>
            <w:tcW w:type="dxa" w:w="5256"/>
            <w:shd w:fill="F5F7FA"/>
            <w:tcMar>
              <w:top w:w="90" w:type="dxa"/>
              <w:start w:w="95" w:type="dxa"/>
              <w:bottom w:w="90" w:type="dxa"/>
              <w:end w:w="95" w:type="dxa"/>
            </w:tcMar>
            <w:vAlign w:val="top"/>
          </w:tcPr>
          <w:p>
            <w:pPr>
              <w:spacing w:after="0"/>
            </w:pPr>
            <w:r>
              <w:rPr>
                <w:rFonts w:ascii="Aptos" w:hAnsi="Aptos"/>
                <w:b w:val="0"/>
                <w:i w:val="0"/>
                <w:color w:val="172033"/>
                <w:sz w:val="16"/>
              </w:rPr>
              <w:t>One source link only; narrative answer ≤3 sentences.</w:t>
            </w:r>
          </w:p>
        </w:tc>
      </w:tr>
      <w:tr>
        <w:trPr>
          <w:cantSplit w:val="true"/>
        </w:trPr>
        <w:tc>
          <w:tcPr>
            <w:tcW w:type="dxa" w:w="792"/>
            <w:tcMar>
              <w:top w:w="90" w:type="dxa"/>
              <w:start w:w="95" w:type="dxa"/>
              <w:bottom w:w="90" w:type="dxa"/>
              <w:end w:w="95" w:type="dxa"/>
            </w:tcMar>
            <w:vAlign w:val="top"/>
          </w:tcPr>
          <w:p>
            <w:pPr>
              <w:spacing w:after="0"/>
            </w:pPr>
            <w:r>
              <w:rPr>
                <w:rFonts w:ascii="Aptos" w:hAnsi="Aptos"/>
                <w:b w:val="0"/>
                <w:i w:val="0"/>
                <w:color w:val="172033"/>
                <w:sz w:val="16"/>
              </w:rPr>
              <w:t>UI-05</w:t>
            </w:r>
          </w:p>
        </w:tc>
        <w:tc>
          <w:tcPr>
            <w:tcW w:type="dxa" w:w="4320"/>
            <w:tcMar>
              <w:top w:w="90" w:type="dxa"/>
              <w:start w:w="95" w:type="dxa"/>
              <w:bottom w:w="90" w:type="dxa"/>
              <w:end w:w="95" w:type="dxa"/>
            </w:tcMar>
            <w:vAlign w:val="top"/>
          </w:tcPr>
          <w:p>
            <w:pPr>
              <w:spacing w:after="0"/>
            </w:pPr>
            <w:r>
              <w:rPr>
                <w:rFonts w:ascii="Aptos" w:hAnsi="Aptos"/>
                <w:b w:val="0"/>
                <w:i w:val="0"/>
                <w:color w:val="172033"/>
                <w:sz w:val="16"/>
              </w:rPr>
              <w:t>Advice requests never produce recommendation language.</w:t>
            </w:r>
          </w:p>
        </w:tc>
        <w:tc>
          <w:tcPr>
            <w:tcW w:type="dxa" w:w="5256"/>
            <w:tcMar>
              <w:top w:w="90" w:type="dxa"/>
              <w:start w:w="95" w:type="dxa"/>
              <w:bottom w:w="90" w:type="dxa"/>
              <w:end w:w="95" w:type="dxa"/>
            </w:tcMar>
            <w:vAlign w:val="top"/>
          </w:tcPr>
          <w:p>
            <w:pPr>
              <w:spacing w:after="0"/>
            </w:pPr>
            <w:r>
              <w:rPr>
                <w:rFonts w:ascii="Aptos" w:hAnsi="Aptos"/>
                <w:b w:val="0"/>
                <w:i w:val="0"/>
                <w:color w:val="172033"/>
                <w:sz w:val="16"/>
              </w:rPr>
              <w:t>Refusal state includes factual fallback and permitted factual inquiry chips.</w:t>
            </w:r>
          </w:p>
        </w:tc>
      </w:tr>
      <w:tr>
        <w:trPr>
          <w:cantSplit w:val="true"/>
        </w:trPr>
        <w:tc>
          <w:tcPr>
            <w:tcW w:type="dxa" w:w="792"/>
            <w:shd w:fill="F5F7FA"/>
            <w:tcMar>
              <w:top w:w="90" w:type="dxa"/>
              <w:start w:w="95" w:type="dxa"/>
              <w:bottom w:w="90" w:type="dxa"/>
              <w:end w:w="95" w:type="dxa"/>
            </w:tcMar>
            <w:vAlign w:val="top"/>
          </w:tcPr>
          <w:p>
            <w:pPr>
              <w:spacing w:after="0"/>
            </w:pPr>
            <w:r>
              <w:rPr>
                <w:rFonts w:ascii="Aptos" w:hAnsi="Aptos"/>
                <w:b w:val="0"/>
                <w:i w:val="0"/>
                <w:color w:val="172033"/>
                <w:sz w:val="16"/>
              </w:rPr>
              <w:t>UI-06</w:t>
            </w:r>
          </w:p>
        </w:tc>
        <w:tc>
          <w:tcPr>
            <w:tcW w:type="dxa" w:w="4320"/>
            <w:shd w:fill="F5F7FA"/>
            <w:tcMar>
              <w:top w:w="90" w:type="dxa"/>
              <w:start w:w="95" w:type="dxa"/>
              <w:bottom w:w="90" w:type="dxa"/>
              <w:end w:w="95" w:type="dxa"/>
            </w:tcMar>
            <w:vAlign w:val="top"/>
          </w:tcPr>
          <w:p>
            <w:pPr>
              <w:spacing w:after="0"/>
            </w:pPr>
            <w:r>
              <w:rPr>
                <w:rFonts w:ascii="Aptos" w:hAnsi="Aptos"/>
                <w:b w:val="0"/>
                <w:i w:val="0"/>
                <w:color w:val="172033"/>
                <w:sz w:val="16"/>
              </w:rPr>
              <w:t>Private/unsupported requests never result in invented personal information.</w:t>
            </w:r>
          </w:p>
        </w:tc>
        <w:tc>
          <w:tcPr>
            <w:tcW w:type="dxa" w:w="5256"/>
            <w:shd w:fill="F5F7FA"/>
            <w:tcMar>
              <w:top w:w="90" w:type="dxa"/>
              <w:start w:w="95" w:type="dxa"/>
              <w:bottom w:w="90" w:type="dxa"/>
              <w:end w:w="95" w:type="dxa"/>
            </w:tcMar>
            <w:vAlign w:val="top"/>
          </w:tcPr>
          <w:p>
            <w:pPr>
              <w:spacing w:after="0"/>
            </w:pPr>
            <w:r>
              <w:rPr>
                <w:rFonts w:ascii="Aptos" w:hAnsi="Aptos"/>
                <w:b w:val="0"/>
                <w:i w:val="0"/>
                <w:color w:val="172033"/>
                <w:sz w:val="16"/>
              </w:rPr>
              <w:t>Not-found/private-data response offers safe, relevant factual alternatives.</w:t>
            </w:r>
          </w:p>
        </w:tc>
      </w:tr>
      <w:tr>
        <w:trPr>
          <w:cantSplit w:val="true"/>
        </w:trPr>
        <w:tc>
          <w:tcPr>
            <w:tcW w:type="dxa" w:w="792"/>
            <w:tcMar>
              <w:top w:w="90" w:type="dxa"/>
              <w:start w:w="95" w:type="dxa"/>
              <w:bottom w:w="90" w:type="dxa"/>
              <w:end w:w="95" w:type="dxa"/>
            </w:tcMar>
            <w:vAlign w:val="top"/>
          </w:tcPr>
          <w:p>
            <w:pPr>
              <w:spacing w:after="0"/>
            </w:pPr>
            <w:r>
              <w:rPr>
                <w:rFonts w:ascii="Aptos" w:hAnsi="Aptos"/>
                <w:b w:val="0"/>
                <w:i w:val="0"/>
                <w:color w:val="172033"/>
                <w:sz w:val="16"/>
              </w:rPr>
              <w:t>UI-07</w:t>
            </w:r>
          </w:p>
        </w:tc>
        <w:tc>
          <w:tcPr>
            <w:tcW w:type="dxa" w:w="4320"/>
            <w:tcMar>
              <w:top w:w="90" w:type="dxa"/>
              <w:start w:w="95" w:type="dxa"/>
              <w:bottom w:w="90" w:type="dxa"/>
              <w:end w:w="95" w:type="dxa"/>
            </w:tcMar>
            <w:vAlign w:val="top"/>
          </w:tcPr>
          <w:p>
            <w:pPr>
              <w:spacing w:after="0"/>
            </w:pPr>
            <w:r>
              <w:rPr>
                <w:rFonts w:ascii="Aptos" w:hAnsi="Aptos"/>
                <w:b w:val="0"/>
                <w:i w:val="0"/>
                <w:color w:val="172033"/>
                <w:sz w:val="16"/>
              </w:rPr>
              <w:t>Sensitive identity data is masked and blocked before downstream RAG steps.</w:t>
            </w:r>
          </w:p>
        </w:tc>
        <w:tc>
          <w:tcPr>
            <w:tcW w:type="dxa" w:w="5256"/>
            <w:tcMar>
              <w:top w:w="90" w:type="dxa"/>
              <w:start w:w="95" w:type="dxa"/>
              <w:bottom w:w="90" w:type="dxa"/>
              <w:end w:w="95" w:type="dxa"/>
            </w:tcMar>
            <w:vAlign w:val="top"/>
          </w:tcPr>
          <w:p>
            <w:pPr>
              <w:spacing w:after="0"/>
            </w:pPr>
            <w:r>
              <w:rPr>
                <w:rFonts w:ascii="Aptos" w:hAnsi="Aptos"/>
                <w:b w:val="0"/>
                <w:i w:val="0"/>
                <w:color w:val="172033"/>
                <w:sz w:val="16"/>
              </w:rPr>
              <w:t>No raw PII in embeddings, ChromaDB, LLM context, logs, or persisted chat history.</w:t>
            </w:r>
          </w:p>
        </w:tc>
      </w:tr>
      <w:tr>
        <w:trPr>
          <w:cantSplit w:val="true"/>
        </w:trPr>
        <w:tc>
          <w:tcPr>
            <w:tcW w:type="dxa" w:w="792"/>
            <w:shd w:fill="F5F7FA"/>
            <w:tcMar>
              <w:top w:w="90" w:type="dxa"/>
              <w:start w:w="95" w:type="dxa"/>
              <w:bottom w:w="90" w:type="dxa"/>
              <w:end w:w="95" w:type="dxa"/>
            </w:tcMar>
            <w:vAlign w:val="top"/>
          </w:tcPr>
          <w:p>
            <w:pPr>
              <w:spacing w:after="0"/>
            </w:pPr>
            <w:r>
              <w:rPr>
                <w:rFonts w:ascii="Aptos" w:hAnsi="Aptos"/>
                <w:b w:val="0"/>
                <w:i w:val="0"/>
                <w:color w:val="172033"/>
                <w:sz w:val="16"/>
              </w:rPr>
              <w:t>UI-08</w:t>
            </w:r>
          </w:p>
        </w:tc>
        <w:tc>
          <w:tcPr>
            <w:tcW w:type="dxa" w:w="4320"/>
            <w:shd w:fill="F5F7FA"/>
            <w:tcMar>
              <w:top w:w="90" w:type="dxa"/>
              <w:start w:w="95" w:type="dxa"/>
              <w:bottom w:w="90" w:type="dxa"/>
              <w:end w:w="95" w:type="dxa"/>
            </w:tcMar>
            <w:vAlign w:val="top"/>
          </w:tcPr>
          <w:p>
            <w:pPr>
              <w:spacing w:after="0"/>
            </w:pPr>
            <w:r>
              <w:rPr>
                <w:rFonts w:ascii="Aptos" w:hAnsi="Aptos"/>
                <w:b w:val="0"/>
                <w:i w:val="0"/>
                <w:color w:val="172033"/>
                <w:sz w:val="16"/>
              </w:rPr>
              <w:t>Retrieval failure has a recoverable UI state.</w:t>
            </w:r>
          </w:p>
        </w:tc>
        <w:tc>
          <w:tcPr>
            <w:tcW w:type="dxa" w:w="5256"/>
            <w:shd w:fill="F5F7FA"/>
            <w:tcMar>
              <w:top w:w="90" w:type="dxa"/>
              <w:start w:w="95" w:type="dxa"/>
              <w:bottom w:w="90" w:type="dxa"/>
              <w:end w:w="95" w:type="dxa"/>
            </w:tcMar>
            <w:vAlign w:val="top"/>
          </w:tcPr>
          <w:p>
            <w:pPr>
              <w:spacing w:after="0"/>
            </w:pPr>
            <w:r>
              <w:rPr>
                <w:rFonts w:ascii="Aptos" w:hAnsi="Aptos"/>
                <w:b w:val="0"/>
                <w:i w:val="0"/>
                <w:color w:val="172033"/>
                <w:sz w:val="16"/>
              </w:rPr>
              <w:t>Retry and alternative-question actions are available; no fabricated source is shown.</w:t>
            </w:r>
          </w:p>
        </w:tc>
      </w:tr>
      <w:tr>
        <w:trPr>
          <w:cantSplit w:val="true"/>
        </w:trPr>
        <w:tc>
          <w:tcPr>
            <w:tcW w:type="dxa" w:w="792"/>
            <w:tcMar>
              <w:top w:w="90" w:type="dxa"/>
              <w:start w:w="95" w:type="dxa"/>
              <w:bottom w:w="90" w:type="dxa"/>
              <w:end w:w="95" w:type="dxa"/>
            </w:tcMar>
            <w:vAlign w:val="top"/>
          </w:tcPr>
          <w:p>
            <w:pPr>
              <w:spacing w:after="0"/>
            </w:pPr>
            <w:r>
              <w:rPr>
                <w:rFonts w:ascii="Aptos" w:hAnsi="Aptos"/>
                <w:b w:val="0"/>
                <w:i w:val="0"/>
                <w:color w:val="172033"/>
                <w:sz w:val="16"/>
              </w:rPr>
              <w:t>UI-09</w:t>
            </w:r>
          </w:p>
        </w:tc>
        <w:tc>
          <w:tcPr>
            <w:tcW w:type="dxa" w:w="4320"/>
            <w:tcMar>
              <w:top w:w="90" w:type="dxa"/>
              <w:start w:w="95" w:type="dxa"/>
              <w:bottom w:w="90" w:type="dxa"/>
              <w:end w:w="95" w:type="dxa"/>
            </w:tcMar>
            <w:vAlign w:val="top"/>
          </w:tcPr>
          <w:p>
            <w:pPr>
              <w:spacing w:after="0"/>
            </w:pPr>
            <w:r>
              <w:rPr>
                <w:rFonts w:ascii="Aptos" w:hAnsi="Aptos"/>
                <w:b w:val="0"/>
                <w:i w:val="0"/>
                <w:color w:val="172033"/>
                <w:sz w:val="16"/>
              </w:rPr>
              <w:t>Performance restrictions remain intact despite benchmark-related UI content.</w:t>
            </w:r>
          </w:p>
        </w:tc>
        <w:tc>
          <w:tcPr>
            <w:tcW w:type="dxa" w:w="5256"/>
            <w:tcMar>
              <w:top w:w="90" w:type="dxa"/>
              <w:start w:w="95" w:type="dxa"/>
              <w:bottom w:w="90" w:type="dxa"/>
              <w:end w:w="95" w:type="dxa"/>
            </w:tcMar>
            <w:vAlign w:val="top"/>
          </w:tcPr>
          <w:p>
            <w:pPr>
              <w:spacing w:after="0"/>
            </w:pPr>
            <w:r>
              <w:rPr>
                <w:rFonts w:ascii="Aptos" w:hAnsi="Aptos"/>
                <w:b w:val="0"/>
                <w:i w:val="0"/>
                <w:color w:val="172033"/>
                <w:sz w:val="16"/>
              </w:rPr>
              <w:t>No return ranking, comparison, computation, forecast, or suitability recommendation is generated.</w:t>
            </w:r>
          </w:p>
        </w:tc>
      </w:tr>
      <w:tr>
        <w:trPr>
          <w:cantSplit w:val="true"/>
        </w:trPr>
        <w:tc>
          <w:tcPr>
            <w:tcW w:type="dxa" w:w="792"/>
            <w:shd w:fill="F5F7FA"/>
            <w:tcMar>
              <w:top w:w="90" w:type="dxa"/>
              <w:start w:w="95" w:type="dxa"/>
              <w:bottom w:w="90" w:type="dxa"/>
              <w:end w:w="95" w:type="dxa"/>
            </w:tcMar>
            <w:vAlign w:val="top"/>
          </w:tcPr>
          <w:p>
            <w:pPr>
              <w:spacing w:after="0"/>
            </w:pPr>
            <w:r>
              <w:rPr>
                <w:rFonts w:ascii="Aptos" w:hAnsi="Aptos"/>
                <w:b w:val="0"/>
                <w:i w:val="0"/>
                <w:color w:val="172033"/>
                <w:sz w:val="16"/>
              </w:rPr>
              <w:t>UI-10</w:t>
            </w:r>
          </w:p>
        </w:tc>
        <w:tc>
          <w:tcPr>
            <w:tcW w:type="dxa" w:w="4320"/>
            <w:shd w:fill="F5F7FA"/>
            <w:tcMar>
              <w:top w:w="90" w:type="dxa"/>
              <w:start w:w="95" w:type="dxa"/>
              <w:bottom w:w="90" w:type="dxa"/>
              <w:end w:w="95" w:type="dxa"/>
            </w:tcMar>
            <w:vAlign w:val="top"/>
          </w:tcPr>
          <w:p>
            <w:pPr>
              <w:spacing w:after="0"/>
            </w:pPr>
            <w:r>
              <w:rPr>
                <w:rFonts w:ascii="Aptos" w:hAnsi="Aptos"/>
                <w:b w:val="0"/>
                <w:i w:val="0"/>
                <w:color w:val="172033"/>
                <w:sz w:val="16"/>
              </w:rPr>
              <w:t>Navigation does not imply account/portfolio access.</w:t>
            </w:r>
          </w:p>
        </w:tc>
        <w:tc>
          <w:tcPr>
            <w:tcW w:type="dxa" w:w="5256"/>
            <w:shd w:fill="F5F7FA"/>
            <w:tcMar>
              <w:top w:w="90" w:type="dxa"/>
              <w:start w:w="95" w:type="dxa"/>
              <w:bottom w:w="90" w:type="dxa"/>
              <w:end w:w="95" w:type="dxa"/>
            </w:tcMar>
            <w:vAlign w:val="top"/>
          </w:tcPr>
          <w:p>
            <w:pPr>
              <w:spacing w:after="0"/>
            </w:pPr>
            <w:r>
              <w:rPr>
                <w:rFonts w:ascii="Aptos" w:hAnsi="Aptos"/>
                <w:b w:val="0"/>
                <w:i w:val="0"/>
                <w:color w:val="172033"/>
                <w:sz w:val="16"/>
              </w:rPr>
              <w:t>Profile icon and account-like affordances do not authorize live portfolio lookup unless separately implemented and approved; current scope is FAQ only.</w:t>
            </w:r>
          </w:p>
        </w:tc>
      </w:tr>
    </w:tbl>
    <w:p>
      <w:pPr>
        <w:spacing w:after="20"/>
      </w:pPr>
    </w:p>
    <w:p>
      <w:pPr>
        <w:pStyle w:val="Heading1"/>
        <w:keepNext/>
        <w:spacing w:before="240" w:after="100"/>
      </w:pPr>
      <w:r>
        <w:rPr>
          <w:rFonts w:ascii="Aptos" w:hAnsi="Aptos"/>
          <w:b/>
          <w:i w:val="0"/>
          <w:color w:val="123E8C"/>
          <w:sz w:val="30"/>
        </w:rPr>
        <w:t>28. Known UI Copy / Implementation Dependencies</w:t>
      </w:r>
    </w:p>
    <w:p>
      <w:pPr>
        <w:spacing w:after="100" w:line="259" w:lineRule="auto"/>
      </w:pPr>
      <w:r>
        <w:rPr>
          <w:rFonts w:ascii="Aptos" w:hAnsi="Aptos"/>
          <w:b w:val="0"/>
          <w:i w:val="0"/>
          <w:color w:val="172033"/>
          <w:sz w:val="21"/>
        </w:rPr>
        <w:t>The supplied wireframes contain several strong claims that must remain synchronized with actual implementation. These are not architectural changes; they are release-readiness checks.</w:t>
      </w:r>
    </w:p>
    <w:p>
      <w:pPr>
        <w:pStyle w:val="ListBullet"/>
        <w:spacing w:after="40"/>
      </w:pPr>
      <w:r>
        <w:rPr>
          <w:rFonts w:ascii="Aptos" w:hAnsi="Aptos"/>
          <w:b/>
          <w:i w:val="0"/>
          <w:color w:val="172033"/>
          <w:sz w:val="20"/>
        </w:rPr>
        <w:t xml:space="preserve">“Sourced directly from SEBI filings &amp; Groww”: </w:t>
      </w:r>
      <w:r>
        <w:rPr>
          <w:rFonts w:ascii="Aptos" w:hAnsi="Aptos"/>
          <w:b w:val="0"/>
          <w:i w:val="0"/>
          <w:color w:val="172033"/>
          <w:sz w:val="20"/>
        </w:rPr>
        <w:t>use only when the actual retrieved source set includes SEBI sources; otherwise use a label such as “Sourced from approved SBI Mutual Fund and Groww sources.”</w:t>
      </w:r>
    </w:p>
    <w:p>
      <w:pPr>
        <w:pStyle w:val="ListBullet"/>
        <w:spacing w:after="40"/>
      </w:pPr>
      <w:r>
        <w:rPr>
          <w:rFonts w:ascii="Aptos" w:hAnsi="Aptos"/>
          <w:b/>
          <w:i w:val="0"/>
          <w:color w:val="172033"/>
          <w:sz w:val="20"/>
        </w:rPr>
        <w:t xml:space="preserve">“Data synchronized daily”: </w:t>
      </w:r>
      <w:r>
        <w:rPr>
          <w:rFonts w:ascii="Aptos" w:hAnsi="Aptos"/>
          <w:b w:val="0"/>
          <w:i w:val="0"/>
          <w:color w:val="172033"/>
          <w:sz w:val="20"/>
        </w:rPr>
        <w:t>display only if an actual daily refresh/update process exists; otherwise expose the last successful refresh date.</w:t>
      </w:r>
    </w:p>
    <w:p>
      <w:pPr>
        <w:pStyle w:val="ListBullet"/>
        <w:spacing w:after="40"/>
      </w:pPr>
      <w:r>
        <w:rPr>
          <w:rFonts w:ascii="Aptos" w:hAnsi="Aptos"/>
          <w:b/>
          <w:i w:val="0"/>
          <w:color w:val="172033"/>
          <w:sz w:val="20"/>
        </w:rPr>
        <w:t xml:space="preserve">“Data was not saved or transmitted to servers”: </w:t>
      </w:r>
      <w:r>
        <w:rPr>
          <w:rFonts w:ascii="Aptos" w:hAnsi="Aptos"/>
          <w:b w:val="0"/>
          <w:i w:val="0"/>
          <w:color w:val="172033"/>
          <w:sz w:val="20"/>
        </w:rPr>
        <w:t>only use if client-side detection/masking and downstream request handling truly guarantee that behavior.</w:t>
      </w:r>
    </w:p>
    <w:p>
      <w:pPr>
        <w:pStyle w:val="ListBullet"/>
        <w:spacing w:after="40"/>
      </w:pPr>
      <w:r>
        <w:rPr>
          <w:rFonts w:ascii="Aptos" w:hAnsi="Aptos"/>
          <w:b/>
          <w:i w:val="0"/>
          <w:color w:val="172033"/>
          <w:sz w:val="20"/>
        </w:rPr>
        <w:t xml:space="preserve">“End-to-End Privacy Guaranteed”: </w:t>
      </w:r>
      <w:r>
        <w:rPr>
          <w:rFonts w:ascii="Aptos" w:hAnsi="Aptos"/>
          <w:b w:val="0"/>
          <w:i w:val="0"/>
          <w:color w:val="172033"/>
          <w:sz w:val="20"/>
        </w:rPr>
        <w:t>treat as a technical guarantee, not marketing copy. It requires verification of storage, logs, transport, session persistence, and model-request handling.</w:t>
      </w:r>
    </w:p>
    <w:p>
      <w:pPr>
        <w:pStyle w:val="ListBullet"/>
        <w:spacing w:after="40"/>
      </w:pPr>
      <w:r>
        <w:rPr>
          <w:rFonts w:ascii="Aptos" w:hAnsi="Aptos"/>
          <w:b/>
          <w:i w:val="0"/>
          <w:color w:val="172033"/>
          <w:sz w:val="20"/>
        </w:rPr>
        <w:t xml:space="preserve">“Conversations do not persist across devices”: </w:t>
      </w:r>
      <w:r>
        <w:rPr>
          <w:rFonts w:ascii="Aptos" w:hAnsi="Aptos"/>
          <w:b w:val="0"/>
          <w:i w:val="0"/>
          <w:color w:val="172033"/>
          <w:sz w:val="20"/>
        </w:rPr>
        <w:t>the prototype should use session-only state unless cross-device persistence is intentionally implemented and separately scoped.</w:t>
      </w:r>
    </w:p>
    <w:tbl>
      <w:tblPr>
        <w:tblW w:type="auto" w:w="0"/>
        <w:jc w:val="center"/>
        <w:tblLook w:firstColumn="1" w:firstRow="1" w:lastColumn="0" w:lastRow="0" w:noHBand="0" w:noVBand="1" w:val="04A0"/>
      </w:tblPr>
      <w:tblGrid>
        <w:gridCol w:w="10166"/>
      </w:tblGrid>
      <w:tr>
        <w:tc>
          <w:tcPr>
            <w:tcW w:type="dxa" w:w="10166"/>
            <w:shd w:fill="EEF3FF"/>
            <w:tcBorders>
              <w:top w:val="single" w:sz="8" w:color="D9DFEA"/>
              <w:left w:val="single" w:sz="12" w:color="123E8C"/>
              <w:bottom w:val="single" w:sz="8" w:color="D9DFEA"/>
              <w:right w:val="single" w:sz="8" w:color="D9DFEA"/>
            </w:tcBorders>
            <w:tcMar>
              <w:top w:w="140" w:type="dxa"/>
              <w:start w:w="170" w:type="dxa"/>
              <w:bottom w:w="140" w:type="dxa"/>
              <w:end w:w="170" w:type="dxa"/>
            </w:tcMar>
          </w:tcPr>
          <w:p>
            <w:pPr>
              <w:spacing w:after="60"/>
            </w:pPr>
            <w:r>
              <w:rPr>
                <w:rFonts w:ascii="Aptos" w:hAnsi="Aptos"/>
                <w:b/>
                <w:i w:val="0"/>
                <w:color w:val="123E8C"/>
                <w:sz w:val="20"/>
              </w:rPr>
              <w:t>Final alignment decision</w:t>
            </w:r>
          </w:p>
          <w:p>
            <w:pPr>
              <w:spacing w:after="0"/>
            </w:pPr>
            <w:r>
              <w:rPr>
                <w:rFonts w:ascii="Aptos" w:hAnsi="Aptos"/>
                <w:b w:val="0"/>
                <w:i w:val="0"/>
                <w:color w:val="172033"/>
                <w:sz w:val="19"/>
              </w:rPr>
              <w:t>v2 is a UI/workflow alignment of the Product Brief, not a redesign of the RAG system. The original corpus, retrieval architecture, embedding model, persistent ChromaDB, guardrails-first sequence, facts-only policy, and source-grounding requirements remain the foundation.</w:t>
            </w:r>
          </w:p>
        </w:tc>
      </w:tr>
    </w:tbl>
    <w:p>
      <w:pPr>
        <w:spacing w:after="2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579"/>
        <w:sz w:val="17"/>
      </w:rPr>
      <w:t xml:space="preserve">Wireframe-aligned specification | Core RAG architecture preserved | Page </w:t>
    </w:r>
    <w:r>
      <w:rPr>
        <w:rFonts w:ascii="Aptos" w:hAnsi="Aptos"/>
        <w:b w:val="0"/>
        <w:i w:val="0"/>
        <w:color w:val="59657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96579"/>
        <w:sz w:val="17"/>
      </w:rPr>
      <w:t>SBI Mutual Fund FAQ Assistant | Product Brief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65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SBI Mutual Fund Facts-Only RAG Chatbot — Product Brief v2</dc:title>
  <dc:subject>Wireframe-aligned product brief preserving core RAG architecture</dc:subject>
  <dc:creator>OpenAI</dc:creator>
  <cp:keywords>SBI Mutual Fund, RAG, product brief, wireframe, Groww, FAQ assistant</cp:keywords>
  <dc:description>generated by python-docx</dc:description>
  <cp:lastModifiedBy/>
  <cp:revision>1</cp:revision>
  <dcterms:created xsi:type="dcterms:W3CDTF">2013-12-23T23:15:00Z</dcterms:created>
  <dcterms:modified xsi:type="dcterms:W3CDTF">2013-12-23T23:15:00Z</dcterms:modified>
  <cp:category/>
</cp:coreProperties>
</file>