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30D" w:rsidRPr="00DE4D81" w:rsidRDefault="00E82015">
      <w:pPr>
        <w:rPr>
          <w:sz w:val="40"/>
          <w:szCs w:val="40"/>
        </w:rPr>
      </w:pPr>
      <w:r w:rsidRPr="00DE4D81">
        <w:rPr>
          <w:sz w:val="40"/>
          <w:szCs w:val="40"/>
        </w:rPr>
        <w:t>Context / Problem Statement:</w:t>
      </w:r>
    </w:p>
    <w:p w:rsidR="00E82015" w:rsidRDefault="00E82015" w:rsidP="00DE4D81">
      <w:pPr>
        <w:spacing w:line="240" w:lineRule="auto"/>
      </w:pPr>
      <w:r>
        <w:t xml:space="preserve">Big Mountain Resort has recently installed an additional chair lift to help increase the distribution of visitors across the mountain. This additional chair increases their operating costs by $1,540,000 this season. </w:t>
      </w:r>
      <w:proofErr w:type="gramStart"/>
      <w:r>
        <w:t>Every year about 350,000 people ski or snowboard at Big Mountain.</w:t>
      </w:r>
      <w:proofErr w:type="gramEnd"/>
      <w:r>
        <w:t xml:space="preserve"> This business profit margin is 9.2% and the investors would like to keep it there. The business is eager to get your recommendations on recouping the increased operating costs from the new chair this season.</w:t>
      </w:r>
    </w:p>
    <w:p w:rsidR="00F13516" w:rsidRPr="00DE4D81" w:rsidRDefault="00F13516" w:rsidP="00DE4D81">
      <w:pPr>
        <w:spacing w:line="240" w:lineRule="auto"/>
        <w:rPr>
          <w:sz w:val="28"/>
          <w:szCs w:val="28"/>
        </w:rPr>
      </w:pPr>
      <w:r w:rsidRPr="00DE4D81">
        <w:rPr>
          <w:sz w:val="28"/>
          <w:szCs w:val="28"/>
        </w:rPr>
        <w:t>Process Methodology</w:t>
      </w:r>
      <w:r w:rsidR="00AC233B" w:rsidRPr="00DE4D81">
        <w:rPr>
          <w:sz w:val="28"/>
          <w:szCs w:val="28"/>
        </w:rPr>
        <w:t xml:space="preserve"> Followed</w:t>
      </w:r>
      <w:r w:rsidRPr="00DE4D81">
        <w:rPr>
          <w:sz w:val="28"/>
          <w:szCs w:val="28"/>
        </w:rPr>
        <w:t>:</w:t>
      </w:r>
    </w:p>
    <w:p w:rsidR="00AC233B" w:rsidRDefault="00F13516" w:rsidP="00DE4D81">
      <w:pPr>
        <w:spacing w:line="240" w:lineRule="auto"/>
      </w:pPr>
      <w:r w:rsidRPr="00F13516">
        <w:t xml:space="preserve">Initially </w:t>
      </w:r>
      <w:r w:rsidR="00AC233B">
        <w:t xml:space="preserve">in the </w:t>
      </w:r>
      <w:proofErr w:type="gramStart"/>
      <w:r w:rsidR="00AC233B">
        <w:t>M</w:t>
      </w:r>
      <w:r>
        <w:t xml:space="preserve">odel </w:t>
      </w:r>
      <w:r w:rsidR="00AC233B">
        <w:t>,</w:t>
      </w:r>
      <w:proofErr w:type="gramEnd"/>
    </w:p>
    <w:p w:rsidR="00AC233B" w:rsidRDefault="00AC233B" w:rsidP="00DE4D81">
      <w:pPr>
        <w:pStyle w:val="ListParagraph"/>
        <w:numPr>
          <w:ilvl w:val="0"/>
          <w:numId w:val="2"/>
        </w:numPr>
        <w:spacing w:line="240" w:lineRule="auto"/>
      </w:pPr>
      <w:r>
        <w:t>W</w:t>
      </w:r>
      <w:r w:rsidR="00F13516">
        <w:t>e</w:t>
      </w:r>
      <w:r>
        <w:t xml:space="preserve"> Observed and cleaned the given dataset </w:t>
      </w:r>
    </w:p>
    <w:p w:rsidR="00AC233B" w:rsidRDefault="00AC233B" w:rsidP="00DE4D81">
      <w:pPr>
        <w:pStyle w:val="ListParagraph"/>
        <w:numPr>
          <w:ilvl w:val="0"/>
          <w:numId w:val="2"/>
        </w:numPr>
        <w:spacing w:line="240" w:lineRule="auto"/>
      </w:pPr>
      <w:r>
        <w:t xml:space="preserve">Filled in the </w:t>
      </w:r>
      <w:r w:rsidRPr="00AC233B">
        <w:rPr>
          <w:b/>
          <w:sz w:val="24"/>
        </w:rPr>
        <w:t>Nan</w:t>
      </w:r>
      <w:r>
        <w:t xml:space="preserve"> values using fill method as mean </w:t>
      </w:r>
    </w:p>
    <w:p w:rsidR="00AC233B" w:rsidRDefault="00AC233B" w:rsidP="00DE4D81">
      <w:pPr>
        <w:pStyle w:val="ListParagraph"/>
        <w:numPr>
          <w:ilvl w:val="0"/>
          <w:numId w:val="2"/>
        </w:numPr>
        <w:spacing w:line="240" w:lineRule="auto"/>
      </w:pPr>
      <w:r>
        <w:t xml:space="preserve">Dropped unnecessary columns </w:t>
      </w:r>
    </w:p>
    <w:p w:rsidR="00AC233B" w:rsidRDefault="00F13516" w:rsidP="00DE4D81">
      <w:pPr>
        <w:pStyle w:val="ListParagraph"/>
        <w:numPr>
          <w:ilvl w:val="0"/>
          <w:numId w:val="2"/>
        </w:numPr>
        <w:spacing w:line="240" w:lineRule="auto"/>
      </w:pPr>
      <w:r>
        <w:t>Scaled the data</w:t>
      </w:r>
      <w:r w:rsidR="00AC233B">
        <w:t xml:space="preserve"> using Transform</w:t>
      </w:r>
    </w:p>
    <w:p w:rsidR="00AC233B" w:rsidRDefault="00AC233B" w:rsidP="00DE4D81">
      <w:pPr>
        <w:pStyle w:val="ListParagraph"/>
        <w:numPr>
          <w:ilvl w:val="0"/>
          <w:numId w:val="2"/>
        </w:numPr>
        <w:spacing w:line="240" w:lineRule="auto"/>
      </w:pPr>
      <w:r>
        <w:t>M</w:t>
      </w:r>
      <w:r w:rsidR="00F13516">
        <w:t xml:space="preserve">ade dummy variables for categorical variables </w:t>
      </w:r>
    </w:p>
    <w:p w:rsidR="00AC233B" w:rsidRDefault="00AC233B" w:rsidP="00DE4D81">
      <w:pPr>
        <w:pStyle w:val="ListParagraph"/>
        <w:numPr>
          <w:ilvl w:val="0"/>
          <w:numId w:val="2"/>
        </w:numPr>
        <w:spacing w:line="240" w:lineRule="auto"/>
      </w:pPr>
      <w:r>
        <w:t xml:space="preserve">Split the dataset available into training and testing set with the ratio 75:25 </w:t>
      </w:r>
    </w:p>
    <w:p w:rsidR="00F13516" w:rsidRDefault="00AC233B" w:rsidP="00DE4D81">
      <w:pPr>
        <w:pStyle w:val="ListParagraph"/>
        <w:numPr>
          <w:ilvl w:val="0"/>
          <w:numId w:val="2"/>
        </w:numPr>
        <w:spacing w:line="240" w:lineRule="auto"/>
      </w:pPr>
      <w:r>
        <w:t xml:space="preserve">Used Linear Regression Algorithm to fit and Predict Values </w:t>
      </w:r>
      <w:proofErr w:type="gramStart"/>
      <w:r>
        <w:t>Respectively</w:t>
      </w:r>
      <w:r w:rsidR="00DE2ECC">
        <w:t xml:space="preserve"> ,</w:t>
      </w:r>
      <w:proofErr w:type="gramEnd"/>
      <w:r w:rsidR="00DE2ECC">
        <w:t xml:space="preserve"> also Variable Coefficients were Calculated</w:t>
      </w:r>
      <w:r>
        <w:t>.</w:t>
      </w:r>
    </w:p>
    <w:p w:rsidR="00AC233B" w:rsidRDefault="00F8612D" w:rsidP="00DE4D81">
      <w:pPr>
        <w:pStyle w:val="ListParagraph"/>
        <w:numPr>
          <w:ilvl w:val="0"/>
          <w:numId w:val="2"/>
        </w:numPr>
        <w:spacing w:line="240" w:lineRule="auto"/>
      </w:pPr>
      <w:r>
        <w:t>Checked model error</w:t>
      </w:r>
      <w:r w:rsidR="00AC233B">
        <w:t xml:space="preserve"> by calculating mean absolute error and Variance of the Model.</w:t>
      </w:r>
    </w:p>
    <w:p w:rsidR="00AC233B" w:rsidRDefault="00AC233B" w:rsidP="00DE4D81">
      <w:pPr>
        <w:pStyle w:val="ListParagraph"/>
        <w:numPr>
          <w:ilvl w:val="0"/>
          <w:numId w:val="2"/>
        </w:numPr>
        <w:spacing w:line="240" w:lineRule="auto"/>
      </w:pPr>
      <w:r>
        <w:t xml:space="preserve">Lastly we visualized the results by using Scatter and </w:t>
      </w:r>
      <w:proofErr w:type="spellStart"/>
      <w:r>
        <w:t>Regressor</w:t>
      </w:r>
      <w:proofErr w:type="spellEnd"/>
      <w:r>
        <w:t xml:space="preserve"> Plots. </w:t>
      </w:r>
    </w:p>
    <w:p w:rsidR="00AC233B" w:rsidRPr="00DE4D81" w:rsidRDefault="00AC233B" w:rsidP="00DE4D81">
      <w:pPr>
        <w:spacing w:line="240" w:lineRule="auto"/>
        <w:rPr>
          <w:sz w:val="28"/>
          <w:szCs w:val="28"/>
        </w:rPr>
      </w:pPr>
      <w:r w:rsidRPr="00DE4D81">
        <w:rPr>
          <w:sz w:val="28"/>
          <w:szCs w:val="28"/>
        </w:rPr>
        <w:t>Key Variables Involved In the above case study:</w:t>
      </w:r>
    </w:p>
    <w:p w:rsidR="00AC233B" w:rsidRDefault="00AC233B" w:rsidP="00DE4D81">
      <w:pPr>
        <w:pStyle w:val="ListParagraph"/>
        <w:numPr>
          <w:ilvl w:val="0"/>
          <w:numId w:val="1"/>
        </w:numPr>
        <w:spacing w:line="240" w:lineRule="auto"/>
      </w:pPr>
      <w:r>
        <w:t>Region/State  where resort is located</w:t>
      </w:r>
    </w:p>
    <w:p w:rsidR="00AC233B" w:rsidRDefault="00AC233B" w:rsidP="00DE4D81">
      <w:pPr>
        <w:pStyle w:val="ListParagraph"/>
        <w:numPr>
          <w:ilvl w:val="0"/>
          <w:numId w:val="1"/>
        </w:numPr>
        <w:spacing w:line="240" w:lineRule="auto"/>
      </w:pPr>
      <w:r>
        <w:t>AdultWeekday Ticket Prices.</w:t>
      </w:r>
    </w:p>
    <w:p w:rsidR="00AC233B" w:rsidRDefault="00AC233B" w:rsidP="00DE4D81">
      <w:pPr>
        <w:pStyle w:val="ListParagraph"/>
        <w:numPr>
          <w:ilvl w:val="0"/>
          <w:numId w:val="1"/>
        </w:numPr>
        <w:spacing w:line="240" w:lineRule="auto"/>
      </w:pPr>
      <w:r>
        <w:t>AdultWeekend Ticket Prices.</w:t>
      </w:r>
    </w:p>
    <w:p w:rsidR="00AC233B" w:rsidRDefault="00AC233B" w:rsidP="00DE4D81">
      <w:pPr>
        <w:pStyle w:val="ListParagraph"/>
        <w:numPr>
          <w:ilvl w:val="0"/>
          <w:numId w:val="1"/>
        </w:numPr>
        <w:spacing w:line="240" w:lineRule="auto"/>
      </w:pPr>
      <w:r>
        <w:t>No o</w:t>
      </w:r>
      <w:r w:rsidR="00DE2ECC">
        <w:t xml:space="preserve">f Days when resort is open </w:t>
      </w:r>
      <w:r w:rsidR="00F8612D">
        <w:t xml:space="preserve">and </w:t>
      </w:r>
      <w:r w:rsidR="00DE2ECC">
        <w:t>predicted</w:t>
      </w:r>
      <w:r>
        <w:t xml:space="preserve"> days. </w:t>
      </w:r>
    </w:p>
    <w:p w:rsidR="00B0330D" w:rsidRPr="00DE4D81" w:rsidRDefault="00B0330D" w:rsidP="00DE4D81">
      <w:pPr>
        <w:spacing w:line="240" w:lineRule="auto"/>
        <w:rPr>
          <w:sz w:val="28"/>
          <w:szCs w:val="28"/>
        </w:rPr>
      </w:pPr>
      <w:r w:rsidRPr="00DE4D81">
        <w:rPr>
          <w:sz w:val="28"/>
          <w:szCs w:val="28"/>
        </w:rPr>
        <w:t>Model Description</w:t>
      </w:r>
    </w:p>
    <w:p w:rsidR="00AC233B" w:rsidRDefault="00F8612D" w:rsidP="00DE4D81">
      <w:pPr>
        <w:spacing w:line="240" w:lineRule="auto"/>
      </w:pPr>
      <w:r>
        <w:t xml:space="preserve">To </w:t>
      </w:r>
      <w:proofErr w:type="gramStart"/>
      <w:r>
        <w:t>Star</w:t>
      </w:r>
      <w:r w:rsidR="00DE2ECC">
        <w:t>t</w:t>
      </w:r>
      <w:proofErr w:type="gramEnd"/>
      <w:r w:rsidR="00DE2ECC">
        <w:t xml:space="preserve"> </w:t>
      </w:r>
      <w:r>
        <w:t>with</w:t>
      </w:r>
      <w:r w:rsidR="00DE2ECC">
        <w:t xml:space="preserve"> initially, columns Name and Adultweekend were dropped (Variable X), with variable to predict as AdultWeekend ticket prices (variable as Y)</w:t>
      </w:r>
      <w:r>
        <w:t xml:space="preserve"> </w:t>
      </w:r>
      <w:r w:rsidR="00DE2ECC">
        <w:t>coefficients were calculated of independent variables along with mean error and variance of the initial Model.</w:t>
      </w:r>
    </w:p>
    <w:p w:rsidR="00DE2ECC" w:rsidRDefault="00DE4D81" w:rsidP="00AC233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9.15pt;margin-top:162.9pt;width:19.7pt;height:2.75pt;flip:x;z-index:25166028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8.85pt;margin-top:152.7pt;width:144.7pt;height:25.85pt;z-index:251659264">
            <v:textbox>
              <w:txbxContent>
                <w:p w:rsidR="00DE4D81" w:rsidRDefault="00DE4D81">
                  <w:r>
                    <w:t>Big Mountain Resort Located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14.95pt;margin-top:159.5pt;width:84.2pt;height:14.95pt;z-index:251658240" filled="f" strokecolor="red" strokeweight="1.25pt"/>
        </w:pict>
      </w:r>
      <w:r w:rsidR="00DE2ECC">
        <w:rPr>
          <w:noProof/>
        </w:rPr>
        <w:drawing>
          <wp:inline distT="0" distB="0" distL="0" distR="0">
            <wp:extent cx="6185267" cy="2924355"/>
            <wp:effectExtent l="19050" t="0" r="5983" b="0"/>
            <wp:docPr id="1" name="Picture 1" descr="C:\Users\F\Desktop\Springboard\Unit_6_DSM_Guided_Project\Report_imag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\Desktop\Springboard\Unit_6_DSM_Guided_Project\Report_images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267" cy="29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D81" w:rsidRDefault="00DE4D81" w:rsidP="00AC233B">
      <w:proofErr w:type="gramStart"/>
      <w:r>
        <w:lastRenderedPageBreak/>
        <w:t>As  seen</w:t>
      </w:r>
      <w:proofErr w:type="gramEnd"/>
      <w:r>
        <w:t xml:space="preserve"> above Coefficient is High for states which states in the given model location of Resort is the key parameter for profit consideration , However as Location of Big Mountain Resort is fixed and located in Minnesota County. Therefore in our next model we drop Region Parameter from our </w:t>
      </w:r>
      <w:proofErr w:type="gramStart"/>
      <w:r>
        <w:t>analysis  and</w:t>
      </w:r>
      <w:proofErr w:type="gramEnd"/>
      <w:r>
        <w:t xml:space="preserve"> rerun the model again.  </w:t>
      </w:r>
    </w:p>
    <w:p w:rsidR="00DF3335" w:rsidRDefault="00DF3335" w:rsidP="00DF3335">
      <w:pPr>
        <w:jc w:val="center"/>
      </w:pPr>
      <w:r>
        <w:rPr>
          <w:noProof/>
        </w:rPr>
        <w:drawing>
          <wp:inline distT="0" distB="0" distL="0" distR="0">
            <wp:extent cx="5082784" cy="2415397"/>
            <wp:effectExtent l="19050" t="0" r="3566" b="0"/>
            <wp:docPr id="4" name="Picture 2" descr="C:\Users\F\Desktop\Springboard\Unit_6_DSM_Guided_Project\Report_images\Capt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\Desktop\Springboard\Unit_6_DSM_Guided_Project\Report_images\Capture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116" cy="241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335" w:rsidRDefault="00DF3335" w:rsidP="00AC233B">
      <w:r>
        <w:t xml:space="preserve">We  observe that after dropping state columns AdultWeekday and Adultweekend ticket prices have higher Coefficients and  hence our focused should be on these to increase profitability further for columns </w:t>
      </w:r>
      <w:proofErr w:type="spellStart"/>
      <w:r>
        <w:t>summit_elev</w:t>
      </w:r>
      <w:proofErr w:type="spellEnd"/>
      <w:r>
        <w:t xml:space="preserve"> and  </w:t>
      </w:r>
      <w:proofErr w:type="spellStart"/>
      <w:r>
        <w:t>base_elev</w:t>
      </w:r>
      <w:proofErr w:type="spellEnd"/>
      <w:r>
        <w:t xml:space="preserve"> and vertical drop columns are again fixed for the given location and resort hence these too should  not be considered in our analysis.</w:t>
      </w:r>
    </w:p>
    <w:p w:rsidR="00DF3335" w:rsidRDefault="00DF3335" w:rsidP="00AC233B">
      <w:pPr>
        <w:rPr>
          <w:sz w:val="28"/>
          <w:szCs w:val="28"/>
        </w:rPr>
      </w:pPr>
      <w:r w:rsidRPr="00DF3335">
        <w:rPr>
          <w:sz w:val="28"/>
          <w:szCs w:val="28"/>
        </w:rPr>
        <w:t xml:space="preserve">Model Summary Table:  </w:t>
      </w:r>
    </w:p>
    <w:tbl>
      <w:tblPr>
        <w:tblStyle w:val="TableGrid"/>
        <w:tblW w:w="0" w:type="auto"/>
        <w:tblLook w:val="04A0"/>
      </w:tblPr>
      <w:tblGrid>
        <w:gridCol w:w="1099"/>
        <w:gridCol w:w="1557"/>
        <w:gridCol w:w="1498"/>
        <w:gridCol w:w="1221"/>
        <w:gridCol w:w="1188"/>
        <w:gridCol w:w="1373"/>
        <w:gridCol w:w="3080"/>
      </w:tblGrid>
      <w:tr w:rsidR="00DF3335" w:rsidTr="00E539F1">
        <w:tc>
          <w:tcPr>
            <w:tcW w:w="1099" w:type="dxa"/>
          </w:tcPr>
          <w:p w:rsidR="00DF3335" w:rsidRDefault="00DF3335" w:rsidP="00DF3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tc>
          <w:tcPr>
            <w:tcW w:w="1557" w:type="dxa"/>
          </w:tcPr>
          <w:p w:rsidR="00DF3335" w:rsidRDefault="00DF3335" w:rsidP="00DF3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Variable</w:t>
            </w:r>
          </w:p>
        </w:tc>
        <w:tc>
          <w:tcPr>
            <w:tcW w:w="1498" w:type="dxa"/>
          </w:tcPr>
          <w:p w:rsidR="00DF3335" w:rsidRDefault="00DF3335" w:rsidP="00DF3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Predicted Value</w:t>
            </w:r>
          </w:p>
        </w:tc>
        <w:tc>
          <w:tcPr>
            <w:tcW w:w="1221" w:type="dxa"/>
          </w:tcPr>
          <w:p w:rsidR="00DF3335" w:rsidRDefault="00DF3335" w:rsidP="00DF3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Value</w:t>
            </w:r>
          </w:p>
        </w:tc>
        <w:tc>
          <w:tcPr>
            <w:tcW w:w="1188" w:type="dxa"/>
          </w:tcPr>
          <w:p w:rsidR="00DF3335" w:rsidRDefault="00DF3335" w:rsidP="00DF3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 error</w:t>
            </w:r>
          </w:p>
        </w:tc>
        <w:tc>
          <w:tcPr>
            <w:tcW w:w="1373" w:type="dxa"/>
          </w:tcPr>
          <w:p w:rsidR="00DF3335" w:rsidRDefault="00DF3335" w:rsidP="00DF3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3080" w:type="dxa"/>
          </w:tcPr>
          <w:p w:rsidR="00DF3335" w:rsidRDefault="00DF3335" w:rsidP="00DF3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 Drop</w:t>
            </w:r>
          </w:p>
        </w:tc>
      </w:tr>
      <w:tr w:rsidR="00DF3335" w:rsidTr="00E539F1">
        <w:tc>
          <w:tcPr>
            <w:tcW w:w="1099" w:type="dxa"/>
          </w:tcPr>
          <w:p w:rsidR="00DF3335" w:rsidRDefault="00C317E0" w:rsidP="00C317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DF3335" w:rsidRPr="00E539F1" w:rsidRDefault="00E539F1" w:rsidP="00E539F1">
            <w:pPr>
              <w:jc w:val="center"/>
              <w:rPr>
                <w:sz w:val="20"/>
                <w:szCs w:val="20"/>
              </w:rPr>
            </w:pPr>
            <w:r w:rsidRPr="00E539F1">
              <w:rPr>
                <w:sz w:val="20"/>
                <w:szCs w:val="20"/>
              </w:rPr>
              <w:t>AdultWeekend</w:t>
            </w:r>
          </w:p>
        </w:tc>
        <w:tc>
          <w:tcPr>
            <w:tcW w:w="1498" w:type="dxa"/>
          </w:tcPr>
          <w:p w:rsidR="00DF3335" w:rsidRPr="00E539F1" w:rsidRDefault="00E539F1" w:rsidP="00E539F1">
            <w:pPr>
              <w:jc w:val="center"/>
              <w:rPr>
                <w:sz w:val="20"/>
                <w:szCs w:val="20"/>
              </w:rPr>
            </w:pPr>
            <w:r w:rsidRPr="00E539F1">
              <w:rPr>
                <w:sz w:val="20"/>
                <w:szCs w:val="20"/>
              </w:rPr>
              <w:t>88</w:t>
            </w:r>
          </w:p>
        </w:tc>
        <w:tc>
          <w:tcPr>
            <w:tcW w:w="1221" w:type="dxa"/>
          </w:tcPr>
          <w:p w:rsidR="00DF3335" w:rsidRPr="00E539F1" w:rsidRDefault="00E539F1" w:rsidP="00E539F1">
            <w:pPr>
              <w:jc w:val="center"/>
              <w:rPr>
                <w:sz w:val="20"/>
                <w:szCs w:val="20"/>
              </w:rPr>
            </w:pPr>
            <w:r w:rsidRPr="00E539F1">
              <w:rPr>
                <w:sz w:val="20"/>
                <w:szCs w:val="20"/>
              </w:rPr>
              <w:t>81</w:t>
            </w:r>
          </w:p>
        </w:tc>
        <w:tc>
          <w:tcPr>
            <w:tcW w:w="1188" w:type="dxa"/>
          </w:tcPr>
          <w:p w:rsidR="00DF3335" w:rsidRPr="00E539F1" w:rsidRDefault="00E539F1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5.51</w:t>
            </w:r>
          </w:p>
        </w:tc>
        <w:tc>
          <w:tcPr>
            <w:tcW w:w="1373" w:type="dxa"/>
          </w:tcPr>
          <w:p w:rsidR="00DF3335" w:rsidRPr="00E539F1" w:rsidRDefault="00E539F1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3080" w:type="dxa"/>
          </w:tcPr>
          <w:p w:rsidR="00DF3335" w:rsidRDefault="00E539F1" w:rsidP="00E539F1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539F1">
              <w:rPr>
                <w:rFonts w:ascii="Helvetica" w:hAnsi="Helvetica" w:cs="Helvetica"/>
                <w:color w:val="000000"/>
                <w:sz w:val="20"/>
                <w:szCs w:val="20"/>
              </w:rPr>
              <w:t>'</w:t>
            </w:r>
            <w:proofErr w:type="spellStart"/>
            <w:r w:rsidRPr="00E539F1">
              <w:rPr>
                <w:rFonts w:ascii="Helvetica" w:hAnsi="Helvetica" w:cs="Helvetica"/>
                <w:color w:val="000000"/>
                <w:sz w:val="20"/>
                <w:szCs w:val="20"/>
              </w:rPr>
              <w:t>state','summit_elev','base_elev</w:t>
            </w:r>
            <w:proofErr w:type="spellEnd"/>
            <w:r w:rsidRPr="00E539F1">
              <w:rPr>
                <w:rFonts w:ascii="Helvetica" w:hAnsi="Helvetica" w:cs="Helvetica"/>
                <w:color w:val="000000"/>
                <w:sz w:val="20"/>
                <w:szCs w:val="20"/>
              </w:rPr>
              <w:t>'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</w:t>
            </w:r>
          </w:p>
          <w:p w:rsidR="00E539F1" w:rsidRPr="00E539F1" w:rsidRDefault="00E539F1" w:rsidP="00E539F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Adultweekend,vertical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Drop</w:t>
            </w:r>
          </w:p>
        </w:tc>
      </w:tr>
      <w:tr w:rsidR="00E539F1" w:rsidTr="00E539F1">
        <w:tc>
          <w:tcPr>
            <w:tcW w:w="1099" w:type="dxa"/>
          </w:tcPr>
          <w:p w:rsidR="00E539F1" w:rsidRDefault="00E539F1" w:rsidP="00C317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E539F1" w:rsidRPr="00E539F1" w:rsidRDefault="00E539F1" w:rsidP="00E539F1">
            <w:pPr>
              <w:jc w:val="center"/>
              <w:rPr>
                <w:sz w:val="20"/>
                <w:szCs w:val="20"/>
              </w:rPr>
            </w:pPr>
            <w:r w:rsidRPr="00E539F1">
              <w:rPr>
                <w:sz w:val="20"/>
                <w:szCs w:val="20"/>
              </w:rPr>
              <w:t>AdultWeek</w:t>
            </w:r>
            <w:r>
              <w:rPr>
                <w:sz w:val="20"/>
                <w:szCs w:val="20"/>
              </w:rPr>
              <w:t>day</w:t>
            </w:r>
          </w:p>
        </w:tc>
        <w:tc>
          <w:tcPr>
            <w:tcW w:w="1498" w:type="dxa"/>
          </w:tcPr>
          <w:p w:rsidR="00E539F1" w:rsidRPr="00E539F1" w:rsidRDefault="00E539F1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1221" w:type="dxa"/>
          </w:tcPr>
          <w:p w:rsidR="00E539F1" w:rsidRPr="00E539F1" w:rsidRDefault="00E539F1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188" w:type="dxa"/>
          </w:tcPr>
          <w:p w:rsidR="00E539F1" w:rsidRPr="00E539F1" w:rsidRDefault="00E539F1" w:rsidP="0089005F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5.83</w:t>
            </w:r>
          </w:p>
          <w:p w:rsidR="00E539F1" w:rsidRPr="00E539F1" w:rsidRDefault="00E539F1" w:rsidP="008900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3" w:type="dxa"/>
          </w:tcPr>
          <w:p w:rsidR="00E539F1" w:rsidRPr="00E539F1" w:rsidRDefault="00E539F1" w:rsidP="008900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3080" w:type="dxa"/>
          </w:tcPr>
          <w:p w:rsidR="00E539F1" w:rsidRDefault="00E539F1" w:rsidP="00E539F1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539F1">
              <w:rPr>
                <w:rFonts w:ascii="Helvetica" w:hAnsi="Helvetica" w:cs="Helvetica"/>
                <w:color w:val="000000"/>
                <w:sz w:val="20"/>
                <w:szCs w:val="20"/>
              </w:rPr>
              <w:t>state','summit_elev','base_elev</w:t>
            </w:r>
            <w:proofErr w:type="spellEnd"/>
            <w:r w:rsidRPr="00E539F1">
              <w:rPr>
                <w:rFonts w:ascii="Helvetica" w:hAnsi="Helvetica" w:cs="Helvetica"/>
                <w:color w:val="000000"/>
                <w:sz w:val="20"/>
                <w:szCs w:val="20"/>
              </w:rPr>
              <w:t>'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</w:t>
            </w:r>
          </w:p>
          <w:p w:rsidR="00E539F1" w:rsidRPr="00E539F1" w:rsidRDefault="00E539F1" w:rsidP="00E539F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Adultweekday,vertical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Drop</w:t>
            </w:r>
          </w:p>
        </w:tc>
      </w:tr>
      <w:tr w:rsidR="00E539F1" w:rsidTr="00E539F1">
        <w:tc>
          <w:tcPr>
            <w:tcW w:w="1099" w:type="dxa"/>
          </w:tcPr>
          <w:p w:rsidR="00E539F1" w:rsidRDefault="00E539F1" w:rsidP="00C317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Days open</w:t>
            </w:r>
          </w:p>
        </w:tc>
        <w:tc>
          <w:tcPr>
            <w:tcW w:w="1498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1221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188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13.66</w:t>
            </w:r>
          </w:p>
        </w:tc>
        <w:tc>
          <w:tcPr>
            <w:tcW w:w="1373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3080" w:type="dxa"/>
          </w:tcPr>
          <w:p w:rsidR="007C3282" w:rsidRDefault="007C3282" w:rsidP="007C3282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539F1">
              <w:rPr>
                <w:rFonts w:ascii="Helvetica" w:hAnsi="Helvetica" w:cs="Helvetica"/>
                <w:color w:val="000000"/>
                <w:sz w:val="20"/>
                <w:szCs w:val="20"/>
              </w:rPr>
              <w:t>state','summit_elev','base_elev</w:t>
            </w:r>
            <w:proofErr w:type="spellEnd"/>
            <w:r w:rsidRPr="00E539F1">
              <w:rPr>
                <w:rFonts w:ascii="Helvetica" w:hAnsi="Helvetica" w:cs="Helvetica"/>
                <w:color w:val="000000"/>
                <w:sz w:val="20"/>
                <w:szCs w:val="20"/>
              </w:rPr>
              <w:t>'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</w:t>
            </w:r>
          </w:p>
          <w:p w:rsidR="00E539F1" w:rsidRPr="00E539F1" w:rsidRDefault="007C3282" w:rsidP="007C328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daysopen,vertical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Drop</w:t>
            </w:r>
          </w:p>
        </w:tc>
      </w:tr>
      <w:tr w:rsidR="00E539F1" w:rsidTr="00E539F1">
        <w:tc>
          <w:tcPr>
            <w:tcW w:w="1099" w:type="dxa"/>
          </w:tcPr>
          <w:p w:rsidR="00E539F1" w:rsidRDefault="00E539F1" w:rsidP="00C317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Projected Days open</w:t>
            </w:r>
          </w:p>
        </w:tc>
        <w:tc>
          <w:tcPr>
            <w:tcW w:w="1498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1221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188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13.31</w:t>
            </w:r>
          </w:p>
        </w:tc>
        <w:tc>
          <w:tcPr>
            <w:tcW w:w="1373" w:type="dxa"/>
          </w:tcPr>
          <w:p w:rsidR="00E539F1" w:rsidRPr="00E539F1" w:rsidRDefault="007C3282" w:rsidP="00E5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0.011</w:t>
            </w:r>
          </w:p>
        </w:tc>
        <w:tc>
          <w:tcPr>
            <w:tcW w:w="3080" w:type="dxa"/>
          </w:tcPr>
          <w:p w:rsidR="007C3282" w:rsidRDefault="007C3282" w:rsidP="007C3282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539F1">
              <w:rPr>
                <w:rFonts w:ascii="Helvetica" w:hAnsi="Helvetica" w:cs="Helvetica"/>
                <w:color w:val="000000"/>
                <w:sz w:val="20"/>
                <w:szCs w:val="20"/>
              </w:rPr>
              <w:t>state','summit_elev','base_elev</w:t>
            </w:r>
            <w:proofErr w:type="spellEnd"/>
            <w:r w:rsidRPr="00E539F1">
              <w:rPr>
                <w:rFonts w:ascii="Helvetica" w:hAnsi="Helvetica" w:cs="Helvetica"/>
                <w:color w:val="000000"/>
                <w:sz w:val="20"/>
                <w:szCs w:val="20"/>
              </w:rPr>
              <w:t>'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</w:t>
            </w:r>
          </w:p>
          <w:p w:rsidR="00E539F1" w:rsidRPr="00E539F1" w:rsidRDefault="007C3282" w:rsidP="007C328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projecteddays,vertical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Drop</w:t>
            </w:r>
          </w:p>
        </w:tc>
      </w:tr>
    </w:tbl>
    <w:p w:rsidR="00DF3335" w:rsidRDefault="00DF3335" w:rsidP="00E539F1">
      <w:pPr>
        <w:jc w:val="both"/>
        <w:rPr>
          <w:sz w:val="28"/>
          <w:szCs w:val="28"/>
        </w:rPr>
      </w:pPr>
    </w:p>
    <w:p w:rsidR="007C3282" w:rsidRDefault="007C3282" w:rsidP="00E539F1">
      <w:pPr>
        <w:jc w:val="both"/>
        <w:rPr>
          <w:sz w:val="28"/>
          <w:szCs w:val="28"/>
        </w:rPr>
      </w:pPr>
      <w:r>
        <w:rPr>
          <w:sz w:val="28"/>
          <w:szCs w:val="28"/>
        </w:rPr>
        <w:t>Conclusions:</w:t>
      </w:r>
    </w:p>
    <w:p w:rsidR="007C3282" w:rsidRPr="007C3282" w:rsidRDefault="007C3282" w:rsidP="007C32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C3282">
        <w:rPr>
          <w:sz w:val="28"/>
          <w:szCs w:val="28"/>
        </w:rPr>
        <w:t>As seen in model results more emphasis should be laid on increasing the prices of tickets for the Big Mountain Resort on weekends also prices can be increased on weekdays too.</w:t>
      </w:r>
    </w:p>
    <w:p w:rsidR="007C3282" w:rsidRPr="007C3282" w:rsidRDefault="007C3282" w:rsidP="007C32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C3282">
        <w:rPr>
          <w:sz w:val="28"/>
          <w:szCs w:val="28"/>
        </w:rPr>
        <w:t xml:space="preserve">Furthermore by opening the resorts on more days will result in more profitability.   </w:t>
      </w:r>
    </w:p>
    <w:p w:rsidR="007C3282" w:rsidRDefault="007C3282" w:rsidP="00E539F1">
      <w:pPr>
        <w:jc w:val="both"/>
        <w:rPr>
          <w:sz w:val="28"/>
          <w:szCs w:val="28"/>
        </w:rPr>
      </w:pPr>
    </w:p>
    <w:p w:rsidR="007C3282" w:rsidRPr="00DF3335" w:rsidRDefault="007C3282" w:rsidP="00E539F1">
      <w:pPr>
        <w:jc w:val="both"/>
        <w:rPr>
          <w:sz w:val="28"/>
          <w:szCs w:val="28"/>
        </w:rPr>
      </w:pPr>
    </w:p>
    <w:sectPr w:rsidR="007C3282" w:rsidRPr="00DF3335" w:rsidSect="00DE4D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307B3"/>
    <w:multiLevelType w:val="hybridMultilevel"/>
    <w:tmpl w:val="0FA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D154D"/>
    <w:multiLevelType w:val="hybridMultilevel"/>
    <w:tmpl w:val="BB12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754D7"/>
    <w:multiLevelType w:val="hybridMultilevel"/>
    <w:tmpl w:val="7A38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82015"/>
    <w:rsid w:val="007C3282"/>
    <w:rsid w:val="00AC233B"/>
    <w:rsid w:val="00B0330D"/>
    <w:rsid w:val="00BA2BF0"/>
    <w:rsid w:val="00C317E0"/>
    <w:rsid w:val="00D972B2"/>
    <w:rsid w:val="00DE2ECC"/>
    <w:rsid w:val="00DE4D81"/>
    <w:rsid w:val="00DF3335"/>
    <w:rsid w:val="00E539F1"/>
    <w:rsid w:val="00E82015"/>
    <w:rsid w:val="00EA0E3C"/>
    <w:rsid w:val="00F13516"/>
    <w:rsid w:val="00F86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E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33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AF5E7-D972-4091-A775-7149A4F1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5</cp:revision>
  <dcterms:created xsi:type="dcterms:W3CDTF">2020-05-28T11:10:00Z</dcterms:created>
  <dcterms:modified xsi:type="dcterms:W3CDTF">2020-05-28T13:44:00Z</dcterms:modified>
</cp:coreProperties>
</file>