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28F9F7FD">
      <w:pPr>
        <w:jc w:val="right"/>
        <w:rPr>
          <w:rFonts w:ascii="Calibri" w:hAnsi="Calibri" w:cs="Calibri"/>
          <w:color w:val="000000"/>
          <w:sz w:val="22"/>
          <w:szCs w:val="22"/>
        </w:rPr>
      </w:pPr>
      <w:r w:rsidRPr="39D3B45B" w:rsidR="11E862D8">
        <w:rPr>
          <w:lang w:val="en-GB"/>
        </w:rPr>
        <w:t xml:space="preserve"> </w:t>
      </w:r>
      <w:r w:rsidRPr="39D3B45B" w:rsidR="0280033C">
        <w:rPr>
          <w:lang w:val="en-GB"/>
        </w:rPr>
        <w:t>(</w:t>
      </w:r>
      <w:r w:rsidRPr="39D3B45B" w:rsidR="1E64CBB9">
        <w:rPr>
          <w:lang w:val="en-GB"/>
        </w:rPr>
        <w:t>UTD</w:t>
      </w:r>
      <w:r w:rsidRPr="39D3B45B" w:rsidR="73715A06">
        <w:rPr>
          <w:rFonts w:ascii="Arial" w:hAnsi="Arial"/>
          <w:i w:val="1"/>
          <w:iCs w:val="1"/>
          <w:color w:val="0000FF"/>
          <w:sz w:val="20"/>
          <w:szCs w:val="20"/>
          <w:lang w:val="en-GB"/>
        </w:rPr>
        <w:t>_</w:t>
      </w:r>
      <w:r w:rsidRPr="39D3B45B" w:rsidR="3D0E927A">
        <w:rPr>
          <w:rFonts w:ascii="Arial" w:hAnsi="Arial"/>
          <w:i w:val="1"/>
          <w:iCs w:val="1"/>
          <w:color w:val="0000FF"/>
          <w:sz w:val="20"/>
          <w:szCs w:val="20"/>
          <w:lang w:val="en-GB"/>
        </w:rPr>
        <w:t xml:space="preserve">IDD2098</w:t>
      </w:r>
      <w:r w:rsidRPr="39D3B45B" w:rsidR="7B473912">
        <w:rPr>
          <w:rFonts w:ascii="Arial" w:hAnsi="Arial"/>
          <w:i w:val="1"/>
          <w:iCs w:val="1"/>
          <w:color w:val="0000FF"/>
          <w:sz w:val="20"/>
          <w:szCs w:val="20"/>
          <w:lang w:val="en-GB"/>
        </w:rPr>
        <w:t/>
      </w:r>
      <w:r w:rsidRPr="39D3B45B" w:rsidR="73715A06">
        <w:rPr>
          <w:rFonts w:ascii="Arial" w:hAnsi="Arial"/>
          <w:i w:val="1"/>
          <w:iCs w:val="1"/>
          <w:color w:val="0000FF"/>
          <w:sz w:val="20"/>
          <w:szCs w:val="20"/>
          <w:lang w:val="en-GB"/>
        </w:rPr>
        <w:t>_</w:t>
      </w:r>
      <w:r w:rsidRPr="39D3B45B" w:rsidR="7D830A77">
        <w:rPr>
          <w:rFonts w:ascii="Arial" w:hAnsi="Arial"/>
          <w:i w:val="1"/>
          <w:iCs w:val="1"/>
          <w:color w:val="0000FF"/>
          <w:sz w:val="20"/>
          <w:szCs w:val="20"/>
          <w:lang w:val="en-GB"/>
        </w:rPr>
        <w:t xml:space="preserve">NA_</w:t>
      </w:r>
      <w:r w:rsidRPr="39D3B45B" w:rsidR="27435614">
        <w:rPr>
          <w:rFonts w:ascii="Arial" w:hAnsi="Arial"/>
          <w:i w:val="1"/>
          <w:iCs w:val="1"/>
          <w:color w:val="0000FF"/>
          <w:sz w:val="20"/>
          <w:szCs w:val="20"/>
          <w:lang w:val="en-GB"/>
        </w:rPr>
        <w:t xml:space="preserve">YSTP_MBGMCR.YSTP_MBGMCR03</w:t>
      </w:r>
      <w:r w:rsidRPr="39D3B45B" w:rsidR="120F3EB0">
        <w:rPr>
          <w:rFonts w:ascii="Arial" w:hAnsi="Arial"/>
          <w:i w:val="1"/>
          <w:iCs w:val="1"/>
          <w:color w:val="0000FF"/>
          <w:sz w:val="20"/>
          <w:szCs w:val="20"/>
          <w:lang w:val="en-GB"/>
        </w:rPr>
        <w:t/>
      </w:r>
      <w:r w:rsidRPr="39D3B45B" w:rsidR="27435614">
        <w:rPr>
          <w:rFonts w:ascii="Arial" w:hAnsi="Arial"/>
          <w:i w:val="1"/>
          <w:iCs w:val="1"/>
          <w:color w:val="0000FF"/>
          <w:sz w:val="20"/>
          <w:szCs w:val="20"/>
          <w:lang w:val="en-GB"/>
        </w:rPr>
        <w:t/>
      </w:r>
      <w:r w:rsidRPr="39D3B45B" w:rsidR="258894CE">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4C24FB70" w:rsidRDefault="7F59503D" w14:paraId="75082D57" w14:textId="1F6116CF">
      <w:pPr>
        <w:pStyle w:val="Subtitle"/>
        <w:rPr>
          <w:color w:val="0000FF"/>
          <w:sz w:val="20"/>
          <w:lang w:val="en-GB"/>
        </w:rPr>
      </w:pPr>
      <w:bookmarkStart w:name="LAuthor" w:id="0"/>
      <w:r w:rsidRPr="4C24FB70">
        <w:rPr>
          <w:sz w:val="32"/>
          <w:szCs w:val="32"/>
          <w:lang w:val="en-GB"/>
        </w:rPr>
        <w:t>Author:</w:t>
      </w:r>
      <w:bookmarkEnd w:id="0"/>
      <w:r w:rsidRPr="4C24FB70">
        <w:rPr>
          <w:sz w:val="32"/>
          <w:szCs w:val="32"/>
          <w:lang w:val="en-GB"/>
        </w:rPr>
        <w:t xml:space="preserve"> </w:t>
      </w:r>
      <w:r w:rsidRPr="4C24FB70" w:rsidR="74CE8983">
        <w:rPr>
          <w:color w:val="0000FF"/>
          <w:szCs w:val="24"/>
          <w:lang w:val="en-GB"/>
        </w:rPr>
        <w:t xml:space="preserve">Sai</w:t>
      </w:r>
      <w:r w:rsidRPr="4C24FB70" w:rsidR="61E21CF9">
        <w:rPr>
          <w:color w:val="0000FF"/>
          <w:szCs w:val="24"/>
          <w:lang w:val="en-GB"/>
        </w:rPr>
        <w:t/>
      </w:r>
      <w:r w:rsidRPr="4C24FB70" w:rsidR="55E9D0E4">
        <w:rPr>
          <w:color w:val="0000FF"/>
          <w:szCs w:val="24"/>
          <w:lang w:val="en-GB"/>
        </w:rPr>
        <w:t/>
      </w:r>
      <w:r w:rsidRPr="4C24FB70" w:rsidR="74CE8983">
        <w:rPr>
          <w:color w:val="0000FF"/>
          <w:szCs w:val="24"/>
          <w:lang w:val="en-GB"/>
        </w:rPr>
        <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4C24FB70" w14:paraId="5407DCE7" w14:textId="77777777">
        <w:tc>
          <w:tcPr>
            <w:tcW w:w="2368" w:type="dxa"/>
          </w:tcPr>
          <w:p w:rsidR="003F3A02" w:rsidP="00F21432" w:rsidRDefault="003F3A02" w14:paraId="020F1520" w14:textId="77777777">
            <w:pPr>
              <w:pStyle w:val="TableText"/>
              <w:rPr>
                <w:lang w:val="en-GB"/>
              </w:rPr>
            </w:pPr>
            <w:r>
              <w:rPr>
                <w:lang w:val="en-GB"/>
              </w:rPr>
              <w:t>Responsibility</w:t>
            </w:r>
          </w:p>
        </w:tc>
        <w:tc>
          <w:tcPr>
            <w:tcW w:w="1800" w:type="dxa"/>
          </w:tcPr>
          <w:p w:rsidR="003F3A02" w:rsidP="00F21432" w:rsidRDefault="003F3A02" w14:paraId="17AA226D" w14:textId="77777777">
            <w:pPr>
              <w:pStyle w:val="TableText"/>
              <w:rPr>
                <w:lang w:val="en-GB"/>
              </w:rPr>
            </w:pPr>
            <w:r>
              <w:rPr>
                <w:lang w:val="en-GB"/>
              </w:rPr>
              <w:t>Owner</w:t>
            </w:r>
          </w:p>
        </w:tc>
        <w:tc>
          <w:tcPr>
            <w:tcW w:w="5400" w:type="dxa"/>
          </w:tcPr>
          <w:p w:rsidR="003F3A02" w:rsidP="00F21432" w:rsidRDefault="003F3A02" w14:paraId="74F7731C" w14:textId="77777777">
            <w:pPr>
              <w:pStyle w:val="TableText"/>
              <w:rPr>
                <w:lang w:val="en-GB"/>
              </w:rPr>
            </w:pPr>
          </w:p>
        </w:tc>
      </w:tr>
      <w:tr w:rsidR="00F448E2" w:rsidTr="4C24FB70" w14:paraId="78B92621" w14:textId="77777777">
        <w:tc>
          <w:tcPr>
            <w:tcW w:w="2368" w:type="dxa"/>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Pr>
          <w:p w:rsidRPr="00CE6519" w:rsidR="00F448E2" w:rsidP="4C24FB70" w:rsidRDefault="11BA0348" w14:paraId="7150EAAA" w14:textId="2CCD2291">
            <w:pPr>
              <w:pStyle w:val="TableText"/>
              <w:rPr>
                <w:i/>
                <w:iCs/>
                <w:color w:val="000000" w:themeColor="text1"/>
                <w:lang w:val="en-GB"/>
              </w:rPr>
            </w:pPr>
            <w:r w:rsidRPr="4C24FB70">
              <w:rPr>
                <w:i/>
                <w:iCs/>
                <w:color w:val="000000" w:themeColor="text1"/>
                <w:lang w:val="en-GB"/>
              </w:rPr>
              <w:t xml:space="preserve">Sai</w:t>
            </w:r>
            <w:r w:rsidRPr="4C24FB70" w:rsidR="7D520E7C">
              <w:rPr>
                <w:rFonts w:ascii="Helvetica" w:hAnsi="Helvetica" w:eastAsia="Helvetica" w:cs="Helvetica"/>
                <w:sz w:val="18"/>
                <w:szCs w:val="18"/>
                <w:lang w:val="en-GB"/>
              </w:rPr>
              <w:t/>
            </w:r>
            <w:r w:rsidRPr="4C24FB70" w:rsidR="271C5A20">
              <w:rPr>
                <w:rFonts w:ascii="Helvetica" w:hAnsi="Helvetica" w:eastAsia="Helvetica" w:cs="Helvetica"/>
                <w:sz w:val="18"/>
                <w:szCs w:val="18"/>
                <w:lang w:val="en-GB"/>
              </w:rPr>
              <w:t/>
            </w:r>
            <w:r w:rsidRPr="4C24FB70">
              <w:rPr>
                <w:i/>
                <w:iCs/>
                <w:color w:val="000000" w:themeColor="text1"/>
                <w:lang w:val="en-GB"/>
              </w:rPr>
              <w:t/>
            </w:r>
          </w:p>
        </w:tc>
        <w:tc>
          <w:tcPr>
            <w:tcW w:w="5400" w:type="dxa"/>
          </w:tcPr>
          <w:p w:rsidR="00F448E2" w:rsidP="00F448E2" w:rsidRDefault="00F448E2" w14:paraId="48477750" w14:textId="77777777">
            <w:pPr>
              <w:pStyle w:val="TableText"/>
              <w:jc w:val="center"/>
              <w:rPr>
                <w:i/>
                <w:color w:val="0000FF"/>
                <w:lang w:val="en-GB"/>
              </w:rPr>
            </w:pPr>
          </w:p>
        </w:tc>
      </w:tr>
      <w:tr w:rsidR="00F448E2" w:rsidTr="4C24FB70" w14:paraId="7BA5E2DC" w14:textId="77777777">
        <w:tc>
          <w:tcPr>
            <w:tcW w:w="2368" w:type="dxa"/>
          </w:tcPr>
          <w:p w:rsidR="00F448E2" w:rsidP="00F448E2" w:rsidRDefault="00F448E2" w14:paraId="71F8B9AB" w14:textId="77777777">
            <w:pPr>
              <w:pStyle w:val="TableText"/>
              <w:rPr>
                <w:i/>
                <w:color w:val="0000FF"/>
                <w:lang w:val="en-GB"/>
              </w:rPr>
            </w:pPr>
          </w:p>
        </w:tc>
        <w:tc>
          <w:tcPr>
            <w:tcW w:w="1800" w:type="dxa"/>
          </w:tcPr>
          <w:p w:rsidR="00F448E2" w:rsidP="00F448E2" w:rsidRDefault="00F448E2" w14:paraId="6DF7D4B9" w14:textId="77777777">
            <w:pPr>
              <w:pStyle w:val="TableText"/>
              <w:rPr>
                <w:i/>
                <w:color w:val="0000FF"/>
                <w:lang w:val="en-GB"/>
              </w:rPr>
            </w:pPr>
          </w:p>
        </w:tc>
        <w:tc>
          <w:tcPr>
            <w:tcW w:w="5400" w:type="dxa"/>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4C24FB70" w14:paraId="3B18AC27" w14:textId="77777777">
        <w:tc>
          <w:tcPr>
            <w:tcW w:w="964" w:type="dxa"/>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Pr>
          <w:p w:rsidR="00D540D9" w:rsidP="009E12F1" w:rsidRDefault="00D540D9" w14:paraId="068F1B58" w14:textId="77777777">
            <w:pPr>
              <w:pStyle w:val="TableText"/>
              <w:rPr>
                <w:lang w:val="en-GB"/>
              </w:rPr>
            </w:pPr>
            <w:r>
              <w:rPr>
                <w:lang w:val="en-GB"/>
              </w:rPr>
              <w:t>Revised By</w:t>
            </w:r>
          </w:p>
        </w:tc>
      </w:tr>
      <w:tr w:rsidRPr="007565A4" w:rsidR="00F448E2" w:rsidTr="4C24FB70" w14:paraId="3032EC67" w14:textId="77777777">
        <w:tc>
          <w:tcPr>
            <w:tcW w:w="964" w:type="dxa"/>
          </w:tcPr>
          <w:p w:rsidRPr="007565A4" w:rsidR="00F448E2" w:rsidP="00B624F5" w:rsidRDefault="00F448E2" w14:paraId="3C911BF3" w14:textId="77777777">
            <w:pPr>
              <w:pStyle w:val="TableText"/>
              <w:rPr>
                <w:lang w:val="en-GB"/>
              </w:rPr>
            </w:pPr>
            <w:r>
              <w:rPr>
                <w:lang w:val="en-GB"/>
              </w:rPr>
              <w:t>1.0</w:t>
            </w:r>
          </w:p>
        </w:tc>
        <w:tc>
          <w:tcPr>
            <w:tcW w:w="1224" w:type="dxa"/>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13/06/2025</w:t>
            </w:r>
          </w:p>
        </w:tc>
        <w:tc>
          <w:tcPr>
            <w:tcW w:w="5094" w:type="dxa"/>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Pr>
          <w:p w:rsidRPr="00CE6519" w:rsidR="00F448E2" w:rsidP="4C24FB70" w:rsidRDefault="4DAFF207" w14:paraId="59C330C5" w14:textId="2B7AA30D">
            <w:pPr>
              <w:pStyle w:val="TableText"/>
              <w:ind w:left="0"/>
              <w:rPr>
                <w:i/>
                <w:iCs/>
                <w:color w:val="000000" w:themeColor="text1"/>
                <w:lang w:val="en-GB"/>
              </w:rPr>
            </w:pPr>
            <w:r w:rsidRPr="4C24FB70">
              <w:rPr>
                <w:i/>
                <w:iCs/>
                <w:color w:val="000000" w:themeColor="text1"/>
                <w:lang w:val="en-GB"/>
              </w:rPr>
              <w:t xml:space="preserve">Sai</w:t>
            </w:r>
            <w:r w:rsidRPr="4C24FB70" w:rsidR="2EA06983">
              <w:rPr>
                <w:i/>
                <w:iCs/>
                <w:color w:val="000000" w:themeColor="text1"/>
                <w:lang w:val="en-GB"/>
              </w:rPr>
              <w:t/>
            </w:r>
            <w:r w:rsidRPr="4C24FB70">
              <w:rPr>
                <w:i/>
                <w:iCs/>
                <w:color w:val="000000" w:themeColor="text1"/>
                <w:lang w:val="en-GB"/>
              </w:rPr>
              <w:t/>
            </w:r>
          </w:p>
        </w:tc>
      </w:tr>
      <w:tr w:rsidRPr="007565A4" w:rsidR="00F448E2" w:rsidTr="4C24FB70" w14:paraId="1FFD7D15" w14:textId="77777777">
        <w:tc>
          <w:tcPr>
            <w:tcW w:w="964" w:type="dxa"/>
          </w:tcPr>
          <w:p w:rsidRPr="007565A4" w:rsidR="00F448E2" w:rsidP="00B624F5" w:rsidRDefault="00F448E2" w14:paraId="2CA40868" w14:textId="77777777">
            <w:pPr>
              <w:pStyle w:val="TableText"/>
              <w:rPr>
                <w:lang w:val="en-GB"/>
              </w:rPr>
            </w:pPr>
            <w:r>
              <w:rPr>
                <w:lang w:val="en-GB"/>
              </w:rPr>
              <w:t>2.0</w:t>
            </w:r>
          </w:p>
        </w:tc>
        <w:tc>
          <w:tcPr>
            <w:tcW w:w="1224" w:type="dxa"/>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13/06/2025</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Pr>
          <w:p w:rsidRPr="008E2C0F" w:rsidR="00F448E2" w:rsidP="4C24FB70" w:rsidRDefault="6A24DA77" w14:paraId="51680E68" w14:textId="20B8716F">
            <w:pPr>
              <w:pStyle w:val="TableText"/>
              <w:ind w:left="0"/>
              <w:rPr>
                <w:i/>
                <w:iCs/>
                <w:color w:val="000000" w:themeColor="text1"/>
                <w:lang w:val="en-GB"/>
              </w:rPr>
            </w:pPr>
            <w:r w:rsidRPr="4C24FB70">
              <w:rPr>
                <w:i/>
                <w:iCs/>
                <w:color w:val="000000" w:themeColor="text1"/>
                <w:lang w:val="en-GB"/>
              </w:rPr>
              <w:t xml:space="preserve">Govindaraj Thangavel</w:t>
            </w:r>
            <w:r w:rsidRPr="4C24FB70" w:rsidR="3E97ABE1">
              <w:rPr>
                <w:i/>
                <w:iCs/>
                <w:color w:val="000000" w:themeColor="text1"/>
                <w:lang w:val="en-GB"/>
              </w:rPr>
              <w:t/>
            </w:r>
            <w:r w:rsidRPr="4C24FB70">
              <w:rPr>
                <w:i/>
                <w:iCs/>
                <w:color w:val="000000" w:themeColor="text1"/>
                <w:lang w:val="en-GB"/>
              </w:rPr>
              <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 xml:space="preserve">13/06/2025</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3FD76DD5"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3FD76DD5"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9D3B45B" w:rsidRDefault="600F07D3" w14:paraId="4B19E862" w14:textId="3D676BAF">
            <w:pPr>
              <w:jc w:val="center"/>
              <w:rPr>
                <w:rFonts w:ascii="Arial" w:hAnsi="Arial"/>
                <w:i w:val="1"/>
                <w:iCs w:val="1"/>
                <w:color w:val="000000" w:themeColor="text1"/>
                <w:sz w:val="20"/>
                <w:szCs w:val="20"/>
              </w:rPr>
            </w:pPr>
            <w:r w:rsidRPr="39D3B45B" w:rsidR="71B75FDD">
              <w:rPr>
                <w:rFonts w:ascii="Arial" w:hAnsi="Arial"/>
                <w:i w:val="1"/>
                <w:iCs w:val="1"/>
                <w:color w:val="000000" w:themeColor="text1" w:themeTint="FF" w:themeShade="FF"/>
                <w:sz w:val="20"/>
                <w:szCs w:val="20"/>
              </w:rPr>
              <w:t xml:space="preserve">IDOC</w:t>
            </w:r>
            <w:r w:rsidRPr="39D3B45B" w:rsidR="2E25B5CC">
              <w:rPr>
                <w:rFonts w:ascii="Arial" w:hAnsi="Arial"/>
                <w:i w:val="1"/>
                <w:iCs w:val="1"/>
                <w:color w:val="000000" w:themeColor="text1" w:themeTint="FF" w:themeShade="FF"/>
                <w:sz w:val="20"/>
                <w:szCs w:val="20"/>
              </w:rPr>
              <w:t xml:space="preserve"> to</w:t>
            </w:r>
            <w:r w:rsidRPr="39D3B45B" w:rsidR="1135ACB4">
              <w:rPr>
                <w:rFonts w:ascii="Arial" w:hAnsi="Arial"/>
                <w:i w:val="1"/>
                <w:iCs w:val="1"/>
                <w:color w:val="000000" w:themeColor="text1" w:themeTint="FF" w:themeShade="FF"/>
                <w:sz w:val="20"/>
                <w:szCs w:val="20"/>
              </w:rPr>
              <w:t xml:space="preserve"> </w:t>
            </w:r>
            <w:r w:rsidRPr="39D3B45B" w:rsidR="65BD14F6">
              <w:rPr>
                <w:rFonts w:ascii="Arial" w:hAnsi="Arial"/>
                <w:i w:val="1"/>
                <w:iCs w:val="1"/>
                <w:color w:val="000000" w:themeColor="text1" w:themeTint="FF" w:themeShade="FF"/>
                <w:sz w:val="20"/>
                <w:szCs w:val="20"/>
              </w:rPr>
              <w:t xml:space="preserve">SFTP</w:t>
            </w:r>
            <w:r w:rsidRPr="39D3B45B" w:rsidR="65BD14F6">
              <w:rPr>
                <w:rFonts w:ascii="Arial" w:hAnsi="Arial"/>
                <w:i w:val="1"/>
                <w:iCs w:val="1"/>
                <w:color w:val="000000" w:themeColor="text1" w:themeTint="FF" w:themeShade="FF"/>
                <w:sz w:val="20"/>
                <w:szCs w:val="20"/>
              </w:rPr>
              <w:t/>
            </w:r>
          </w:p>
        </w:tc>
      </w:tr>
      <w:tr w:rsidR="009446D8" w:rsidTr="3FD76DD5"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00AF1885" w:rsidP="007B1786" w:rsidRDefault="5D146BE7" w14:paraId="5FE4570B" w14:textId="05D7CFA4">
            <w:pPr>
              <w:pStyle w:val="TableText"/>
              <w:ind w:left="0"/>
            </w:pPr>
            <w:r>
              <w:t xml:space="preserve">This iFlow integrates data from an SAP S/4HANA system, transforming an IDOC message and delivering it to a B2B system via SFTP.</w:t>
            </w:r>
            <w:r w:rsidR="2C3892AA">
              <w:t/>
            </w:r>
            <w:r>
              <w:t/>
            </w:r>
          </w:p>
          <w:p w:rsidR="4C24FB70" w:rsidP="4C24FB70" w:rsidRDefault="4C24FB70" w14:paraId="5FB6DF52" w14:textId="51527D91">
            <w:pPr>
              <w:pStyle w:val="TableText"/>
              <w:ind w:left="0"/>
            </w:pPr>
          </w:p>
          <w:p w:rsidR="00EB2416" w:rsidP="3FD76DD5" w:rsidRDefault="00EB2416" w14:paraId="3BBD58F9" w14:textId="22EA266C">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1"/>
                <w:bCs w:val="1"/>
                <w:i w:val="0"/>
                <w:iCs w:val="0"/>
                <w:caps w:val="0"/>
                <w:smallCaps w:val="0"/>
                <w:noProof w:val="0"/>
                <w:color w:val="000000" w:themeColor="text1" w:themeTint="FF" w:themeShade="FF"/>
                <w:sz w:val="20"/>
                <w:szCs w:val="20"/>
                <w:lang w:val="en-US"/>
              </w:rPr>
              <w:t>Package Name:</w:t>
            </w:r>
          </w:p>
          <w:p w:rsidR="00EB2416" w:rsidP="3FD76DD5" w:rsidRDefault="00EB2416" w14:paraId="07170F5F" w14:textId="191BBFE1">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0"/>
                <w:bCs w:val="0"/>
                <w:i w:val="0"/>
                <w:iCs w:val="0"/>
                <w:caps w:val="0"/>
                <w:smallCaps w:val="0"/>
                <w:noProof w:val="0"/>
                <w:color w:val="000000" w:themeColor="text1" w:themeTint="FF" w:themeShade="FF"/>
                <w:sz w:val="20"/>
                <w:szCs w:val="20"/>
                <w:lang w:val="en-US"/>
              </w:rPr>
              <w:t xml:space="preserve">1. MDLZ - Pipeline - Generic Integration Flows &amp; Templates Edge</w:t>
            </w:r>
          </w:p>
          <w:p w:rsidR="00EB2416" w:rsidP="3FD76DD5" w:rsidRDefault="00EB2416" w14:paraId="71868F70" w14:textId="79653EF7">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0"/>
                <w:bCs w:val="0"/>
                <w:i w:val="0"/>
                <w:iCs w:val="0"/>
                <w:caps w:val="0"/>
                <w:smallCaps w:val="0"/>
                <w:noProof w:val="0"/>
                <w:color w:val="000000" w:themeColor="text1" w:themeTint="FF" w:themeShade="FF"/>
                <w:sz w:val="20"/>
                <w:szCs w:val="20"/>
                <w:lang w:val="en-US"/>
              </w:rPr>
              <w:t xml:space="preserve">B2B_NA_RTR_STP_OTC_SAPS4</w:t>
            </w:r>
          </w:p>
          <w:p w:rsidR="00EB2416" w:rsidP="3FD76DD5" w:rsidRDefault="00EB2416" w14:paraId="6CDACE4F" w14:textId="1F4EBC44">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p>
          <w:p w:rsidR="00EB2416" w:rsidP="3FD76DD5" w:rsidRDefault="00EB2416" w14:paraId="79ABDD04" w14:textId="79476996">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1"/>
                <w:bCs w:val="1"/>
                <w:i w:val="0"/>
                <w:iCs w:val="0"/>
                <w:caps w:val="0"/>
                <w:smallCaps w:val="0"/>
                <w:noProof w:val="0"/>
                <w:color w:val="000000" w:themeColor="text1" w:themeTint="FF" w:themeShade="FF"/>
                <w:sz w:val="20"/>
                <w:szCs w:val="20"/>
                <w:lang w:val="en-US"/>
              </w:rPr>
              <w:t>IFLOW_Name:</w:t>
            </w:r>
          </w:p>
          <w:p w:rsidR="00EB2416" w:rsidP="3FD76DD5" w:rsidRDefault="00EB2416" w14:paraId="331C19E2" w14:textId="7ADEAD1A">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0"/>
                <w:bCs w:val="0"/>
                <w:i w:val="0"/>
                <w:iCs w:val="0"/>
                <w:caps w:val="0"/>
                <w:smallCaps w:val="0"/>
                <w:noProof w:val="0"/>
                <w:color w:val="000000" w:themeColor="text1" w:themeTint="FF" w:themeShade="FF"/>
                <w:sz w:val="20"/>
                <w:szCs w:val="20"/>
                <w:lang w:val="en-US"/>
              </w:rPr>
              <w:t xml:space="preserve">1. MDLZ - Step00 - Handle Idoc Requests Edge</w:t>
            </w:r>
            <w:r>
              <w:br/>
            </w:r>
            <w:r>
              <w:rPr>
                <w:rFonts w:ascii="Arial" w:hAnsi="Arial" w:eastAsia="Arial" w:cs="Arial"/>
                <w:b w:val="0"/>
                <w:bCs w:val="0"/>
                <w:i w:val="0"/>
                <w:iCs w:val="0"/>
                <w:caps w:val="0"/>
                <w:smallCaps w:val="0"/>
                <w:noProof w:val="0"/>
                <w:color w:val="000000" w:themeColor="text1" w:themeTint="FF" w:themeShade="FF"/>
                <w:sz w:val="20"/>
                <w:szCs w:val="20"/>
                <w:lang w:val="en-US"/>
              </w:rPr>
              <w:t xml:space="preserve">2. MDLZ - Step01 - Inbound Processing for Idoc Generic IDoc Edge</w:t>
            </w:r>
            <w:r>
              <w:br/>
            </w:r>
            <w:r>
              <w:rPr>
                <w:rFonts w:ascii="Arial" w:hAnsi="Arial" w:eastAsia="Arial" w:cs="Arial"/>
                <w:b w:val="0"/>
                <w:bCs w:val="0"/>
                <w:i w:val="0"/>
                <w:iCs w:val="0"/>
                <w:caps w:val="0"/>
                <w:smallCaps w:val="0"/>
                <w:noProof w:val="0"/>
                <w:color w:val="000000" w:themeColor="text1" w:themeTint="FF" w:themeShade="FF"/>
                <w:sz w:val="20"/>
                <w:szCs w:val="20"/>
                <w:lang w:val="en-US"/>
              </w:rPr>
              <w:t xml:space="preserve">3. MDLZ - Step02 - Inbound Processing Edge</w:t>
            </w:r>
            <w:r>
              <w:br/>
            </w:r>
            <w:r>
              <w:rPr>
                <w:rFonts w:ascii="Arial" w:hAnsi="Arial" w:eastAsia="Arial" w:cs="Arial"/>
                <w:b w:val="0"/>
                <w:bCs w:val="0"/>
                <w:i w:val="0"/>
                <w:iCs w:val="0"/>
                <w:caps w:val="0"/>
                <w:smallCaps w:val="0"/>
                <w:noProof w:val="0"/>
                <w:color w:val="000000" w:themeColor="text1" w:themeTint="FF" w:themeShade="FF"/>
                <w:sz w:val="20"/>
                <w:szCs w:val="20"/>
                <w:lang w:val="en-US"/>
              </w:rPr>
              <w:t xml:space="preserve">4. MDLZ - Step04 - Receiver Determination Edge</w:t>
            </w:r>
            <w:r>
              <w:br/>
            </w:r>
            <w:r>
              <w:rPr>
                <w:rFonts w:ascii="Arial" w:hAnsi="Arial" w:eastAsia="Arial" w:cs="Arial"/>
                <w:b w:val="0"/>
                <w:bCs w:val="0"/>
                <w:i w:val="0"/>
                <w:iCs w:val="0"/>
                <w:caps w:val="0"/>
                <w:smallCaps w:val="0"/>
                <w:noProof w:val="0"/>
                <w:color w:val="000000" w:themeColor="text1" w:themeTint="FF" w:themeShade="FF"/>
                <w:sz w:val="20"/>
                <w:szCs w:val="20"/>
                <w:lang w:val="en-US"/>
              </w:rPr>
              <w:t xml:space="preserve">5. MDLZ - Step06 - Outbound Processing Edge</w:t>
            </w:r>
          </w:p>
          <w:p w:rsidR="00EB2416" w:rsidP="3FD76DD5" w:rsidRDefault="00EB2416" w14:paraId="6B5CA217" w14:textId="0312EDC1">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0"/>
                <w:bCs w:val="0"/>
                <w:i w:val="0"/>
                <w:iCs w:val="0"/>
                <w:caps w:val="0"/>
                <w:smallCaps w:val="0"/>
                <w:noProof w:val="0"/>
                <w:color w:val="000000" w:themeColor="text1" w:themeTint="FF" w:themeShade="FF"/>
                <w:sz w:val="20"/>
                <w:szCs w:val="20"/>
                <w:lang w:val="en-US"/>
              </w:rPr>
              <w:t xml:space="preserve">SAPS4_NA_YSTP_MBGMCR_To_B2B_IDD2098_EIC</w:t>
            </w:r>
          </w:p>
          <w:p w:rsidR="00EB2416" w:rsidP="3FD76DD5" w:rsidRDefault="00EB2416" w14:paraId="0ADFD349" w14:textId="0879B6D1">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p>
        </w:tc>
      </w:tr>
      <w:tr w:rsidR="009446D8" w:rsidTr="3FD76DD5"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3FD76DD5"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4C24FB70" w:rsidRDefault="5A323E0C" w14:paraId="2B5DA6BA" w14:textId="25312F18">
            <w:pPr>
              <w:pStyle w:val="TableText"/>
              <w:rPr>
                <w:i/>
                <w:iCs/>
                <w:color w:val="000000" w:themeColor="text1"/>
                <w:lang w:val="en-IN"/>
              </w:rPr>
            </w:pPr>
            <w:r w:rsidRPr="4C24FB70">
              <w:rPr>
                <w:i/>
                <w:iCs/>
                <w:color w:val="000000" w:themeColor="text1"/>
                <w:lang w:val="en-IN"/>
              </w:rPr>
              <w:t xml:space="preserve">1234</w:t>
            </w:r>
            <w:r w:rsidRPr="4C24FB70">
              <w:rPr>
                <w:rFonts w:ascii="Helvetica" w:hAnsi="Helvetica" w:eastAsia="Helvetica" w:cs="Helvetica"/>
                <w:sz w:val="18"/>
                <w:szCs w:val="18"/>
                <w:lang w:val="en-IN"/>
              </w:rPr>
              <w:t/>
            </w:r>
            <w:r w:rsidRPr="4C24FB70">
              <w:rPr>
                <w:i/>
                <w:iCs/>
                <w:color w:val="000000" w:themeColor="text1"/>
                <w:lang w:val="en-IN"/>
              </w:rPr>
              <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4C24FB70" w:rsidRDefault="7CB4C518" w14:paraId="75CA9605" w14:textId="7D5B6C55" w14:noSpellErr="1">
            <w:pPr>
              <w:pStyle w:val="TableText"/>
              <w:spacing w:line="259" w:lineRule="auto"/>
              <w:rPr>
                <w:rFonts w:ascii="Helvetica" w:hAnsi="Helvetica" w:eastAsia="Helvetica" w:cs="Helvetica"/>
                <w:b w:val="0"/>
                <w:bCs w:val="0"/>
                <w:sz w:val="18"/>
                <w:szCs w:val="18"/>
                <w:lang w:val="nb-NO"/>
              </w:rPr>
            </w:pPr>
            <w:r w:rsidRPr="39D3B45B" w:rsidR="7CB4C518">
              <w:rPr>
                <w:b w:val="0"/>
                <w:bCs w:val="0"/>
                <w:i w:val="1"/>
                <w:iCs w:val="1"/>
                <w:color w:val="000000" w:themeColor="text1" w:themeTint="FF" w:themeShade="FF"/>
                <w:lang w:val="nb-NO"/>
              </w:rPr>
              <w:t xml:space="preserve">YSTP_MBGMCR.YSTP_MBGMCR03</w:t>
            </w:r>
            <w:r w:rsidRPr="39D3B45B" w:rsidR="6EE9E2A2">
              <w:rPr>
                <w:b w:val="0"/>
                <w:bCs w:val="0"/>
                <w:i w:val="1"/>
                <w:iCs w:val="1"/>
                <w:color w:val="000000" w:themeColor="text1" w:themeTint="FF" w:themeShade="FF"/>
                <w:lang w:val="nb-NO"/>
              </w:rPr>
              <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9D3B45B" w:rsidRDefault="14EE0409" w14:paraId="10AF5C89" w14:textId="329AE8B5" w14:noSpellErr="1">
            <w:pPr>
              <w:pStyle w:val="TableText"/>
              <w:rPr>
                <w:b w:val="0"/>
                <w:bCs w:val="0"/>
                <w:i w:val="1"/>
                <w:iCs w:val="1"/>
                <w:color w:val="000000" w:themeColor="text1"/>
                <w:lang w:val="nb-NO"/>
              </w:rPr>
            </w:pPr>
            <w:r w:rsidRPr="39D3B45B" w:rsidR="14EE0409">
              <w:rPr>
                <w:b w:val="0"/>
                <w:bCs w:val="0"/>
                <w:i w:val="1"/>
                <w:iCs w:val="1"/>
                <w:color w:val="000000" w:themeColor="text1" w:themeTint="FF" w:themeShade="FF"/>
                <w:lang w:val="nb-NO"/>
              </w:rPr>
              <w:t xml:space="preserve">urn:sap-com:document:sap:idoc:messages</w:t>
            </w:r>
            <w:r w:rsidRPr="39D3B45B" w:rsidR="14EE0409">
              <w:rPr>
                <w:rFonts w:ascii="Helvetica" w:hAnsi="Helvetica" w:eastAsia="Helvetica" w:cs="Helvetica"/>
                <w:b w:val="0"/>
                <w:bCs w:val="0"/>
                <w:sz w:val="18"/>
                <w:szCs w:val="18"/>
                <w:lang w:val="nb-NO"/>
              </w:rPr>
              <w:t/>
            </w:r>
            <w:r w:rsidRPr="39D3B45B" w:rsidR="14EE0409">
              <w:rPr>
                <w:b w:val="0"/>
                <w:bCs w:val="0"/>
                <w:i w:val="1"/>
                <w:iCs w:val="1"/>
                <w:color w:val="000000" w:themeColor="text1" w:themeTint="FF" w:themeShade="FF"/>
                <w:lang w:val="nb-NO"/>
              </w:rPr>
              <w:t/>
            </w:r>
          </w:p>
          <w:p w:rsidRPr="0051560E" w:rsidR="00A435A2" w:rsidP="0051560E" w:rsidRDefault="00A435A2" w14:paraId="19ED68E8" w14:textId="77777777">
            <w:pPr>
              <w:pStyle w:val="TableText"/>
              <w:ind w:left="0"/>
              <w:rPr>
                <w:i/>
                <w:color w:val="0000FF"/>
                <w:lang w:val="en-GB"/>
              </w:rPr>
            </w:pPr>
          </w:p>
          <w:p w:rsidRPr="0051560E" w:rsidR="00A435A2" w:rsidP="0051560E" w:rsidRDefault="00AD4F4C" w14:paraId="5E908111" w14:textId="00F3271B">
            <w:pPr>
              <w:pStyle w:val="TableText"/>
              <w:ind w:left="0"/>
              <w:rPr>
                <w:i/>
                <w:color w:val="0000FF"/>
                <w:lang w:val="en-GB"/>
              </w:rPr>
            </w:pPr>
            <w:r w:rsidRPr="0051560E">
              <w:rPr>
                <w:i/>
                <w:color w:val="0000FF"/>
                <w:lang w:val="en-GB"/>
              </w:rPr>
              <w:t xml:space="preserve">Attached the Input </w:t>
            </w:r>
            <w:proofErr w:type="gramStart"/>
            <w:r w:rsidRPr="0051560E">
              <w:rPr>
                <w:i/>
                <w:color w:val="0000FF"/>
                <w:lang w:val="en-GB"/>
              </w:rPr>
              <w:t>Payload</w:t>
            </w:r>
            <w:r w:rsidR="00AF1885">
              <w:rPr>
                <w:i/>
                <w:color w:val="0000FF"/>
                <w:lang w:val="en-GB"/>
              </w:rPr>
              <w:t>(</w:t>
            </w:r>
            <w:proofErr w:type="gramEnd"/>
            <w:r w:rsidR="00AF1885">
              <w:rPr>
                <w:i/>
                <w:color w:val="0000FF"/>
                <w:lang w:val="en-GB"/>
              </w:rPr>
              <w:t>PO)</w:t>
            </w:r>
            <w:r w:rsidRPr="0051560E">
              <w:rPr>
                <w:i/>
                <w:color w:val="0000FF"/>
                <w:lang w:val="en-GB"/>
              </w:rPr>
              <w:t>.</w:t>
            </w: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EB2416" w:rsidP="0051560E" w:rsidRDefault="00EB2416" w14:paraId="758F49FE" w14:textId="77777777">
            <w:pPr>
              <w:pStyle w:val="TableText"/>
              <w:ind w:left="0"/>
              <w:rPr>
                <w:i/>
                <w:color w:val="0000FF"/>
                <w:lang w:val="en-GB"/>
              </w:rPr>
            </w:pPr>
          </w:p>
          <w:p w:rsidR="00EB2416" w:rsidP="0051560E" w:rsidRDefault="00EB2416" w14:paraId="15168C7D" w14:textId="77777777">
            <w:pPr>
              <w:pStyle w:val="TableText"/>
              <w:ind w:left="0"/>
              <w:rPr>
                <w:i/>
                <w:lang w:val="en-GB"/>
              </w:rPr>
            </w:pPr>
            <w:r w:rsidRPr="00EB2416">
              <w:rPr>
                <w:i/>
                <w:lang w:val="en-GB"/>
              </w:rPr>
              <w:t>Attach the</w:t>
            </w:r>
            <w:r w:rsidR="00D53FC5">
              <w:rPr>
                <w:i/>
                <w:lang w:val="en-GB"/>
              </w:rPr>
              <w:t xml:space="preserve"> PO</w:t>
            </w:r>
            <w:r w:rsidRPr="00EB2416">
              <w:rPr>
                <w:i/>
                <w:lang w:val="en-GB"/>
              </w:rPr>
              <w:t xml:space="preserve"> output file</w:t>
            </w:r>
          </w:p>
          <w:p w:rsidR="00D53FC5" w:rsidP="0051560E" w:rsidRDefault="00D53FC5" w14:paraId="1D184A97" w14:textId="77777777">
            <w:pPr>
              <w:pStyle w:val="TableText"/>
              <w:ind w:left="0"/>
              <w:rPr>
                <w:i/>
                <w:lang w:val="en-GB"/>
              </w:rPr>
            </w:pPr>
          </w:p>
          <w:p w:rsidR="00D53FC5" w:rsidP="0051560E" w:rsidRDefault="00D53FC5" w14:paraId="47F238A7" w14:textId="0310EA9A">
            <w:pPr>
              <w:pStyle w:val="TableText"/>
              <w:ind w:left="0"/>
            </w:pPr>
          </w:p>
          <w:p w:rsidR="005943BC" w:rsidP="0051560E" w:rsidRDefault="005943BC" w14:paraId="3274488B" w14:textId="77777777">
            <w:pPr>
              <w:pStyle w:val="TableText"/>
              <w:ind w:left="0"/>
              <w:rPr>
                <w:i/>
                <w:lang w:val="en-GB"/>
              </w:rPr>
            </w:pPr>
          </w:p>
          <w:p w:rsidR="00D53FC5" w:rsidP="0051560E" w:rsidRDefault="00D53FC5" w14:paraId="320FC939" w14:textId="77777777">
            <w:pPr>
              <w:pStyle w:val="TableText"/>
              <w:ind w:left="0"/>
              <w:rPr>
                <w:i/>
                <w:lang w:val="en-GB"/>
              </w:rPr>
            </w:pPr>
            <w:r>
              <w:rPr>
                <w:i/>
                <w:lang w:val="en-GB"/>
              </w:rPr>
              <w:t>Attach the BTP output file</w:t>
            </w:r>
          </w:p>
          <w:p w:rsidR="00D53FC5" w:rsidP="0051560E" w:rsidRDefault="00D53FC5" w14:paraId="1FA6C7CC" w14:textId="4A3DD5AA">
            <w:pPr>
              <w:pStyle w:val="TableText"/>
              <w:ind w:left="0"/>
              <w:rPr>
                <w:i/>
                <w:lang w:val="en-GB"/>
              </w:rPr>
            </w:pPr>
          </w:p>
          <w:p w:rsidRPr="00EB2416" w:rsidR="00D53FC5" w:rsidP="0051560E" w:rsidRDefault="00D53FC5" w14:paraId="5C4BAB55" w14:textId="27C741A0">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200E4579" w14:textId="58303798">
            <w:pPr>
              <w:pStyle w:val="TableText"/>
              <w:ind w:left="0"/>
            </w:pP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3FD76DD5"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EB2416" w:rsidP="0051560E" w:rsidRDefault="00EB2416" w14:paraId="56FEA41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1E9084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Pr="0051560E" w:rsidR="00EB2416" w:rsidP="39D3B45B" w:rsidRDefault="2E25B5CC" w14:paraId="63EE648D" w14:textId="1E8CEA17">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39D3B45B" w:rsidR="2E25B5CC">
              <w:rPr>
                <w:rFonts w:ascii="Arial" w:hAnsi="Arial"/>
                <w:i w:val="1"/>
                <w:iCs w:val="1"/>
                <w:color w:val="0000FF"/>
                <w:sz w:val="20"/>
                <w:szCs w:val="20"/>
                <w:lang w:val="en-GB"/>
              </w:rPr>
              <w:t>We are testing connection from</w:t>
            </w:r>
            <w:r w:rsidRPr="39D3B45B" w:rsidR="71D77040">
              <w:rPr>
                <w:rFonts w:ascii="Arial" w:hAnsi="Arial"/>
                <w:i w:val="1"/>
                <w:iCs w:val="1"/>
                <w:color w:val="0000FF"/>
                <w:sz w:val="20"/>
                <w:szCs w:val="20"/>
                <w:lang w:val="en-GB"/>
              </w:rPr>
              <w:t xml:space="preserve"> </w:t>
            </w:r>
            <w:r w:rsidRPr="39D3B45B" w:rsidR="7C5D831E">
              <w:rPr>
                <w:rFonts w:ascii="Arial" w:hAnsi="Arial"/>
                <w:i w:val="1"/>
                <w:iCs w:val="1"/>
                <w:color w:val="0000FF"/>
                <w:sz w:val="20"/>
                <w:szCs w:val="20"/>
                <w:lang w:val="en-GB"/>
              </w:rPr>
              <w:t xml:space="preserve">SAPS4</w:t>
            </w:r>
            <w:r w:rsidRPr="39D3B45B" w:rsidR="71D77040">
              <w:rPr>
                <w:rFonts w:ascii="Arial" w:hAnsi="Arial"/>
                <w:i w:val="1"/>
                <w:iCs w:val="1"/>
                <w:color w:val="0000FF"/>
                <w:sz w:val="20"/>
                <w:szCs w:val="20"/>
                <w:lang w:val="en-GB"/>
              </w:rPr>
              <w:t/>
            </w:r>
            <w:r w:rsidRPr="39D3B45B" w:rsidR="24BC6560">
              <w:rPr>
                <w:rFonts w:ascii="Arial" w:hAnsi="Arial"/>
                <w:i w:val="1"/>
                <w:iCs w:val="1"/>
                <w:color w:val="0000FF"/>
                <w:sz w:val="20"/>
                <w:szCs w:val="20"/>
                <w:lang w:val="en-GB"/>
              </w:rPr>
              <w:t/>
            </w:r>
            <w:r w:rsidRPr="39D3B45B" w:rsidR="56D3B1B2">
              <w:rPr>
                <w:rFonts w:ascii="Arial" w:hAnsi="Arial"/>
                <w:i w:val="1"/>
                <w:iCs w:val="1"/>
                <w:color w:val="0000FF"/>
                <w:sz w:val="20"/>
                <w:szCs w:val="20"/>
                <w:lang w:val="en-GB"/>
              </w:rPr>
              <w:t/>
            </w:r>
            <w:r w:rsidRPr="39D3B45B" w:rsidR="71D77040">
              <w:rPr>
                <w:rFonts w:ascii="Arial" w:hAnsi="Arial"/>
                <w:i w:val="1"/>
                <w:iCs w:val="1"/>
                <w:color w:val="0000FF"/>
                <w:sz w:val="20"/>
                <w:szCs w:val="20"/>
                <w:lang w:val="en-GB"/>
              </w:rPr>
              <w:t xml:space="preserve"> </w:t>
            </w:r>
            <w:r w:rsidRPr="39D3B45B" w:rsidR="0663FCED">
              <w:rPr>
                <w:rFonts w:ascii="Arial" w:hAnsi="Arial"/>
                <w:i w:val="1"/>
                <w:iCs w:val="1"/>
                <w:color w:val="0000FF"/>
                <w:sz w:val="20"/>
                <w:szCs w:val="20"/>
                <w:lang w:val="en-GB"/>
              </w:rPr>
              <w:t xml:space="preserve">(IDOC</w:t>
            </w:r>
            <w:r w:rsidRPr="39D3B45B" w:rsidR="71D77040">
              <w:rPr>
                <w:rFonts w:ascii="Arial" w:hAnsi="Arial"/>
                <w:i w:val="1"/>
                <w:iCs w:val="1"/>
                <w:color w:val="0000FF"/>
                <w:sz w:val="20"/>
                <w:szCs w:val="20"/>
                <w:lang w:val="en-GB"/>
              </w:rPr>
              <w:t xml:space="preserve">) </w:t>
            </w:r>
            <w:r w:rsidRPr="39D3B45B" w:rsidR="2E25B5CC">
              <w:rPr>
                <w:rFonts w:ascii="Arial" w:hAnsi="Arial"/>
                <w:i w:val="1"/>
                <w:iCs w:val="1"/>
                <w:color w:val="0000FF"/>
                <w:sz w:val="20"/>
                <w:szCs w:val="20"/>
                <w:lang w:val="en-GB"/>
              </w:rPr>
              <w:t>to</w:t>
            </w:r>
            <w:r w:rsidRPr="39D3B45B" w:rsidR="183DD6C5">
              <w:rPr>
                <w:rFonts w:ascii="Arial" w:hAnsi="Arial"/>
                <w:i w:val="1"/>
                <w:iCs w:val="1"/>
                <w:color w:val="0000FF"/>
                <w:sz w:val="20"/>
                <w:szCs w:val="20"/>
                <w:lang w:val="en-GB"/>
              </w:rPr>
              <w:t xml:space="preserve"> </w:t>
            </w:r>
            <w:r w:rsidRPr="39D3B45B" w:rsidR="09A6DAB8">
              <w:rPr>
                <w:rFonts w:ascii="Arial" w:hAnsi="Arial"/>
                <w:i w:val="1"/>
                <w:iCs w:val="1"/>
                <w:color w:val="0000FF"/>
                <w:sz w:val="20"/>
                <w:szCs w:val="20"/>
                <w:lang w:val="en-GB"/>
              </w:rPr>
              <w:t xml:space="preserve">B2B</w:t>
            </w:r>
            <w:r w:rsidRPr="39D3B45B" w:rsidR="6338C57E">
              <w:rPr>
                <w:rFonts w:ascii="Arial" w:hAnsi="Arial"/>
                <w:i w:val="1"/>
                <w:iCs w:val="1"/>
                <w:color w:val="0000FF"/>
                <w:sz w:val="20"/>
                <w:szCs w:val="20"/>
                <w:lang w:val="en-GB"/>
              </w:rPr>
              <w:t/>
            </w:r>
            <w:r w:rsidRPr="39D3B45B" w:rsidR="16AD7A80">
              <w:rPr>
                <w:rFonts w:ascii="Arial" w:hAnsi="Arial"/>
                <w:i w:val="1"/>
                <w:iCs w:val="1"/>
                <w:color w:val="0000FF"/>
                <w:sz w:val="20"/>
                <w:szCs w:val="20"/>
                <w:lang w:val="en-GB"/>
              </w:rPr>
              <w:t/>
            </w:r>
            <w:r w:rsidRPr="39D3B45B" w:rsidR="0032D8B4">
              <w:rPr>
                <w:rFonts w:ascii="Arial" w:hAnsi="Arial"/>
                <w:i w:val="1"/>
                <w:iCs w:val="1"/>
                <w:color w:val="0000FF"/>
                <w:sz w:val="20"/>
                <w:szCs w:val="20"/>
                <w:lang w:val="en-GB"/>
              </w:rPr>
              <w:t xml:space="preserve"> (SFTP)</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78723E99">
            <w:pPr>
              <w:overflowPunct w:val="0"/>
              <w:autoSpaceDE w:val="0"/>
              <w:autoSpaceDN w:val="0"/>
              <w:adjustRightInd w:val="0"/>
              <w:spacing w:after="120" w:line="360" w:lineRule="auto"/>
              <w:jc w:val="both"/>
              <w:textAlignment w:val="baseline"/>
            </w:pP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00592E65" w:rsidRDefault="008139C5" w14:paraId="0C31F0FB" w14:textId="77777777">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bookmarkStart w:name="OLE_LINK8" w:id="22"/>
            <w:bookmarkStart w:name="OLE_LINK9" w:id="23"/>
          </w:p>
          <w:p w:rsidRPr="008139C5" w:rsidR="001B27DC" w:rsidP="00592E65" w:rsidRDefault="703A81A8" w14:paraId="0453BBBD" w14:textId="262ACF64">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r w:rsidRPr="4C24FB70">
              <w:rPr>
                <w:rFonts w:ascii="Arial" w:hAnsi="Arial"/>
                <w:b/>
                <w:bCs/>
                <w:i/>
                <w:iCs/>
                <w:color w:val="000000" w:themeColor="text1"/>
                <w:sz w:val="20"/>
                <w:szCs w:val="20"/>
                <w:lang w:val="en-GB"/>
              </w:rPr>
              <w:t>Message</w:t>
            </w:r>
            <w:r w:rsidRPr="4C24FB70" w:rsidR="0D2DD94D">
              <w:rPr>
                <w:rFonts w:ascii="Arial" w:hAnsi="Arial"/>
                <w:b/>
                <w:bCs/>
                <w:i/>
                <w:iCs/>
                <w:color w:val="000000" w:themeColor="text1"/>
                <w:sz w:val="20"/>
                <w:szCs w:val="20"/>
                <w:lang w:val="en-GB"/>
              </w:rPr>
              <w:t xml:space="preserve"> </w:t>
            </w:r>
            <w:r w:rsidRPr="4C24FB70" w:rsidR="2075CD9C">
              <w:rPr>
                <w:rFonts w:ascii="Arial" w:hAnsi="Arial"/>
                <w:b/>
                <w:bCs/>
                <w:i/>
                <w:iCs/>
                <w:color w:val="000000" w:themeColor="text1"/>
                <w:sz w:val="20"/>
                <w:szCs w:val="20"/>
                <w:lang w:val="en-GB"/>
              </w:rPr>
              <w:t>ID:</w:t>
            </w:r>
          </w:p>
          <w:bookmarkEnd w:id="22"/>
          <w:p w:rsidR="001B27DC" w:rsidP="4C24FB70" w:rsidRDefault="001B27DC" w14:paraId="43B80720" w14:textId="0099108D">
            <w:pPr>
              <w:rPr>
                <w:rFonts w:ascii="Arial" w:hAnsi="Arial"/>
                <w:b/>
                <w:bCs/>
                <w:i/>
                <w:iCs/>
                <w:sz w:val="20"/>
                <w:szCs w:val="20"/>
              </w:rPr>
            </w:pPr>
          </w:p>
          <w:p w:rsidR="001B27DC" w:rsidP="4C24FB70" w:rsidRDefault="25D57C26" w14:paraId="39EA66B2" w14:textId="18CB2F26">
            <w:r w:rsidRPr="4C24FB70">
              <w:rPr>
                <w:rFonts w:ascii="Arial" w:hAnsi="Arial"/>
                <w:b/>
                <w:bCs/>
                <w:i/>
                <w:iCs/>
                <w:sz w:val="20"/>
                <w:szCs w:val="20"/>
              </w:rPr>
              <w:t>Correlation ID:</w:t>
            </w:r>
          </w:p>
          <w:p w:rsidRPr="002A0B26" w:rsidR="00714AE2" w:rsidP="0051560E" w:rsidRDefault="00714AE2" w14:paraId="150EED57" w14:textId="77777777">
            <w:pPr>
              <w:rPr>
                <w:b/>
              </w:rPr>
            </w:pPr>
          </w:p>
          <w:bookmarkEnd w:id="23"/>
          <w:p w:rsidR="703A81A8" w:rsidP="4C24FB70" w:rsidRDefault="703A81A8" w14:paraId="2ADF074E" w14:textId="33B88F94">
            <w:pPr>
              <w:spacing w:after="120" w:line="360" w:lineRule="auto"/>
              <w:rPr>
                <w:b/>
                <w:bCs/>
              </w:rPr>
            </w:pPr>
            <w:r w:rsidRPr="4C24FB70">
              <w:rPr>
                <w:b/>
                <w:bCs/>
              </w:rPr>
              <w:lastRenderedPageBreak/>
              <w:t>Delivered log:</w:t>
            </w:r>
          </w:p>
          <w:p w:rsidRPr="0051560E" w:rsidR="0051560E" w:rsidP="4C24FB70" w:rsidRDefault="703A81A8" w14:paraId="28BBFA03" w14:textId="3442FF21">
            <w:pPr>
              <w:overflowPunct w:val="0"/>
              <w:autoSpaceDE w:val="0"/>
              <w:autoSpaceDN w:val="0"/>
              <w:adjustRightInd w:val="0"/>
              <w:spacing w:after="120" w:line="360" w:lineRule="auto"/>
              <w:textAlignment w:val="baseline"/>
              <w:rPr>
                <w:b/>
                <w:bCs/>
                <w:lang w:val="en-GB"/>
              </w:rPr>
            </w:pPr>
            <w:r w:rsidRPr="4C24FB70">
              <w:rPr>
                <w:b/>
                <w:bCs/>
              </w:rPr>
              <w:t>Message Process Log:</w:t>
            </w: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3FD76DD5"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3FD76DD5"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4C24FB70">
              <w:rPr>
                <w:i/>
                <w:iCs/>
                <w:lang w:val="en-GB"/>
              </w:rPr>
              <w:t>Po input file</w:t>
            </w:r>
          </w:p>
          <w:p w:rsidR="00724447" w:rsidP="00BE402E" w:rsidRDefault="00724447" w14:paraId="33E7083A" w14:textId="77777777">
            <w:pPr>
              <w:pStyle w:val="TableText"/>
              <w:ind w:left="0"/>
              <w:rPr>
                <w:i/>
                <w:lang w:val="en-GB"/>
              </w:rPr>
            </w:pPr>
          </w:p>
          <w:p w:rsidRPr="00BE402E" w:rsidR="00724447" w:rsidP="00BE402E" w:rsidRDefault="00724447" w14:paraId="41336E7D" w14:textId="77777777">
            <w:pPr>
              <w:pStyle w:val="TableText"/>
              <w:ind w:left="0"/>
              <w:rPr>
                <w:i/>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4C24FB70" w:rsidRDefault="0A2BF100" w14:paraId="75BF30B3" w14:textId="04D9B593">
            <w:pPr>
              <w:pStyle w:val="TableText"/>
              <w:ind w:left="0"/>
              <w:rPr>
                <w:i/>
                <w:iCs/>
                <w:lang w:val="en-GB"/>
              </w:rPr>
            </w:pPr>
            <w:r w:rsidRPr="4C24FB70">
              <w:rPr>
                <w:i/>
                <w:iCs/>
                <w:lang w:val="en-GB"/>
              </w:rPr>
              <w:t>BTP Output file</w:t>
            </w: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4C24FB70" w:rsidRDefault="0A2BF100" w14:paraId="2C0887A0" w14:textId="64E5052A">
            <w:pPr>
              <w:pStyle w:val="TableText"/>
              <w:ind w:left="0"/>
              <w:rPr>
                <w:i/>
                <w:iCs/>
                <w:lang w:val="en-GB"/>
              </w:rPr>
            </w:pPr>
            <w:r w:rsidRPr="4C24FB70">
              <w:rPr>
                <w:i/>
                <w:iCs/>
                <w:lang w:val="en-GB"/>
              </w:rPr>
              <w:t>PO Output file</w:t>
            </w: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4C24FB70" w14:paraId="154DEB03" w14:textId="77777777">
        <w:trPr>
          <w:trHeight w:val="598"/>
        </w:trPr>
        <w:tc>
          <w:tcPr>
            <w:tcW w:w="10856" w:type="dxa"/>
            <w:gridSpan w:val="4"/>
            <w:shd w:val="clear" w:color="auto" w:fill="E6E6E6"/>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4C24FB70" w14:paraId="5C20EB2C" w14:textId="77777777">
        <w:trPr>
          <w:trHeight w:val="550"/>
        </w:trPr>
        <w:tc>
          <w:tcPr>
            <w:tcW w:w="2401" w:type="dxa"/>
            <w:shd w:val="clear" w:color="auto" w:fill="E6E6E6"/>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Pr>
          <w:p w:rsidRPr="008E2C0F" w:rsidR="00253C15" w:rsidP="4C24FB70" w:rsidRDefault="74877F2B" w14:paraId="7A9B41ED" w14:textId="5BE46FBA">
            <w:pPr>
              <w:pStyle w:val="TableText"/>
              <w:rPr>
                <w:i/>
                <w:iCs/>
                <w:color w:val="000000" w:themeColor="text1"/>
                <w:lang w:val="en-GB"/>
              </w:rPr>
            </w:pPr>
            <w:r w:rsidRPr="4C24FB70">
              <w:rPr>
                <w:i/>
                <w:iCs/>
                <w:color w:val="000000" w:themeColor="text1"/>
                <w:lang w:val="en-GB"/>
              </w:rPr>
              <w:t xml:space="preserve">Sai</w:t>
            </w:r>
            <w:r w:rsidRPr="4C24FB70">
              <w:rPr>
                <w:rFonts w:ascii="Helvetica" w:hAnsi="Helvetica" w:eastAsia="Helvetica" w:cs="Helvetica"/>
                <w:sz w:val="18"/>
                <w:szCs w:val="18"/>
                <w:lang w:val="en-GB"/>
              </w:rPr>
              <w:t/>
            </w:r>
            <w:r w:rsidRPr="4C24FB70" w:rsidR="53C9E939">
              <w:rPr>
                <w:rFonts w:ascii="Helvetica" w:hAnsi="Helvetica" w:eastAsia="Helvetica" w:cs="Helvetica"/>
                <w:sz w:val="18"/>
                <w:szCs w:val="18"/>
                <w:lang w:val="en-GB"/>
              </w:rPr>
              <w:t/>
            </w:r>
            <w:r w:rsidRPr="4C24FB70">
              <w:rPr>
                <w:i/>
                <w:iCs/>
                <w:color w:val="000000" w:themeColor="text1"/>
                <w:lang w:val="en-GB"/>
              </w:rPr>
              <w:t/>
            </w:r>
          </w:p>
        </w:tc>
        <w:tc>
          <w:tcPr>
            <w:tcW w:w="1170" w:type="dxa"/>
            <w:shd w:val="clear" w:color="auto" w:fill="E6E6E6"/>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 xml:space="preserve">13/06/2025</w:t>
            </w:r>
          </w:p>
        </w:tc>
      </w:tr>
      <w:tr w:rsidRPr="008E2C0F" w:rsidR="008E2C0F" w:rsidTr="4C24FB70" w14:paraId="55188D33" w14:textId="77777777">
        <w:trPr>
          <w:trHeight w:val="550"/>
        </w:trPr>
        <w:tc>
          <w:tcPr>
            <w:tcW w:w="2401" w:type="dxa"/>
            <w:shd w:val="clear" w:color="auto" w:fill="E6E6E6"/>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Pr>
          <w:p w:rsidRPr="008E2C0F" w:rsidR="00253C15" w:rsidP="4C24FB70" w:rsidRDefault="52775D60" w14:paraId="502B545A" w14:textId="3F9D49E7">
            <w:pPr>
              <w:pStyle w:val="TableText"/>
              <w:ind w:left="0"/>
              <w:rPr>
                <w:i/>
                <w:iCs/>
                <w:color w:val="000000" w:themeColor="text1"/>
                <w:lang w:val="en-GB"/>
              </w:rPr>
            </w:pPr>
            <w:r w:rsidRPr="4C24FB70">
              <w:rPr>
                <w:i/>
                <w:iCs/>
                <w:color w:val="000000" w:themeColor="text1"/>
                <w:lang w:val="en-GB"/>
              </w:rPr>
              <w:t xml:space="preserve">Govindaraj Thangavel</w:t>
            </w:r>
          </w:p>
        </w:tc>
        <w:tc>
          <w:tcPr>
            <w:tcW w:w="1170" w:type="dxa"/>
            <w:shd w:val="clear" w:color="auto" w:fill="E6E6E6"/>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 xml:space="preserve">13/06/2025</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280033C"/>
    <w:rsid w:val="02DC943D"/>
    <w:rsid w:val="04657EB7"/>
    <w:rsid w:val="0557911B"/>
    <w:rsid w:val="06522DBB"/>
    <w:rsid w:val="0663FCED"/>
    <w:rsid w:val="09A6DAB8"/>
    <w:rsid w:val="0A2BF100"/>
    <w:rsid w:val="0D2DD94D"/>
    <w:rsid w:val="0E6B098C"/>
    <w:rsid w:val="0EE050B0"/>
    <w:rsid w:val="0FD00A73"/>
    <w:rsid w:val="1135ACB4"/>
    <w:rsid w:val="11BA0348"/>
    <w:rsid w:val="11E862D8"/>
    <w:rsid w:val="120F3EB0"/>
    <w:rsid w:val="125B2E50"/>
    <w:rsid w:val="135BF132"/>
    <w:rsid w:val="13910EC2"/>
    <w:rsid w:val="1399D23E"/>
    <w:rsid w:val="14EE0409"/>
    <w:rsid w:val="15812BB5"/>
    <w:rsid w:val="16691A46"/>
    <w:rsid w:val="16AD7A80"/>
    <w:rsid w:val="183DD6C5"/>
    <w:rsid w:val="1894C6AE"/>
    <w:rsid w:val="1A622E0D"/>
    <w:rsid w:val="1B1719E9"/>
    <w:rsid w:val="1D206C04"/>
    <w:rsid w:val="1D7E5ED7"/>
    <w:rsid w:val="1E64CBB9"/>
    <w:rsid w:val="20150E8C"/>
    <w:rsid w:val="2075CD9C"/>
    <w:rsid w:val="216BC15E"/>
    <w:rsid w:val="237FBA7B"/>
    <w:rsid w:val="23ABFA7E"/>
    <w:rsid w:val="24415C2A"/>
    <w:rsid w:val="24BC6560"/>
    <w:rsid w:val="258894CE"/>
    <w:rsid w:val="25D57C26"/>
    <w:rsid w:val="26EB2618"/>
    <w:rsid w:val="271C5A20"/>
    <w:rsid w:val="27435614"/>
    <w:rsid w:val="27DB9464"/>
    <w:rsid w:val="297FB70A"/>
    <w:rsid w:val="2C3892AA"/>
    <w:rsid w:val="2D3F7849"/>
    <w:rsid w:val="2E25B5CC"/>
    <w:rsid w:val="2EA06983"/>
    <w:rsid w:val="3084E355"/>
    <w:rsid w:val="344801B5"/>
    <w:rsid w:val="350CEEDF"/>
    <w:rsid w:val="38BBA344"/>
    <w:rsid w:val="39D3B45B"/>
    <w:rsid w:val="3A18A337"/>
    <w:rsid w:val="3A2E05B9"/>
    <w:rsid w:val="3D0E927A"/>
    <w:rsid w:val="3E97ABE1"/>
    <w:rsid w:val="3FD76DD5"/>
    <w:rsid w:val="4240B241"/>
    <w:rsid w:val="44642AFE"/>
    <w:rsid w:val="46144B11"/>
    <w:rsid w:val="46B32C5F"/>
    <w:rsid w:val="4769E2A3"/>
    <w:rsid w:val="4C24FB70"/>
    <w:rsid w:val="4DAFF207"/>
    <w:rsid w:val="4ED83C1A"/>
    <w:rsid w:val="4F248378"/>
    <w:rsid w:val="4F33CB07"/>
    <w:rsid w:val="4F8C04F2"/>
    <w:rsid w:val="50B717AF"/>
    <w:rsid w:val="52775D60"/>
    <w:rsid w:val="537F94A6"/>
    <w:rsid w:val="53C9E939"/>
    <w:rsid w:val="556DFE81"/>
    <w:rsid w:val="55E9D0E4"/>
    <w:rsid w:val="56D3B1B2"/>
    <w:rsid w:val="5758DDDA"/>
    <w:rsid w:val="5A323E0C"/>
    <w:rsid w:val="5AB0A058"/>
    <w:rsid w:val="5AE917D9"/>
    <w:rsid w:val="5C1420FD"/>
    <w:rsid w:val="5C97664B"/>
    <w:rsid w:val="5D146BE7"/>
    <w:rsid w:val="5E260FC5"/>
    <w:rsid w:val="5E3FB6E7"/>
    <w:rsid w:val="5E46F545"/>
    <w:rsid w:val="5F39E2BC"/>
    <w:rsid w:val="600F07D3"/>
    <w:rsid w:val="61316E88"/>
    <w:rsid w:val="61E21CF9"/>
    <w:rsid w:val="631593DC"/>
    <w:rsid w:val="6338C57E"/>
    <w:rsid w:val="658E83AB"/>
    <w:rsid w:val="65BD14F6"/>
    <w:rsid w:val="6687EE21"/>
    <w:rsid w:val="683006D6"/>
    <w:rsid w:val="68A95374"/>
    <w:rsid w:val="69A903DA"/>
    <w:rsid w:val="6A24DA77"/>
    <w:rsid w:val="6AAF8974"/>
    <w:rsid w:val="6B19F924"/>
    <w:rsid w:val="6C606AED"/>
    <w:rsid w:val="6E32B8A4"/>
    <w:rsid w:val="6E516627"/>
    <w:rsid w:val="6EBB1D54"/>
    <w:rsid w:val="6EC77FE7"/>
    <w:rsid w:val="6EE9E2A2"/>
    <w:rsid w:val="703A81A8"/>
    <w:rsid w:val="71B75FDD"/>
    <w:rsid w:val="71D77040"/>
    <w:rsid w:val="72367F1F"/>
    <w:rsid w:val="729157C9"/>
    <w:rsid w:val="73715A06"/>
    <w:rsid w:val="74877F2B"/>
    <w:rsid w:val="74CE8983"/>
    <w:rsid w:val="756B1D86"/>
    <w:rsid w:val="77149142"/>
    <w:rsid w:val="77DDA36E"/>
    <w:rsid w:val="77F987AE"/>
    <w:rsid w:val="7872231C"/>
    <w:rsid w:val="7B4610CD"/>
    <w:rsid w:val="7B473912"/>
    <w:rsid w:val="7C5D831E"/>
    <w:rsid w:val="7CB4C518"/>
    <w:rsid w:val="7D520E7C"/>
    <w:rsid w:val="7D830A77"/>
    <w:rsid w:val="7F59503D"/>
    <w:rsid w:val="7F72B900"/>
    <w:rsid w:val="7FBB9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4</revision>
  <dcterms:created xsi:type="dcterms:W3CDTF">2025-06-09T09:29:00.0000000Z</dcterms:created>
  <dcterms:modified xsi:type="dcterms:W3CDTF">2025-06-13T06:44:44.0611666Z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