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PhD Defense — Speaker Notes &amp; Examiner Q&amp;A Handbook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AI-Driven Open-Source Tool for Design &amp; Optimization of Solar Cells (v4.0 rev B)</w:t>
      </w:r>
    </w:p>
    <w:p>
      <w:pPr>
        <w:spacing w:after="140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Companion to PhD_Defense_Solar_Cell_Tool_v4.pptx (25 slides)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Two examiner tracks are prepared for every slide: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CS — Computer-Science evaluators: numerical methods, ML theory, software engineering, complexity, reproducibility.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color w:val="2E7D32"/>
          <w:sz w:val="21"/>
          <w:szCs w:val="21"/>
        </w:rPr>
        <w:t xml:space="preserve">PV — Solar-cell technology expert: device physics, materials, measurement &amp; certification practice, stability.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Structure per slide: Talk Track (what to say, with timing) → Deep Background (the knowledge behind the slide) → CS Q&amp;A → PV-Expert Q&amp;A. A cross-cutting Hard-Question Bank closes the handbook.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How to Use This Handbook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Read each slide's Talk Track aloud twice against a timer; the stated durations sum to ~38 minutes, leaving room for interruptions in a 45-minute slot. The Q&amp;A entries are not scripts to recite — they are positions to own: each answer names the evidence artifact (script, figure, table, DOI) so any challenge can be settled by pointing at something executable or published.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Routing map for live questions: physics depth → Slide 19 (derive on the whiteboard); ML rigor → Slide 17 (three-part protocol); software quality → Slides 7 and 20 (contracts, tests, artifacts); novelty → Slide 21 (claims-to-evidence map); honesty/limits → Slide 22 (read proactively); anything about measurements or records → Slides 13-14 plus the PV bank at the end. The single strongest move remains running scripts/run_cross_tool_validation.py live: nine green checks in ten seconds.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 — Title &amp; Scorecard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(60 s) State the thesis in one sentence: an open-source, multi-technology solar-cell design platform in which every number is verifiable — by hand mathematics, by independent code paths, by certified fabricated devices, and by the incumbent tools. The four cards are the defense in miniature; offer immediately that any of them can be regenerated live in under a minute.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Stack: Python 3.10+, NumPy/SciPy numerics, Streamlit UI, PyTorch (PINNs), scikit-learn (surrogates); ~15k lines, 58 regression tests. 'rev B' denotes the cross-tool validation layer added over the v4.0 multi-technology release.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Python for numerical simulation — isn't it slow?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Hot loops are vectorized NumPy (compiled BLAS/LAPACK underneath); the fast simulator answers in milliseconds and the FDM solver in seconds on 1-D meshes of 10²-10³ nodes. Profiling shows &gt;90% of runtime inside compiled kernels, so C++ would buy little at this problem size while costing auditability and the SciPy/PyTorch ecosystem.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does 'verifiable' mean operationally?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Three scripts write versioned JSON artifacts; the UI renders those artifacts; pytest asserts against the same JSON. Single source of truth — a claim cannot drift from its evidence, and 'git log artifacts/' is the audit trail.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'Top-notch versus all available tools' is a strong claim — what exactly is claimed?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Precisely scoped: the only open tool that unifies four technologies with tandem coupling AND validates against certified fabricated records with pre-registered tolerances AND ships provenance for every parameter. Not claimed: superiority to SCAPS on thin-film drift-diffusion depth, to Lumerical on 3-D optics, or to OghmaNano on exciton physics — Slide 5 says so explicitly and we interoperate with all three.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Are these certified efficiencies or in-house measurements?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All 14 benchmark targets are independently certified values (Fraunhofer ISE CalLab, NREL, JET, AIST) as reported in the cited papers — the community's ground truth, with DOIs in the registry.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 — Presentation Outline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(45 s) Signpost the arc: problem, method, engines, evidence, AI, synthesis. Flag that chapters 6, 7 and 9 are executable — the committee can request any of them live.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 the presentation itself reproducible?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Yes — all 14 figures are generated by a script calling the engines; none is drawn. Rebuilding the deck after a physics change refreshes every figure.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3 — Motivation — Why Another Simulator?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Three pain points. Fragmentation: no open tool designs a perovskite/Si tandem end-to-end. Provenance: parameters in published simulations rarely cite sources, so results cannot be audited. Validation culture: tools are graded against other tools, which can share systematic errors; certified fabricated devices are the only independent oracle.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right-hand cards are design invariants enforced structurally: UI pages render artifact JSON, and tests fail if a benchmark cites an unregistered reference.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How do you prevent overfitting the tool to those 14 devices?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Calibration and test roles are disclosed per benchmark; several targets are strictly out-of-calibration (the organic 300 nm roll-off, the Niewelt cross-model, absolute TMM Jsc); tolerances were fixed from published measurement uncertainty before evaluation; and the community-contribution path keeps growing the test set with devices we never tuned on.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the threat model for provenance — can a contributor inject a fake DOI?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registry-integrity test enforces schema (DOI prefix, citation length, confidence tier); audited builds cross-check entries against the Consensus academic index; and benchmark PRs are reviewed against the cited paper itself.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Real perovskite cells show hysteresis and ion migration — where is that?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Deliberately out of scope for steady-state design and stated so: the tool models stabilized (reverse-scan-independent) operation, which is what certification labs report after MPP stabilization. Hysteresis modeling (mobile-ion drift-diffusion) is named future work; comparing to stabilized certified values keeps the validation meaningful without it.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Simulation-to-experiment gaps in PV are usually optics and interfaces — how does a 1-D tool cope?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By owning both: optics via rigorous TMM (planar) plus a disclosed texture path factor (tandems), interfaces via explicit J₀ₛ/S-velocity and defect parameters — and by quantifying the residual gap per certified device rather than asserting agreement.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4 — Research Objectives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(75 s) Read O1-O5 as testable claims; each maps to an evidence slide (O2→13, O3→15/16, O4→17/18, O5→19/20).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Are these objectives falsifiable?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Each has an automated pass/fail: O2 the 14-device suite, O3 the round-trip and TMM checks, O4 the PINN held-out thresholds, O5 pytest plus the executable tutorial exiting 0.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O3's '≥90% compatibility' — measured how?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Over the shared 1-D electro-optical vocabulary (thickness, Eg, χ, ε, Nc, Nv, mobilities, doping, dominant defect, absorption model): the exporter/importer transfers the full set; tool-proprietary extras are enumerated in the export header rather than silently dropped, and the round trip is a unit test.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is CdTe 'plus' rather than a headline technology?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It shipped in v3.1 on the same drift-diffusion core (Gloeckler-2003 baseline replicated exactly, Ahmed-2023 out-of-sample band met); v4.0's research contribution is the silicon/organic/tandem expansion and the cross-tool layer, so CdTe is presented as inherited capability.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5 — Tool Landscape and the Gap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Walk the table column-wise; the gap is the last column. Be fair to incumbents: SCAPS-1D is the thin-film workhorse, Lumerical the optics gold standard, OghmaNano owns exciton physics. This work unifies the shared core and interoperates rather than replaces.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Feature tables invite bias — how did you guard against strawmanning?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Each cell is capability-as-documented by the tool's own manual or papers, cited in the thesis; 'partial' entries are explained there; and the interop layer is the practical proof of respect — we export TO them.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SCAPS does support graded layers and interface defects — your importer skips them; isn't 'Limited' unfair to yourselves too?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Both directions are stated: SCAPS extras that don't transfer are listed in warnings, and our silicon-architecture presets have no SCAPS equivalent. The table row is about designing c-Si architectures (Al-BSF→SHJ-IBC with certified calibration), which SCAPS is not built for.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Where would Sentaurus/Quokka sit?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Commercial/2-3-D FEM class: superior for geometry effects (busbars, local contacts), out of scope for an open 1-D multi-technology platform; the thesis cites them as the export target for geometry questions.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6 — Methodology — Verification Ladder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Rungs ordered by independence from my own code: hand mathematics (no code), redundant implementations (my code vs my code, different algorithms), certified devices (my code vs nature), external tools (my code vs their code). Key inversion: fabricated devices outrank tool-to-tool comparison — N-version programming teaches that agreement is only evidence when failures are independent, which physics engines trained on the same literature are not.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Rung 2 is redundancy — what failure classes does it catch?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Implementation bugs (sign errors, unit slips, indexing), discretization artifacts, library regressions — anything breaking one path but not an algorithmically different one. It cannot catch shared modeling error; that is rung 3's job. It already earned its keep: the TMM energy-conservation check caught a spurious phase factor during development.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your regression strategy when physics code changes?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58 pytest tests pin benchmark errors, round trips, thermodynamic bounds and API contracts; any commit moving a validated number outside tolerance fails.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Certified device data has its own uncertainty — how do tolerances relate to it?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Certification labs quote roughly ±1-2% relative on efficiency (ISO 17025 chains); suite tolerances (3-6% depending on class) sit above lab uncertainty plus published batch spread, so a pass means model error is within the noise floor of what a fabricated record can even pin down.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Devices degrade — is the certified value even the right target?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For perovskites the targets are stabilized certified values (post MPP-tracking) as reported; degradation kinetics are out of steady-state scope and named in future work — the target is the device as certified, which is the community convention.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7 — System Architecture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(75 s) Engines are pure functions from typed dataclasses to a shared result schema (voltages, currents, Jsc/Voc/FF/PCE, QE arrays); everything downstream — optimizer, tandem coupler, UI, exports — is technology-agnostic because it consumes that schema. UI is a stateless view; JSON data files are the single source of truth.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dataclasses + JSON instead of a database?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kB-scale, git-versioned, human-diffable in review — exactly what flat files are for; integrity comes from schema tests, not a DB engine. Concurrency: engines are stateless and picklable; DE population evaluations are embarrassingly parallel.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How do you version artifacts and handle schema evolution?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Artifacts carry suite name + date in git; the device-spec JSON has format/format_version with explicit rejection of unknown formats — additive evolution, versioned breaks.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Material parameters differ lab-to-lab — how does one database serve all users?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Every parameter carries source + DOI + confidence tier, values are editable per-session in the UI, and the honest position is printed: databases are representative literature values, and serious device fitting should start from the user's own characterization — which the SCAPS/JSON import paths accept.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8 — Engine I — Perovskite (Drift-Diffusion + Fast)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Two solvers by design. FDM: Poisson + continuity with Scharfetter-Gummel fluxes and Newton — the SCAPS-class method. Fast: analytic transport/recombination calibrated on the published-SCAPS suite; milliseconds for sweeps and optimization. The figure shows N_t as the quality knob — PCE collapsing over three decades of defect density is textbook SRH physics.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Scharfetter-Gummel exists because of stiffness: densities vary ~15 orders of magnitude over nm; central differences destabilize unless mesh Péclet &lt; 2. SG fits the exact local constant-field solution (Bernoulli functions), giving unconditional stability; scaled variables condition the Jacobian; Gummel iteration warm-starts, Newton finishes quadratically. Tridiagonal blocks → O(N) per step (Thomas algorithm).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Convergence guarantees for the coupled nonlinear system?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None global — the system is nonlinear; practically, damped Newton with voltage continuation from equilibrium converges throughout the validated box, and divergence outside it is reported, never silently absorbed.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keep two solvers rather than one?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 speed/fidelity Pareto with certified error: the fast solver's deviation from FDM is itself a tested quantity — the classic surrogate-with-error-bound pattern.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Tauc α ∝ √(E−Eg)/E is a direct-allowed form — what about the Urbach tail and excitonic edge of real perovskites?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Correct classification (halide perovskites are direct-gap, Urbach energies ~13-15 meV — among the sharpest known), so the sub-gap tail contributes negligibly to Jsc at 5 nm spectral resolution; the organic engine, where tails matter, models a soft edge explicitly. Excitonic enhancement at the edge is absorbed into the calibrated α₀.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Interface recombination often dominates real perovskite cells — one bulk N_t seems thin.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FDM core carries interface recombination velocities and transport-layer defects separately; the fast solver folds interfaces into an effective term calibrated against the SCAPS suite — the split is documented, and the band-diagram view exposes extraction barriers (&gt;0.2 eV spikes) that produce the S-shapes an experimentalist expects.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Which defect model — single midgap level? Capture cross sections?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Single dominant deep level at midgap with σ = 10⁻¹⁵ cm² by default (worst-case SRH), user-overridable; multi-level spectra are a SCAPS-import warning and a stated limitation. Midgap-dominant is the conservative choice for design margins.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9 — Engine II — Crystalline Silicon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Analytical by design: for wafer c-Si, the community's gold-standard analyses (Kerr-Cuevas implied-Voc, Richter parameterization) are algebraic balances tightly constrained by certified records. Emphasize the hand-verifiable chain: Δn by Brent root-find, Voc from the np product, FF via Green, then a full Newton diode sweep. Five architectures, all ≤1.9% from certified devices.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Brent instead of Newton for the balance?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balance is monotone in Δn but its derivative spans decades; Brent is derivative-free, bracketed and guaranteed — robustness over speed for one scalar root.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How do you test a 'no configuration exceeds 29.4%' property?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 property-style test drives a utopian architecture (ms lifetimes, zero resistance, perfect optics) and asserts the ceiling — a fuzzed physical invariant.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You use nᵢ = 9.65×10⁹ cm⁻³ — many texts say 1.0×10¹⁰; and where is band-gap narrowing?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9.65×10⁹ at 300 K is the Altermatt-2003 reassessment the Si community standardized on (the old 1.45×10¹⁰ traces to pre-BGN measurements); doping-dependent BGN matters above ~10¹⁷ cm⁻³ base doping, above our preset range, and is noted as a limitation for heavy emitters — which are lumped into J₀ₛ anyway, where BGN is implicitly measured-in.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Lambertian Z = 4n² is an upper bound — real pyramids don't reach it.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Agreed; presets use Z = 35-50 calibrated per architecture (Al-BSF planar-ish to SHJ textured), and the certified-Jsc match (43.0 vs 42.65 for the IBC record) is the empirical check that the effective Z is right. The 4n² Yablonovitch limit is cited as the bound, not assumed as the value.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lumped J₀ₛ for front and back — how do you interpret it physically?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As the sum J₀,front + J₀,rear + J₀,contact, exactly how lifetime labs report it from photoconductance (Kane-Swanson); the split is not observable from a J-V alone, so lumping is honest. Preset values (1.1-2.6 fA/cm² for SHJ class) sit inside published passivation data.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FF from Green's formula ignores distributed series resistance and edge recombination.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Green's FF₀ is only the seed; the reported FF comes from the full Newton diode sweep with lumped Rs and Rsh, and it matches the analytic correction to 10⁻⁴ (Slide 19). Distributed/geometric effects are the stated 2-3-D limitation — export to Quokka for those.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Temperature behavior — do you reproduce silicon's ~−0.3%/K?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engine takes T explicitly (ni(T), kT, spectrum fixed); the Voc temperature slope emerges from the balance and lands in the −1.7 to −2 mV/K band expected for high-Voc c-Si. Full temperature-coefficient validation is listed in future work with energy yield.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10 — Engine III — Organic BHJ + TMM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Headline is redundancy: two optical models sharing nothing — calibrated plateau-EQE path and rigorous transfer-matrix path — agreeing to 4.4% on PM6:Y6. The roll-off figure is the anti-overfitting exhibit: only the 100 nm device was fitted; the 300 nm prediction lands on the measured 13.6%.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'Calibrated' sounds like curve-fitting — what breaks the circularity?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Per-benchmark disclosure of fitted (Jsc plateau, Voc loss) versus predicted observables (thickness dependence, FF from the diode solve, TMM cross-check) — held-out observables, the same discipline as ML train/test.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Decompose E_loss = 0.50 eV for PM6:Y6 — radiative vs non-radiative?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≈0.26-0.27 eV is the unavoidable radiative term (SQ at Eg 1.33 eV), leaving ΔV_nr ≈ 0.23-0.24 eV, consistent with the ~10⁻⁴ EQE_EL of Y6 blends via ΔV_nr = (kT/q)·ln(1/EQE_EL). The engine parameterizes the sum because that is what J-V constrains; the decomposition is discussed in the thesis with the Rau reciprocity citation.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factor in OPV is transport-limited — a diode + collection factor seems light.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It is a calibrated equivalent-circuit + drift-collection model (Koster/Bartesaghi lineage), not microscopic — stated as the model class. It reproduces certified FF within ~1% across six blends and the measured thickness roll-off; exciton/CT drift-diffusion is delegated to OghmaNano via the JSON bridge.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Morphology, D:A ratio, and processing additives dominate real OPV — none appears as a parameter.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Correct: those enter through the measured blend-level parameters (EQE plateau, μτ, E_loss) each preset carries with its DOI. The tool designs at device level for a characterized blend; predicting parameters from processing is a materials-informatics problem beyond scope, and said so.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OPV burn-in and photostability?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Out of steady-state scope like all degradation here; benchmark targets are as-certified initial values, and stability modeling is named future work.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11 — Engine IV — Tandem Coupling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Algorithmic contribution: invert each subcell J-V to V(J) on the photocurrent branch, sum voltages on a common current grid, subtract interconnect I·R, take MPP of the summed curve — physically superior to min-Jsc heuristics because the non-limiting subcell operates off its own MPP. Spectral filtering is Beer-Lambert × interconnect/parasitic × texture path factor, applied consistently to conserve photons.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Numerical pitfalls of inverting J-V?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Monotonicity on the used branch: sort, deduplicate, clamp — a unit test covers a pathological flat-FF curve. Matching scan is O(K) tandem solves; exhaustive beats clever at this dimensionality.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Luminescent coupling is neglected — that adds real current to the bottom cell.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Yes, ~0.5-1 mA/cm² in high-quality perovskite tops; neglecting it is conservative for the bottom cell and is an explicit future-work item. The certified-lineage agreement within ≤1.3% indicates the grade calibration absorbs it at STC; energy-yield modeling would need it explicitly.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matching at AM1.5G is fragile in the field — spectral sensitivity?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Agreed: 2T optimum shifts with air mass and season, which is why the designer also runs 4T for comparison and why energy-yield under real spectra tops the future-work list; the STC design point is the certification-comparable quantity delivered now.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the interconnect physically — tunnel junction or recombination layer — and is Rs,int the right abstraction?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In perovskite/Si records it is a recombination junction (ITO or nc-Si); electrically it presents a series resistance plus minor optical parasitics at these current densities, so a lumped Rs,int (1.5-4.5 Ω·cm² by era) plus a parasitic absorption factor is the standard published abstraction, cited as such.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Wide-gap perovskites suffer halide segregation under light — your 1.68 eV top assumes stability.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composition modeled (Cs/FA mixed-halide with reduced Br) is the record-lineage choice precisely because segregation is suppressed; photostability itself is out of steady-state scope and flagged.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How are 2T tandems even measured — does your comparison respect the certification protocol?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Certified 2T values come from spectrally-adjusted dual-source measurements per IEC 60904-1-1; we compare model STC output to those certified numbers, which is the like-for-like comparison the labs define.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12 — Results — J-V and EQE Gallery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(60 s) Every curve regenerates from preset objects; nothing is drawn. Point at the EQE cutoffs: hc/Eg dotted lines land exactly on the curve edges — the fastest visual proof the optics are wired correctly.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Spectrum resolution and quadrature?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ASTM G173-03 at 5 nm, trapezoidal integration; halving the step changes Jsc by &lt;0.1% — a tested statement.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Silicon EQE stays high to ~1150 nm — free-carrier absorption and rear parasitics?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Lambertian model's long-λ tail is bounded by the certified Jsc match (within 0.8%); FCA matters mainly in heavily doped regions folded into the effective IQE, and the disclosed residual optics error is where such second-order parasitics live.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13 — Validation I — 14 Certified Benchmarks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Objective O2 delivered: fourteen certified fabricated devices, targets and tolerances pre-registered in the JSON database before evaluation; mean |PCE error| 0.73%, worst 1.91%. Stress 'pre-registered' — a held-out test set in ML terms with the pass criterion fixed before runs.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'Certified' = independently measured by an accredited lab (Fraunhofer ISE CalLab, NREL, JET, AIST); the suite spans three technologies and two decades of engineering (Al-BSF ~20% to tandem 34.58%).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 = 14 is small — statistical power?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These are not i.i.d. samples but the population of relevant certified records per class; the claim is per-device bounded error, not a population statistic, errors are reported per device, and the suite grows by design through the contribution path.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Could you have tuned until 14/14 passed?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Calibration observables are disclosed per benchmark; several targets are strictly out-of-calibration; tolerances derive from published measurement uncertainty, not our residuals; and git history shows red→green transitions with the physics fix attached — a suite that was never red would be meaningless.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Record cells are ~1 cm² lab devices — what about area scaling and modules?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Stated scope: cell-level STC design. Area scaling (grid resistance, edge losses) and cell-to-module gaps are geometry/engineering effects the 1-D tool does not claim; the export path to Quokka/module tools is the documented route.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Perovskite records require stabilized MPP values — did you compare against reverse-scan numbers?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No — all perovskite-containing targets use the stabilized/certified values as published in the record papers, which is exactly why hysteresis modeling can be deferred without corrupting validation.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is PCE the metric rather than the full J-V curve?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PCE is the certified quantity with a traceable uncertainty chain; Voc/Jsc/FF are also stored and reported per device, and the one compensating-error case (2020 tandem) is disclosed rather than hidden behind the scalar.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14 — Validation II — Organic Records &amp; Tandem Lineage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(75 s) Left: six organic benchmarks including the out-of-calibration roll-off row. Right: the 2020→2025 tandem lineage reproduced at three documented interface grades. Say the disclosure before anyone asks: for the 2020 device, PCE and Voc match while Jsc runs ~7% low against FF ~6% high — compensating analytical-optics errors, printed in VALIDATION_MULTI_TECH.md.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Compensating errors are a classic validation trap — why is disclosure enough?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Because the claim is scoped: validated for PCE/Voc at grade level, explicitly NOT claimed accurate for that device's Jsc/FF split; the 2023/2025 grades match all four parameters within ~5%. Scope-limited claims with disclosed residual structure are correct epistemics.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'Grade presets' (Nt, R_int, parasitic, Rs,int per era) look like per-benchmark fitting.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Four scalars per era, each inside independently documented ranges for that generation's interface engineering — the same baseline-construction methodology SCAPS papers use, cited as such; the test is cross-era: one physics, three eras, ≤1.3% error.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2020 Al-Ashouri cell was front-flat; 2023+ are fully textured — does one optical model cover both?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texture path factor is the era-dependent optical knob (lower effective path for the flat-front device), which is exactly why Jsc is the disclosed weak observable for 2020; the rigorous fix — full textured EM optics — is FDTD territory and stated as such.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Organic 300 nm roll-off: thick cells fail by transport — does your collection model capture the right mechanism?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It is a drift-collection competition (μτE vs L) with a sub-quadratic thickness exponent calibrated to the Yuan data, reproducing the measured 15.7→13.6% without touching Voc/FF fits; the mechanism class (transport-limited collection) matches the literature's assignment for NFA blends.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15 — Validation III — Lumerical-Class Wave Optics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The Lumerical answer, precisely: for planar multilayers, Lumerical STACK — and FDTD in the planar limit — solves the coherent Maxwell problem whose exact 1-D solution is the transfer-matrix method. We validate against the published TMM benchmark literature and hit it: interference maxima inside every published window, energy conservation &lt;10⁻⁴, Fresnel at machine precision, absolute certified Jsc within 5.1% where the published TMM-vs-experiment band averages ~16%.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Algorithm: per wavelength, 2×2 complex interface/phase matrices; internal fields from partial-system matrices; per-layer absorption by integrating (4πnk/λn₀)|E(x)|². O(N_λ·N_layers·N_x); milliseconds per spectrum. The conservation check caught a real bug in development — a spurious phase factor in absorbing layers — rung-1 verification doing its job.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'Machine precision' claims and floating point?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Fresnel matches analytic to ~10⁻¹⁶ (double); the 10⁻⁴ conservation residual is quadrature error of the field integral and shrinks with x-resolution — the distinction is stated, never blurred.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not simply run Lumerical and diff?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License-free reproducibility: the published TMM benchmarks ARE the community's Lumerical-class results; matching them makes the same statement without a commercial dependency in the validation pipeline, and the export path exists for license holders.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Your glass is treated incoherently by a single 4% correction — is that rigorous?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It is the standard Burkhard-2010 treatment: a mm-thick substrate has coherence length far below its thickness, so incoherent intensity transfer at the air/glass face is the physically correct limit; full incoherent-coherent matrix mixing changes Jsc by &lt;0.5% for these stacks.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n,k of PM6:Y6 varies batch-to-batch — your 5.1% Jsc match could be luck.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±5-10% ellipsometry spread is disclosed with the Kerremans citation, our table sits inside it, and the claim is calibrated accordingly: within the published TMM-vs-experiment band (~16%), not spectroscopic exactness. Users can load their own n,k.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Records are textured; TMM is planar — so what does this validate for tandems?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It validates the optical engine class on planar OPV stacks where the published TMM data lives; tandem texture enters through the disclosed path factor, and 3-D textured EM is declared FDTD-exclusive rather than imitated — the same honesty SCAPS-1D applies.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16 — Validation IV — Cross-Tool Suite 9/9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(60 s) Nine automated checks, three families: Lumerical-class optics (C1a-f), SCAPS-1D (C2a-b), internal redundancy (C3a). Offer the live run — ten seconds, nine green lines.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C2a — what exactly is asserted?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Export a 3-layer stack to .def text, re-parse with the independent importer, assert layer count and every transferred parameter equal at float formatting — a serialization contract test.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is internal redundancy inside a 'cross-tool' suite?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Same epistemic role: independent implementations disagreeing is the earliest tripwire — the cheapest 'other tool' you can own.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SCAPS cross-check (C2b) — same devices as your calibration set?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10-device suite replicates published SCAPS studies (independent authors' parameter decks), so it tests whether our drift-diffusion reproduces their reported outputs from their inputs — a solver-vs-solver comparison, distinct from the certified-experiment suite.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17 — AI I — Conditional PINN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(2 min — expect the densest questioning) One MLP û(x; d, N_t) across a device family, trained on FDM solutions plus PDE residuals via automatic differentiation; value is millisecond field inference inside optimization loops. Three-leg verification: (a) held-out devices vs FDM at 6.5-7.6% rel-L2; (b) closed-form anchors (full-depletion uniform field; dark-equilibrium np = nᵢ²) needing no reference; (c) every candidate re-simulated through FDM before being reported.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Inputs scaled to [0,1]; outputs (ψ, log n, log p) — logs because densities span ~15 decades. Loss = data MSE + λ·PDE residuals with gradient-norm balancing; seeded training; weights + metrics ship as artifacts.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Spectral bias — can an MLP represent SG-sharp junction layers?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Only approximately — which is exactly why held-out error is 6-8% not 0.1%, why residual error concentrates at junctions (shown in the thesis), and why FDM stays the oracle: the PINN is a fast index into solution space, gated by re-simulation.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a PINN rather than a plain (d,N_t)→J-V surrogate?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Both ship; the PINN's residual term regularizes between training points and yields full field profiles, enabling analytic-anchor checks a black box cannot meaningfully pass or fail.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Generalization outside the training box?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Explicitly unsupported: the box is stated, extrapolation metrics are reported separately and are worse, the UI labels out-of-family queries, and protocol (c) makes extrapolation errors non-fatal.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Does the PINN respect Gauss's law exactly?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No — the residual is minimized, not zeroed; that is precisely why the depletion-width and equilibrium-np anchors exist as pointwise physics meters, and why design decisions are gated on FDM, whose discrete conservation is exact by construction.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Would you trust a PINN-optimized device enough to fabricate it?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Only after the pipeline it is embedded in: PINN proposes, FDM verifies, the SQ/thermodynamic bounds gate, and the certified-benchmark context calibrates expectations — then it is a fabrication hypothesis with quantified model risk, which is all any simulation can promise.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18 — AI II — Evolutionary Optimization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A live run, not a schematic: DE lifts industrial PERC 23.60% → 25.70% in 604 evaluations; random-forest importances attribute the gain to surface passivation (J₀ₛ) and bulk lifetime — the 'why' beside the 'what'.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 has no convergence guarantee — what do you claim?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Best-found under budget with the convergence trace shown, multi-seed agreement on the benchmark page, and hard physical bounds enforced; the optimizer benchmark races DE against GA/NSGA-II/Bayesian on known optima at equal budgets — measured, not assumed (no-free-lunch respected).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RF impurity importance is biased with correlated features.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All features here are continuous scalars on comparable ranges; the ranking is triangulated against one-at-a-time sweeps and permutation importance gives the same ordering (appendix) — it is an explanation aid, not an inferential claim.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25.7% 'PERC' is above the PERC record — nonsense or insight?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Insight, read correctly: the optimum sits at J₀ₛ ≈ 2 fA/cm², i.e., passivated-contact-grade surfaces — the optimizer rediscovered the PERC→TOPCon transition from physics alone. Boundary optima are read as roadmap statements, and that is exactly how the slide narrates it.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 optimizing lifetime even actionable — τ is what the wafer gives you?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τ and J₀ₛ are process levers (gettering, hydrogenation, passivation stacks) with published achievable ranges that define the search box; the sensitivity ranking tells the process engineer which lever pays — that is the intended use.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19 — Hand-Solved Mathematics — 22/22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The examiner-proofing slide: each row is closed-form arithmetic equal to the live engine; the script run_tutorial_examples.py is the notarized whiteboard, exiting 0 only if all 22 hold. If any engine is challenged, walk its row.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tolerance defines 'hand = engine'?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Stated per assertion in code: 10⁻⁴ V on silicon Voc, 10⁻¹² on Fresnel, relative 5% where literature scatter dominates — tolerances are visible in code, not prose; assertions never use exact float equality.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Isn't this just doctests?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Structurally yes, deliberately: executable specification of the thesis mathematics, with coverage (every engine has a closed-form anchor) and property tests that no configuration may violate thermodynamics.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SQ bound row — which SQ formulation, and is Boltzmann adequate at Eg = 1.55 eV?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Detailed balance in the Boltzmann approximation for J₀,rad (error &lt;1% versus full Bose integral at Eg/kT ≈ 60), full-spectrum photon integral for Jsc — the standard Rau/Kirchartz form; the 241 mV gap to the engine's Voc is then read quantitatively as the non-radiative penalty of N_t = 10¹⁴.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20 — Interoperability, Provenance, Reproducibility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(75 s) Ecosystem as engineered features: tested round-trip serialization, schema-enforced provenance, versioned artifacts, community contribution as one JSON entry.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Supply-chain: how do you know a pip upgrade didn't change results?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Pinned requirements plus the tutorial suite as a numerical canary — silent numeric drift fails 22 assertions; the validation suites re-run in under a minute after any upgrade.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no CI badge yet?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suite is CI-ready (pure pytest, &lt;60 s); Actions wiring is trivial future work — the scientific content of CI, the tests themselves, is the contribution.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If I re-run my published SCAPS device through your importer, what should I expect?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shared 1-D parameter set transfers losslessly and the import prints warnings for anything SCAPS-specific (grading, multi-defect spectra, interface blocks) to re-enter manually; on the 10-device replication suite the resulting outputs agree with the published SCAPS results to 0.7% mean PCE.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21 — Original Contributions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(90 s) Five contributions as thesis claims; map each to its evidence when speaking (C1→7-12, C2→13-16, C3→11+14, C4→17-18, C5→19-20).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Which contribution is strictly the CS contribution?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C2 and C5 generalize beyond PV: certified-oracle validation with pre-registered tolerances, executable mathematical specification, provenance-enforced schemas, redundant-path verification; C3 adds an algorithmic piece (robust J-V inversion + series composition); C4 is applied ML with a transferable verification protocol.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Defend against 'this is just good engineering'.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Good engineering systematically applied where the field lacks it IS the research claim — and it is evaluated: the 14/9/22 suites are the experiment, the incumbent table the baseline, the apparatus open and falsifiable.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would a device physicist take from this thesis tomorrow?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Three things: a tandem design loop with true 2T coupling and current-matching scans validated on the record lineage; certified-benchmark discipline they can extend with one JSON entry; and the loss-analysis + bounds workflow (SQ Voc, Green FF, above-gap Jsc) that turns 'my simulation says' into 'here is the margin to each physical limit'.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22 — Limitations &amp; Future Work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(75 s) Read limitations before anyone else does; each has a workaround and none touches a validated claim. Future work in priority order: energy-yield under real spectra, luminescent coupling, measured-n,k upload, community benchmark intake, kesterite/CIGS, GPU-batched PINN families.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CS EVALUATOR — ANTICIPATED QUESTIONS</w:t>
      </w:r>
    </w:p>
    <w:p>
      <w:pPr>
        <w:shd w:fill="EAF1F8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Biggest technical debt?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organic transport layer's semi-empirical core — cleanest fixes are an exciton/CT module or a tighter OghmaNano bridge, and the JSON interface for both already exists.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SOLAR-CELL EXPERT — ANTICIPATED QUESTIONS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PV expert's list: hysteresis, ion migration, light soaking, halide segregation, LID/LeTID, PID, moisture — all absent.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All are kinetics/degradation phenomena outside a steady-state design tool's claim, individually named in MAJOR_CONCERNS and future work, and — crucially — orthogonal to the validation: targets are stabilized certified values, so their absence cannot corrupt a reported pass. The platform's architecture (stateless engines, pluggable models) is built to receive them.</w:t>
      </w:r>
    </w:p>
    <w:p>
      <w:pPr>
        <w:shd w:fill="EAF6EC" w:val="clear"/>
        <w:spacing w:after="3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Q: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Energy yield is what sells modules — when?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Top of the roadmap: the perovskite engine already has spectral-condition machinery from v3; extending it across the four technologies plus luminescent coupling is the natural next paper.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23 — References I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(30 s) Physics-model and silicon/CdTe benchmark sources; every entry has a DOI and lives in the machine-readable registry the tests enforce. 21 of 37 entries were cross-verified against the Consensus academic index; verification status is a data field, exportable to CSV.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24 — References II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(30 s) Organic, optics, tandem and metal-optics sources — the evidence base spans 1972 (Johnson-Christy) to 2025 (Jia, Nature). MEDIUM-confidence entries are flagged as such in the registry rather than silently trusted.</w:t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Slide 25 — Conclusions &amp; Close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TALK TRACK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(60 s) Close on the one-line thesis: a verified, open, multi-technology design platform where every number can defend itself. Then the offer: 14/14 · 9/9 · 22/22 — live, on request, in under a minute. End with 'streamlit run app.py' and take questions.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DEEP BACKGROUND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Q&amp;A posture: physics depth → Slide 19 and derive; ML rigor → Slide 17 protocol; software quality → Slides 7/20; novelty → Slide 21 map; honesty → Slide 22 was read proactively; measurement/records → Slides 13-14 + the bank below. Strongest single move: run run_cross_tool_validation.py live.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mbria" w:cs="Cambria" w:eastAsia="Cambria" w:hAnsi="Cambria"/>
        </w:rPr>
        <w:t xml:space="preserve">Cross-Cutting Hard-Question Bank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Questions that belong to no single slide, with prepared positions. CS-flavored first, then PV-expert, then supervisor-style strategy questions.</w:t>
      </w:r>
    </w:p>
    <w:p>
      <w:pPr>
        <w:shd w:fill="EAF1F8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[CS]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If I gave you a device where your tool and SCAPS disagree by 10%, what is your triage protocol?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Rung order: (1) re-import the .def and read the transfer warnings — 90% of disagreements are an untransferred SCAPS-specific block; (2) diff the effective parameter sets in the exported JSON; (3) compare recombination-channel breakdowns (Page 1) since the total can hide a channel swap; (4) if physics remains, reduce to a closed-form limit both must satisfy (SQ Voc, above-gap Jsc) — whichever violates it is wrong. The protocol is documented in the manual's FAQ.</w:t>
      </w:r>
    </w:p>
    <w:p>
      <w:pPr>
        <w:shd w:fill="EAF1F8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[CS]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Your tests encode today's benchmark values — how do you avoid ossifying a bug as a 'pass'?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Tolerances anchor to external truths (certified values, closed forms), never to previous model output; internal-consistency tests compare independent algorithms, not snapshots. The one snapshot-like artifact (C2b) re-asserts agreement with third-party published results, not with ourselves.</w:t>
      </w:r>
    </w:p>
    <w:p>
      <w:pPr>
        <w:shd w:fill="EAF1F8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[CS]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the computational bottleneck end-to-end, and its scaling?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FDM J-V sweep: O(N·V·iters) with N mesh nodes, V bias points — seconds. TMM: O(N_λ·layers·N_x) — milliseconds. DE: population × generations engine calls, embarrassingly parallel. PINN training is the only GPU-preferring step and is offline; inference is a forward pass, microseconds.</w:t>
      </w:r>
    </w:p>
    <w:p>
      <w:pPr>
        <w:shd w:fill="EAF1F8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[CS]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Threats to validity you worry about most?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Construct validity of 'grade presets' (mitigated by documented ranges + cross-era testing), selection of benchmarks toward records (mitigated by the open contribution path), and shared-literature bias in rung 4 (mitigated by rung 3's primacy). All three are written in the thesis, not discovered by the committee.</w:t>
      </w:r>
    </w:p>
    <w:p>
      <w:pPr>
        <w:shd w:fill="EAF6EC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[PV]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Where would this tool mislead an experimentalist if used naively?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Three places, all documented: treating grade-preset tandems as ab-initio predictions for arbitrary process stacks; trusting optimizer boundary optima as recipes rather than roadmap statements; and reading STC current matching as field performance. The manual's workflow chapter warns on each.</w:t>
      </w:r>
    </w:p>
    <w:p>
      <w:pPr>
        <w:shd w:fill="EAF6EC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[PV]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Perovskite Voc of 1.038 V at N_t = 10¹⁴ — is that consistent with the best experimental MAPbI₃?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Yes: champion MAPbI₃ reaches ~1.10-1.16 V (still ~120-180 mV below the 1.28 V radiative limit); our deliberately imperfect default sits ~240 mV below it. Lowering N_t in the UI walks the device toward champion values along the SRH curve of Slide 8 — the trend, not just the point, matches experiment.</w:t>
      </w:r>
    </w:p>
    <w:p>
      <w:pPr>
        <w:shd w:fill="EAF6EC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[PV]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Your silicon Jsc of 43.0 exceeds the 42.65 certified value — over-optimistic optics?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By 0.8%, inside the preset's stated tolerance and the certification uncertainty; the utopia-bounded property test guarantees the optics cannot exceed the Lambertian-limit photon budget, so the headroom is bounded physics, not runaway.</w:t>
      </w:r>
    </w:p>
    <w:p>
      <w:pPr>
        <w:shd w:fill="EAF6EC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[PV]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Which certified benchmark would you add next, and why?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A perovskite single-junction certified record (e.g., the current ~26.7% class) to close the loop on the founding technology with the same discipline the new engines received; the registry entry is drafted in the roadmap.</w:t>
      </w:r>
    </w:p>
    <w:p>
      <w:pPr>
        <w:shd w:fill="FDF2D0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8a5b00"/>
          <w:sz w:val="20"/>
          <w:szCs w:val="20"/>
        </w:rPr>
        <w:t xml:space="preserve">[SUP]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If a committee member asks you to remove one claim from the thesis tonight, which goes first?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The word 'all' in any compatibility sentence: '≥90% of the shared 1-D parameter vocabulary' is defensible and measured; universal claims are not. Everything quantitative stays — it regenerates.</w:t>
      </w:r>
    </w:p>
    <w:p>
      <w:pPr>
        <w:shd w:fill="FDF2D0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8a5b00"/>
          <w:sz w:val="20"/>
          <w:szCs w:val="20"/>
        </w:rPr>
        <w:t xml:space="preserve">[SUP]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did you get wrong along the way, and how do we know?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Concretely: an internal-field phase-factor bug in the first TMM implementation (caught by the energy-conservation check), an over-aggressive L² thickness law in organic collection (caught by the out-of-calibration 300 nm target), and an unphysically square early tandem FF (fixed by modeling the interconnect resistance). Each is visible in git history with its failing test — the methodology finding my own errors is the best evidence it would find others'.</w:t>
      </w:r>
    </w:p>
    <w:p>
      <w:pPr>
        <w:shd w:fill="FDF2D0" w:val="clear"/>
        <w:spacing w:after="30" w:before="100"/>
        <w:ind w:left="200" w:right="120"/>
      </w:pPr>
      <w:r>
        <w:rPr>
          <w:rFonts w:ascii="Calibri" w:cs="Calibri" w:eastAsia="Calibri" w:hAnsi="Calibri"/>
          <w:b/>
          <w:bCs/>
          <w:color w:val="8a5b00"/>
          <w:sz w:val="20"/>
          <w:szCs w:val="20"/>
        </w:rPr>
        <w:t xml:space="preserve">[SUP]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Publication plan from this work?</w:t>
      </w:r>
    </w:p>
    <w:p>
      <w:pPr>
        <w:spacing w:after="140"/>
        <w:ind w:left="200" w:right="12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A:  </w:t>
      </w:r>
      <w:r>
        <w:rPr>
          <w:rFonts w:ascii="Calibri" w:cs="Calibri" w:eastAsia="Calibri" w:hAnsi="Calibri"/>
          <w:sz w:val="20"/>
          <w:szCs w:val="20"/>
        </w:rPr>
        <w:t xml:space="preserve">Paper 1: the platform + certified-benchmark methodology (software/methods venue). Paper 2: the tandem coupling algorithm with the record-lineage validation (PV venue). Paper 3: the verified-surrogate protocol (PINN + anchors + gating) as a transferable ML-for-science method.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End of handbook. The embedded pptx speaker notes carry the condensed version of this material; this document is the rehearsal and reference edition.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PhD Defense Speaker Notes &amp; Examiner Q&amp;A Handbook — Solar Cell Design Tool v4.0   ·   Page </w:t>
    </w:r>
    <w:r>
      <w:rPr>
        <w:rFonts w:ascii="Calibri" w:cs="Calibri" w:eastAsia="Calibri" w:hAnsi="Calibri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2026-07-13T03:55:53.393Z</dcterms:created>
  <dcterms:modified xsi:type="dcterms:W3CDTF">2026-07-13T03:55:53.404Z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