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Eyebrow"/>
      </w:pPr>
      <w:r>
        <w:t>WEEK 2  |  ENHANCED EVIDENCE SUBMISSION</w:t>
      </w:r>
    </w:p>
    <w:p>
      <w:pPr>
        <w:pStyle w:val="Title"/>
      </w:pPr>
      <w:r>
        <w:t>Data Acquisition &amp;</w:t>
        <w:br/>
        <w:t>Preprocessing Techniques</w:t>
      </w:r>
    </w:p>
    <w:p>
      <w:r>
        <w:t>Fashion and apparel: a reproducible, public-data-first analyst guide</w:t>
      </w:r>
    </w:p>
    <w:p>
      <w:r>
        <w:t>Junior Data Science Analyst Internship • Coimbatore • Updated 26 October 2026</w:t>
      </w:r>
    </w:p>
    <w:p>
      <w:r>
        <w:drawing>
          <wp:inline xmlns:a="http://schemas.openxmlformats.org/drawingml/2006/main" xmlns:pic="http://schemas.openxmlformats.org/drawingml/2006/picture">
            <wp:extent cx="5943600" cy="2219899"/>
            <wp:docPr id="1" name="Picture 1"/>
            <wp:cNvGraphicFramePr>
              <a:graphicFrameLocks noChangeAspect="1"/>
            </wp:cNvGraphicFramePr>
            <a:graphic>
              <a:graphicData uri="http://schemas.openxmlformats.org/drawingml/2006/picture">
                <pic:pic>
                  <pic:nvPicPr>
                    <pic:cNvPr id="0" name="real_catalog_category_distribution.png"/>
                    <pic:cNvPicPr/>
                  </pic:nvPicPr>
                  <pic:blipFill>
                    <a:blip r:embed="rId11"/>
                    <a:stretch>
                      <a:fillRect/>
                    </a:stretch>
                  </pic:blipFill>
                  <pic:spPr>
                    <a:xfrm>
                      <a:off x="0" y="0"/>
                      <a:ext cx="5943600" cy="2219899"/>
                    </a:xfrm>
                    <a:prstGeom prst="rect"/>
                  </pic:spPr>
                </pic:pic>
              </a:graphicData>
            </a:graphic>
          </wp:inline>
        </w:drawing>
      </w:r>
    </w:p>
    <w:p>
      <w:pPr>
        <w:pStyle w:val="Caption"/>
      </w:pPr>
      <w:r>
        <w:t>Figure 1. Real fashion catalog product classifications in the observed snapshot; not transaction or demand counts.</w:t>
      </w:r>
    </w:p>
    <w:p>
      <w:pPr>
        <w:pStyle w:val="Heading2"/>
      </w:pPr>
      <w:r>
        <w:t>Submission at a glance</w:t>
      </w:r>
    </w:p>
    <w:tbl>
      <w:tblPr>
        <w:tblStyle w:val="LightShading-Accent1"/>
        <w:tblW w:type="auto" w:w="0"/>
        <w:jc w:val="center"/>
        <w:tblLook w:firstColumn="1" w:firstRow="1" w:lastColumn="0" w:lastRow="0" w:noHBand="0" w:noVBand="1" w:val="04A0"/>
      </w:tblPr>
      <w:tblGrid>
        <w:gridCol w:w="3154"/>
        <w:gridCol w:w="3154"/>
        <w:gridCol w:w="3154"/>
      </w:tblGrid>
      <w:tr>
        <w:tc>
          <w:tcPr>
            <w:tcW w:type="dxa" w:w="3154"/>
            <w:vAlign w:val="center"/>
          </w:tcPr>
          <w:p>
            <w:r>
              <w:t>Evidence stream</w:t>
            </w:r>
          </w:p>
        </w:tc>
        <w:tc>
          <w:tcPr>
            <w:tcW w:type="dxa" w:w="3154"/>
            <w:vAlign w:val="center"/>
          </w:tcPr>
          <w:p>
            <w:r>
              <w:t>Data status</w:t>
            </w:r>
          </w:p>
        </w:tc>
        <w:tc>
          <w:tcPr>
            <w:tcW w:type="dxa" w:w="3154"/>
            <w:vAlign w:val="center"/>
          </w:tcPr>
          <w:p>
            <w:r>
              <w:t>What is reproducible</w:t>
            </w:r>
          </w:p>
        </w:tc>
      </w:tr>
      <w:tr>
        <w:tc>
          <w:tcPr>
            <w:tcW w:type="dxa" w:w="3154"/>
            <w:vAlign w:val="center"/>
          </w:tcPr>
          <w:p>
            <w:r>
              <w:t>Fashion catalog</w:t>
            </w:r>
          </w:p>
        </w:tc>
        <w:tc>
          <w:tcPr>
            <w:tcW w:type="dxa" w:w="3154"/>
            <w:vAlign w:val="center"/>
          </w:tcPr>
          <w:p>
            <w:r>
              <w:t>REAL / open MIT-licensed source</w:t>
            </w:r>
          </w:p>
        </w:tc>
        <w:tc>
          <w:tcPr>
            <w:tcW w:type="dxa" w:w="3154"/>
            <w:vAlign w:val="center"/>
          </w:tcPr>
          <w:p>
            <w:r>
              <w:t>161 collection rows + product-category summary</w:t>
            </w:r>
          </w:p>
        </w:tc>
      </w:tr>
      <w:tr>
        <w:tc>
          <w:tcPr>
            <w:tcW w:type="dxa" w:w="3154"/>
            <w:vAlign w:val="center"/>
          </w:tcPr>
          <w:p>
            <w:r>
              <w:t>Apparel order-quality tests</w:t>
            </w:r>
          </w:p>
        </w:tc>
        <w:tc>
          <w:tcPr>
            <w:tcW w:type="dxa" w:w="3154"/>
            <w:vAlign w:val="center"/>
          </w:tcPr>
          <w:p>
            <w:r>
              <w:t>SYNTHETIC / deterministic</w:t>
            </w:r>
          </w:p>
        </w:tc>
        <w:tc>
          <w:tcPr>
            <w:tcW w:type="dxa" w:w="3154"/>
            <w:vAlign w:val="center"/>
          </w:tcPr>
          <w:p>
            <w:r>
              <w:t>163 messy rows reconciled with business-rule audit</w:t>
            </w:r>
          </w:p>
        </w:tc>
      </w:tr>
      <w:tr>
        <w:tc>
          <w:tcPr>
            <w:tcW w:type="dxa" w:w="3154"/>
            <w:vAlign w:val="center"/>
          </w:tcPr>
          <w:p>
            <w:r>
              <w:t>Methods and tests</w:t>
            </w:r>
          </w:p>
        </w:tc>
        <w:tc>
          <w:tcPr>
            <w:tcW w:type="dxa" w:w="3154"/>
            <w:vAlign w:val="center"/>
          </w:tcPr>
          <w:p>
            <w:r>
              <w:t>EXECUTED unit-test suite</w:t>
            </w:r>
          </w:p>
        </w:tc>
        <w:tc>
          <w:tcPr>
            <w:tcW w:type="dxa" w:w="3154"/>
            <w:vAlign w:val="center"/>
          </w:tcPr>
          <w:p>
            <w:r>
              <w:t>21 unit tests across original and real-catalog pipeline</w:t>
            </w:r>
          </w:p>
        </w:tc>
      </w:tr>
    </w:tbl>
    <w:p/>
    <w:p>
      <w:r>
        <w:t>Critical distinction: the real catalog does not contain individual orders, stock levels, or verified sales. All revenue and return examples in the original Week 2 demo are synthetic. Any forecasts, customer behavior or inventory claims would require a separate authorized dataset.</w:t>
      </w:r>
    </w:p>
    <w:p>
      <w:r>
        <w:br w:type="page"/>
      </w:r>
    </w:p>
    <w:p>
      <w:pPr>
        <w:pStyle w:val="Heading1"/>
      </w:pPr>
      <w:r>
        <w:t>1. Executive summary &amp; objectives</w:t>
      </w:r>
    </w:p>
    <w:p>
      <w:r>
        <w:t>This Week 2 report demonstrates how a junior fashion-data analyst can identify credible public datasets, create a verifiable acquisition record, assess data quality, normalize semi-structured fields, engineer business-safe features, and separate unresolved anomalies from usable records. Unlike the initial Week 2 submission, it adds a real, openly licensed apparel data source that is processed with traceable rules, alongside a purpose-built synthetic apparel transaction fixture that exercises invalid financial values and return handling.</w:t>
      </w:r>
    </w:p>
    <w:p>
      <w:r>
        <w:t>The real example uses Livostyle’s public women’s fashion catalog repository, whose 18 October 2026 snapshot reports 2,938 distinct active products and 161 curated collections. The catalog collections and the category summary are distinct datasets with different grains: many collections overlap, so their membership counts must never be summed and treated as unique product totals. This grain mismatch is itself an important data-quality finding.</w:t>
      </w:r>
    </w:p>
    <w:p>
      <w:pPr>
        <w:pStyle w:val="Heading2"/>
      </w:pPr>
      <w:r>
        <w:t>Analytical questions</w:t>
      </w:r>
    </w:p>
    <w:p>
      <w:pPr>
        <w:pStyle w:val="ListBullet"/>
      </w:pPr>
      <w:r>
        <w:t>Which external public fashion datasets can be acquired lawfully and cited reproducibly?</w:t>
      </w:r>
    </w:p>
    <w:p>
      <w:pPr>
        <w:pStyle w:val="ListBullet"/>
      </w:pPr>
      <w:r>
        <w:t>Which missing fields and contradictory values occur in genuine apparel catalogs?</w:t>
      </w:r>
    </w:p>
    <w:p>
      <w:pPr>
        <w:pStyle w:val="ListBullet"/>
      </w:pPr>
      <w:r>
        <w:t>How can HTML, dates, categories, optional URLs, duplicate keys and product counts be normalized?</w:t>
      </w:r>
    </w:p>
    <w:p>
      <w:pPr>
        <w:pStyle w:val="ListBullet"/>
      </w:pPr>
      <w:r>
        <w:t>How do we prevent misleading joins across distinct grains and avoid reporting simulated business results as factual?</w:t>
      </w:r>
    </w:p>
    <w:p>
      <w:pPr>
        <w:pStyle w:val="ListBullet"/>
      </w:pPr>
      <w:r>
        <w:t>Which output contracts and tests allow a second analyst to reproduce the findings?</w:t>
      </w:r>
    </w:p>
    <w:p>
      <w:pPr>
        <w:pStyle w:val="Heading1"/>
      </w:pPr>
      <w:r>
        <w:t>2. Source discovery, licensing and access matrix</w:t>
      </w:r>
    </w:p>
    <w:tbl>
      <w:tblPr>
        <w:tblStyle w:val="LightShading-Accent1"/>
        <w:tblW w:type="auto" w:w="0"/>
        <w:jc w:val="center"/>
        <w:tblLook w:firstColumn="1" w:firstRow="1" w:lastColumn="0" w:lastRow="0" w:noHBand="0" w:noVBand="1" w:val="04A0"/>
      </w:tblPr>
      <w:tblGrid>
        <w:gridCol w:w="3154"/>
        <w:gridCol w:w="3154"/>
        <w:gridCol w:w="3154"/>
      </w:tblGrid>
      <w:tr>
        <w:tc>
          <w:tcPr>
            <w:tcW w:type="dxa" w:w="3154"/>
            <w:vAlign w:val="center"/>
          </w:tcPr>
          <w:p>
            <w:r>
              <w:t>Source</w:t>
            </w:r>
          </w:p>
        </w:tc>
        <w:tc>
          <w:tcPr>
            <w:tcW w:type="dxa" w:w="3154"/>
            <w:vAlign w:val="center"/>
          </w:tcPr>
          <w:p>
            <w:r>
              <w:t>Suitable question</w:t>
            </w:r>
          </w:p>
        </w:tc>
        <w:tc>
          <w:tcPr>
            <w:tcW w:type="dxa" w:w="3154"/>
            <w:vAlign w:val="center"/>
          </w:tcPr>
          <w:p>
            <w:r>
              <w:t>Access and precautions</w:t>
            </w:r>
          </w:p>
        </w:tc>
      </w:tr>
      <w:tr>
        <w:tc>
          <w:tcPr>
            <w:tcW w:type="dxa" w:w="3154"/>
            <w:vAlign w:val="center"/>
          </w:tcPr>
          <w:p>
            <w:r>
              <w:t>Livostyle catalog (MIT)</w:t>
            </w:r>
          </w:p>
        </w:tc>
        <w:tc>
          <w:tcPr>
            <w:tcW w:type="dxa" w:w="3154"/>
            <w:vAlign w:val="center"/>
          </w:tcPr>
          <w:p>
            <w:r>
              <w:t>Product categories, merchandising collections and listing hygiene</w:t>
            </w:r>
          </w:p>
        </w:tc>
        <w:tc>
          <w:tcPr>
            <w:tcW w:type="dxa" w:w="3154"/>
            <w:vAlign w:val="center"/>
          </w:tcPr>
          <w:p>
            <w:r>
              <w:t>Open GitHub snapshots; pin commit + record SHA-256</w:t>
            </w:r>
          </w:p>
        </w:tc>
      </w:tr>
      <w:tr>
        <w:tc>
          <w:tcPr>
            <w:tcW w:type="dxa" w:w="3154"/>
            <w:vAlign w:val="center"/>
          </w:tcPr>
          <w:p>
            <w:r>
              <w:t>Women’s Clothing E-Commerce Reviews (CC0)</w:t>
            </w:r>
          </w:p>
        </w:tc>
        <w:tc>
          <w:tcPr>
            <w:tcW w:type="dxa" w:w="3154"/>
            <w:vAlign w:val="center"/>
          </w:tcPr>
          <w:p>
            <w:r>
              <w:t>Clothing ratings, sentiment, missing text/taxonomy</w:t>
            </w:r>
          </w:p>
        </w:tc>
        <w:tc>
          <w:tcPr>
            <w:tcW w:type="dxa" w:w="3154"/>
            <w:vAlign w:val="center"/>
          </w:tcPr>
          <w:p>
            <w:r>
              <w:t>Kaggle login or Hugging Face repack; do not infer orders from reviews</w:t>
            </w:r>
          </w:p>
        </w:tc>
      </w:tr>
      <w:tr>
        <w:tc>
          <w:tcPr>
            <w:tcW w:type="dxa" w:w="3154"/>
            <w:vAlign w:val="center"/>
          </w:tcPr>
          <w:p>
            <w:r>
              <w:t>UCI Online Retail (CC BY 4.0)</w:t>
            </w:r>
          </w:p>
        </w:tc>
        <w:tc>
          <w:tcPr>
            <w:tcW w:type="dxa" w:w="3154"/>
            <w:vAlign w:val="center"/>
          </w:tcPr>
          <w:p>
            <w:r>
              <w:t>Cancellation, duplicate and transaction handling</w:t>
            </w:r>
          </w:p>
        </w:tc>
        <w:tc>
          <w:tcPr>
            <w:tcW w:type="dxa" w:w="3154"/>
            <w:vAlign w:val="center"/>
          </w:tcPr>
          <w:p>
            <w:r>
              <w:t>General gift retailer, not apparel; GBP; cite UCI</w:t>
            </w:r>
          </w:p>
        </w:tc>
      </w:tr>
      <w:tr>
        <w:tc>
          <w:tcPr>
            <w:tcW w:type="dxa" w:w="3154"/>
            <w:vAlign w:val="center"/>
          </w:tcPr>
          <w:p>
            <w:r>
              <w:t>H&amp;M fashion recommendations</w:t>
            </w:r>
          </w:p>
        </w:tc>
        <w:tc>
          <w:tcPr>
            <w:tcW w:type="dxa" w:w="3154"/>
            <w:vAlign w:val="center"/>
          </w:tcPr>
          <w:p>
            <w:r>
              <w:t>Article metadata and fashion purchase sequences</w:t>
            </w:r>
          </w:p>
        </w:tc>
        <w:tc>
          <w:tcPr>
            <w:tcW w:type="dxa" w:w="3154"/>
            <w:vAlign w:val="center"/>
          </w:tcPr>
          <w:p>
            <w:r>
              <w:t>Kaggle competition terms/login; respect permissions</w:t>
            </w:r>
          </w:p>
        </w:tc>
      </w:tr>
      <w:tr>
        <w:tc>
          <w:tcPr>
            <w:tcW w:type="dxa" w:w="3154"/>
            <w:vAlign w:val="center"/>
          </w:tcPr>
          <w:p>
            <w:r>
              <w:t>Google Trends</w:t>
            </w:r>
          </w:p>
        </w:tc>
        <w:tc>
          <w:tcPr>
            <w:tcW w:type="dxa" w:w="3154"/>
            <w:vAlign w:val="center"/>
          </w:tcPr>
          <w:p>
            <w:r>
              <w:t>Relative apparel-search popularity</w:t>
            </w:r>
          </w:p>
        </w:tc>
        <w:tc>
          <w:tcPr>
            <w:tcW w:type="dxa" w:w="3154"/>
            <w:vAlign w:val="center"/>
          </w:tcPr>
          <w:p>
            <w:r>
              <w:t>CSV export; 0–100 relative scale is not demand</w:t>
            </w:r>
          </w:p>
        </w:tc>
      </w:tr>
      <w:tr>
        <w:tc>
          <w:tcPr>
            <w:tcW w:type="dxa" w:w="3154"/>
            <w:vAlign w:val="center"/>
          </w:tcPr>
          <w:p>
            <w:r>
              <w:t>Open-Meteo archive</w:t>
            </w:r>
          </w:p>
        </w:tc>
        <w:tc>
          <w:tcPr>
            <w:tcW w:type="dxa" w:w="3154"/>
            <w:vAlign w:val="center"/>
          </w:tcPr>
          <w:p>
            <w:r>
              <w:t>Rainfall and temperature as time/location context</w:t>
            </w:r>
          </w:p>
        </w:tc>
        <w:tc>
          <w:tcPr>
            <w:tcW w:type="dxa" w:w="3154"/>
            <w:vAlign w:val="center"/>
          </w:tcPr>
          <w:p>
            <w:r>
              <w:t>API terms; join geography/date and log timezone</w:t>
            </w:r>
          </w:p>
        </w:tc>
      </w:tr>
      <w:tr>
        <w:tc>
          <w:tcPr>
            <w:tcW w:type="dxa" w:w="3154"/>
            <w:vAlign w:val="center"/>
          </w:tcPr>
          <w:p>
            <w:r>
              <w:t>World Bank textile indicator</w:t>
            </w:r>
          </w:p>
        </w:tc>
        <w:tc>
          <w:tcPr>
            <w:tcW w:type="dxa" w:w="3154"/>
            <w:vAlign w:val="center"/>
          </w:tcPr>
          <w:p>
            <w:r>
              <w:t>Macro apparel/textile value-added structure</w:t>
            </w:r>
          </w:p>
        </w:tc>
        <w:tc>
          <w:tcPr>
            <w:tcW w:type="dxa" w:w="3154"/>
            <w:vAlign w:val="center"/>
          </w:tcPr>
          <w:p>
            <w:r>
              <w:t>Country–year grain; not SKU-level performance</w:t>
            </w:r>
          </w:p>
        </w:tc>
      </w:tr>
    </w:tbl>
    <w:p/>
    <w:p>
      <w:r>
        <w:t>Source assessment criteria: known publisher and update time, license and personal-data exposure, accessible schema, unit/currency consistency, observational grain, completeness, and an independently repeatable retrieval method.</w:t>
      </w:r>
    </w:p>
    <w:p>
      <w:r>
        <w:br w:type="page"/>
      </w:r>
    </w:p>
    <w:p>
      <w:pPr>
        <w:pStyle w:val="Heading1"/>
      </w:pPr>
      <w:r>
        <w:t>3. Actual acquisition: open-source fashion catalog</w:t>
      </w:r>
    </w:p>
    <w:p>
      <w:r>
        <w:t>Upstream publisher: Arcada LLC / Livostyle, public repository arturayupov/womens-fashion-catalog-open-data (MIT license). Two exact source documents were obtained: data/collections.json and data/stats.json. The project records the pinned upstream commit 0ce98ce4412b0c7b6b76d8fe809c1e78c7e16b5f and original Git blob IDs for both files. The source statistics file reports last_synced = 2026-10-18T06:02:35Z. All observed figures below are derived from these specific snapshots, not a dynamically updating website.</w:t>
      </w:r>
    </w:p>
    <w:tbl>
      <w:tblPr>
        <w:tblStyle w:val="LightShading-Accent1"/>
        <w:tblW w:type="auto" w:w="0"/>
        <w:jc w:val="center"/>
        <w:tblLook w:firstColumn="1" w:firstRow="1" w:lastColumn="0" w:lastRow="0" w:noHBand="0" w:noVBand="1" w:val="04A0"/>
      </w:tblPr>
      <w:tblGrid>
        <w:gridCol w:w="4730"/>
        <w:gridCol w:w="4730"/>
      </w:tblGrid>
      <w:tr>
        <w:tc>
          <w:tcPr>
            <w:tcW w:type="dxa" w:w="4730"/>
            <w:vAlign w:val="center"/>
          </w:tcPr>
          <w:p>
            <w:r>
              <w:t>Field or constraint</w:t>
            </w:r>
          </w:p>
        </w:tc>
        <w:tc>
          <w:tcPr>
            <w:tcW w:type="dxa" w:w="4730"/>
            <w:vAlign w:val="center"/>
          </w:tcPr>
          <w:p>
            <w:r>
              <w:t>Why it matters</w:t>
            </w:r>
          </w:p>
        </w:tc>
      </w:tr>
      <w:tr>
        <w:tc>
          <w:tcPr>
            <w:tcW w:type="dxa" w:w="4730"/>
            <w:vAlign w:val="center"/>
          </w:tcPr>
          <w:p>
            <w:r>
              <w:t>collections.json: id, handle</w:t>
            </w:r>
          </w:p>
        </w:tc>
        <w:tc>
          <w:tcPr>
            <w:tcW w:type="dxa" w:w="4730"/>
            <w:vAlign w:val="center"/>
          </w:tcPr>
          <w:p>
            <w:r>
              <w:t>Stable natural-key checks and duplicate detection</w:t>
            </w:r>
          </w:p>
        </w:tc>
      </w:tr>
      <w:tr>
        <w:tc>
          <w:tcPr>
            <w:tcW w:type="dxa" w:w="4730"/>
            <w:vAlign w:val="center"/>
          </w:tcPr>
          <w:p>
            <w:r>
              <w:t>title, description_html, seo.description</w:t>
            </w:r>
          </w:p>
        </w:tc>
        <w:tc>
          <w:tcPr>
            <w:tcW w:type="dxa" w:w="4730"/>
            <w:vAlign w:val="center"/>
          </w:tcPr>
          <w:p>
            <w:r>
              <w:t>Text normalization with provenance-preserving fallback</w:t>
            </w:r>
          </w:p>
        </w:tc>
      </w:tr>
      <w:tr>
        <w:tc>
          <w:tcPr>
            <w:tcW w:type="dxa" w:w="4730"/>
            <w:vAlign w:val="center"/>
          </w:tcPr>
          <w:p>
            <w:r>
              <w:t>image_url</w:t>
            </w:r>
          </w:p>
        </w:tc>
        <w:tc>
          <w:tcPr>
            <w:tcW w:type="dxa" w:w="4730"/>
            <w:vAlign w:val="center"/>
          </w:tcPr>
          <w:p>
            <w:r>
              <w:t>Missing optional field; do not invent images</w:t>
            </w:r>
          </w:p>
        </w:tc>
      </w:tr>
      <w:tr>
        <w:tc>
          <w:tcPr>
            <w:tcW w:type="dxa" w:w="4730"/>
            <w:vAlign w:val="center"/>
          </w:tcPr>
          <w:p>
            <w:r>
              <w:t>products_count</w:t>
            </w:r>
          </w:p>
        </w:tc>
        <w:tc>
          <w:tcPr>
            <w:tcW w:type="dxa" w:w="4730"/>
            <w:vAlign w:val="center"/>
          </w:tcPr>
          <w:p>
            <w:r>
              <w:t>Nonnegative integer; overlapping collection membership</w:t>
            </w:r>
          </w:p>
        </w:tc>
      </w:tr>
      <w:tr>
        <w:tc>
          <w:tcPr>
            <w:tcW w:type="dxa" w:w="4730"/>
            <w:vAlign w:val="center"/>
          </w:tcPr>
          <w:p>
            <w:r>
              <w:t>updated_at</w:t>
            </w:r>
          </w:p>
        </w:tc>
        <w:tc>
          <w:tcPr>
            <w:tcW w:type="dxa" w:w="4730"/>
            <w:vAlign w:val="center"/>
          </w:tcPr>
          <w:p>
            <w:r>
              <w:t>Parse as UTC; not an invoice timestamp</w:t>
            </w:r>
          </w:p>
        </w:tc>
      </w:tr>
      <w:tr>
        <w:tc>
          <w:tcPr>
            <w:tcW w:type="dxa" w:w="4730"/>
            <w:vAlign w:val="center"/>
          </w:tcPr>
          <w:p>
            <w:r>
              <w:t>stats.json: total_products</w:t>
            </w:r>
          </w:p>
        </w:tc>
        <w:tc>
          <w:tcPr>
            <w:tcW w:type="dxa" w:w="4730"/>
            <w:vAlign w:val="center"/>
          </w:tcPr>
          <w:p>
            <w:r>
              <w:t>Unique-product denominator (2,938)</w:t>
            </w:r>
          </w:p>
        </w:tc>
      </w:tr>
      <w:tr>
        <w:tc>
          <w:tcPr>
            <w:tcW w:type="dxa" w:w="4730"/>
            <w:vAlign w:val="center"/>
          </w:tcPr>
          <w:p>
            <w:r>
              <w:t>stats.json: products_by_category</w:t>
            </w:r>
          </w:p>
        </w:tc>
        <w:tc>
          <w:tcPr>
            <w:tcW w:type="dxa" w:w="4730"/>
            <w:vAlign w:val="center"/>
          </w:tcPr>
          <w:p>
            <w:r>
              <w:t>Hierarchical category names that reconcile to 2,938</w:t>
            </w:r>
          </w:p>
        </w:tc>
      </w:tr>
      <w:tr>
        <w:tc>
          <w:tcPr>
            <w:tcW w:type="dxa" w:w="4730"/>
            <w:vAlign w:val="center"/>
          </w:tcPr>
          <w:p>
            <w:r>
              <w:t>stats.json: products_with_reviews</w:t>
            </w:r>
          </w:p>
        </w:tc>
        <w:tc>
          <w:tcPr>
            <w:tcW w:type="dxa" w:w="4730"/>
            <w:vAlign w:val="center"/>
          </w:tcPr>
          <w:p>
            <w:r>
              <w:t>Category-independent summary (2,309 products)</w:t>
            </w:r>
          </w:p>
        </w:tc>
      </w:tr>
    </w:tbl>
    <w:p/>
    <w:p>
      <w:r>
        <w:t>Retrieval is implemented by src/real_catalog_pipeline.py. On first use, `python -m src.real_catalog_pipeline --fetch` downloads both files from the pinned commit into data/external. Once the snapshots are present, `python -m src.real_catalog_pipeline` processes them offline. The complete pinned snapshot and processed outputs are also available in the GitHub repository to avoid login or internal-company dependencies.</w:t>
      </w:r>
    </w:p>
    <w:p>
      <w:pPr>
        <w:pStyle w:val="Heading2"/>
      </w:pPr>
      <w:r>
        <w:t>Provenance and integrity</w:t>
      </w:r>
    </w:p>
    <w:p>
      <w:r>
        <w:t>A source record must include publisher, repository URL, pinned commit, file path, retrieval time, reported snapshot timestamp, license, row count, SHA-256 checksum and any alterations. The Python audit writes source SHA-256 values each run, making silent input replacement detectable. A Git blob hash identifies the upstream Git file version but is not the same format as a SHA-256; both concepts are kept separate.</w:t>
      </w:r>
    </w:p>
    <w:p>
      <w:pPr>
        <w:pStyle w:val="Heading2"/>
      </w:pPr>
      <w:r>
        <w:t>4. Quality assessment: observed real source</w:t>
      </w:r>
    </w:p>
    <w:tbl>
      <w:tblPr>
        <w:tblStyle w:val="LightShading-Accent1"/>
        <w:tblW w:type="auto" w:w="0"/>
        <w:jc w:val="center"/>
        <w:tblLook w:firstColumn="1" w:firstRow="1" w:lastColumn="0" w:lastRow="0" w:noHBand="0" w:noVBand="1" w:val="04A0"/>
      </w:tblPr>
      <w:tblGrid>
        <w:gridCol w:w="3154"/>
        <w:gridCol w:w="3154"/>
        <w:gridCol w:w="3154"/>
      </w:tblGrid>
      <w:tr>
        <w:tc>
          <w:tcPr>
            <w:tcW w:type="dxa" w:w="3154"/>
            <w:vAlign w:val="center"/>
          </w:tcPr>
          <w:p>
            <w:r>
              <w:t>Measured item (catalog)</w:t>
            </w:r>
          </w:p>
        </w:tc>
        <w:tc>
          <w:tcPr>
            <w:tcW w:type="dxa" w:w="3154"/>
            <w:vAlign w:val="center"/>
          </w:tcPr>
          <w:p>
            <w:r>
              <w:t>Observed result</w:t>
            </w:r>
          </w:p>
        </w:tc>
        <w:tc>
          <w:tcPr>
            <w:tcW w:type="dxa" w:w="3154"/>
            <w:vAlign w:val="center"/>
          </w:tcPr>
          <w:p>
            <w:r>
              <w:t>Handling</w:t>
            </w:r>
          </w:p>
        </w:tc>
      </w:tr>
      <w:tr>
        <w:tc>
          <w:tcPr>
            <w:tcW w:type="dxa" w:w="3154"/>
            <w:vAlign w:val="center"/>
          </w:tcPr>
          <w:p>
            <w:r>
              <w:t>Input collections</w:t>
            </w:r>
          </w:p>
        </w:tc>
        <w:tc>
          <w:tcPr>
            <w:tcW w:type="dxa" w:w="3154"/>
            <w:vAlign w:val="center"/>
          </w:tcPr>
          <w:p>
            <w:r>
              <w:t>161</w:t>
            </w:r>
          </w:p>
        </w:tc>
        <w:tc>
          <w:tcPr>
            <w:tcW w:type="dxa" w:w="3154"/>
            <w:vAlign w:val="center"/>
          </w:tcPr>
          <w:p>
            <w:r>
              <w:t>Preserve row-level collection grain</w:t>
            </w:r>
          </w:p>
        </w:tc>
      </w:tr>
      <w:tr>
        <w:tc>
          <w:tcPr>
            <w:tcW w:type="dxa" w:w="3154"/>
            <w:vAlign w:val="center"/>
          </w:tcPr>
          <w:p>
            <w:r>
              <w:t>Valid collections after schema/type checks</w:t>
            </w:r>
          </w:p>
        </w:tc>
        <w:tc>
          <w:tcPr>
            <w:tcW w:type="dxa" w:w="3154"/>
            <w:vAlign w:val="center"/>
          </w:tcPr>
          <w:p>
            <w:r>
              <w:t>161</w:t>
            </w:r>
          </w:p>
        </w:tc>
        <w:tc>
          <w:tcPr>
            <w:tcW w:type="dxa" w:w="3154"/>
            <w:vAlign w:val="center"/>
          </w:tcPr>
          <w:p>
            <w:r>
              <w:t>No source rows removed</w:t>
            </w:r>
          </w:p>
        </w:tc>
      </w:tr>
      <w:tr>
        <w:tc>
          <w:tcPr>
            <w:tcW w:type="dxa" w:w="3154"/>
            <w:vAlign w:val="center"/>
          </w:tcPr>
          <w:p>
            <w:r>
              <w:t>Duplicate collection IDs / handles</w:t>
            </w:r>
          </w:p>
        </w:tc>
        <w:tc>
          <w:tcPr>
            <w:tcW w:type="dxa" w:w="3154"/>
            <w:vAlign w:val="center"/>
          </w:tcPr>
          <w:p>
            <w:r>
              <w:t>0 / 0</w:t>
            </w:r>
          </w:p>
        </w:tc>
        <w:tc>
          <w:tcPr>
            <w:tcW w:type="dxa" w:w="3154"/>
            <w:vAlign w:val="center"/>
          </w:tcPr>
          <w:p>
            <w:r>
              <w:t>Reject if later encountered</w:t>
            </w:r>
          </w:p>
        </w:tc>
      </w:tr>
      <w:tr>
        <w:tc>
          <w:tcPr>
            <w:tcW w:type="dxa" w:w="3154"/>
            <w:vAlign w:val="center"/>
          </w:tcPr>
          <w:p>
            <w:r>
              <w:t>Missing image URLs</w:t>
            </w:r>
          </w:p>
        </w:tc>
        <w:tc>
          <w:tcPr>
            <w:tcW w:type="dxa" w:w="3154"/>
            <w:vAlign w:val="center"/>
          </w:tcPr>
          <w:p>
            <w:r>
              <w:t>3</w:t>
            </w:r>
          </w:p>
        </w:tc>
        <w:tc>
          <w:tcPr>
            <w:tcW w:type="dxa" w:w="3154"/>
            <w:vAlign w:val="center"/>
          </w:tcPr>
          <w:p>
            <w:r>
              <w:t>Keep explicit missing flag; no invented image</w:t>
            </w:r>
          </w:p>
        </w:tc>
      </w:tr>
      <w:tr>
        <w:tc>
          <w:tcPr>
            <w:tcW w:type="dxa" w:w="3154"/>
            <w:vAlign w:val="center"/>
          </w:tcPr>
          <w:p>
            <w:r>
              <w:t>Missing SEO descriptions</w:t>
            </w:r>
          </w:p>
        </w:tc>
        <w:tc>
          <w:tcPr>
            <w:tcW w:type="dxa" w:w="3154"/>
            <w:vAlign w:val="center"/>
          </w:tcPr>
          <w:p>
            <w:r>
              <w:t>1</w:t>
            </w:r>
          </w:p>
        </w:tc>
        <w:tc>
          <w:tcPr>
            <w:tcW w:type="dxa" w:w="3154"/>
            <w:vAlign w:val="center"/>
          </w:tcPr>
          <w:p>
            <w:r>
              <w:t>Preserve missing flag; derive marked HTML summary</w:t>
            </w:r>
          </w:p>
        </w:tc>
      </w:tr>
      <w:tr>
        <w:tc>
          <w:tcPr>
            <w:tcW w:type="dxa" w:w="3154"/>
            <w:vAlign w:val="center"/>
          </w:tcPr>
          <w:p>
            <w:r>
              <w:t>Collection counts larger than 2,938</w:t>
            </w:r>
          </w:p>
        </w:tc>
        <w:tc>
          <w:tcPr>
            <w:tcW w:type="dxa" w:w="3154"/>
            <w:vAlign w:val="center"/>
          </w:tcPr>
          <w:p>
            <w:r>
              <w:t>2</w:t>
            </w:r>
          </w:p>
        </w:tc>
        <w:tc>
          <w:tcPr>
            <w:tcW w:type="dxa" w:w="3154"/>
            <w:vAlign w:val="center"/>
          </w:tcPr>
          <w:p>
            <w:r>
              <w:t>Flag for reconciliation, do not silently cap</w:t>
            </w:r>
          </w:p>
        </w:tc>
      </w:tr>
      <w:tr>
        <w:tc>
          <w:tcPr>
            <w:tcW w:type="dxa" w:w="3154"/>
            <w:vAlign w:val="center"/>
          </w:tcPr>
          <w:p>
            <w:r>
              <w:t>Total unique products (stats source)</w:t>
            </w:r>
          </w:p>
        </w:tc>
        <w:tc>
          <w:tcPr>
            <w:tcW w:type="dxa" w:w="3154"/>
            <w:vAlign w:val="center"/>
          </w:tcPr>
          <w:p>
            <w:r>
              <w:t>2,938</w:t>
            </w:r>
          </w:p>
        </w:tc>
        <w:tc>
          <w:tcPr>
            <w:tcW w:type="dxa" w:w="3154"/>
            <w:vAlign w:val="center"/>
          </w:tcPr>
          <w:p>
            <w:r>
              <w:t>Use only as unique-product denominator</w:t>
            </w:r>
          </w:p>
        </w:tc>
      </w:tr>
      <w:tr>
        <w:tc>
          <w:tcPr>
            <w:tcW w:type="dxa" w:w="3154"/>
            <w:vAlign w:val="center"/>
          </w:tcPr>
          <w:p>
            <w:r>
              <w:t>Sum of collection memberships</w:t>
            </w:r>
          </w:p>
        </w:tc>
        <w:tc>
          <w:tcPr>
            <w:tcW w:type="dxa" w:w="3154"/>
            <w:vAlign w:val="center"/>
          </w:tcPr>
          <w:p>
            <w:r>
              <w:t>36,682</w:t>
            </w:r>
          </w:p>
        </w:tc>
        <w:tc>
          <w:tcPr>
            <w:tcW w:type="dxa" w:w="3154"/>
            <w:vAlign w:val="center"/>
          </w:tcPr>
          <w:p>
            <w:r>
              <w:t>Do NOT label as unique items or sales</w:t>
            </w:r>
          </w:p>
        </w:tc>
      </w:tr>
    </w:tbl>
    <w:p/>
    <w:p>
      <w:r>
        <w:drawing>
          <wp:inline xmlns:a="http://schemas.openxmlformats.org/drawingml/2006/main" xmlns:pic="http://schemas.openxmlformats.org/drawingml/2006/picture">
            <wp:extent cx="5897880" cy="2130254"/>
            <wp:docPr id="2" name="Picture 2"/>
            <wp:cNvGraphicFramePr>
              <a:graphicFrameLocks noChangeAspect="1"/>
            </wp:cNvGraphicFramePr>
            <a:graphic>
              <a:graphicData uri="http://schemas.openxmlformats.org/drawingml/2006/picture">
                <pic:pic>
                  <pic:nvPicPr>
                    <pic:cNvPr id="0" name="real_catalog_quality_flags.png"/>
                    <pic:cNvPicPr/>
                  </pic:nvPicPr>
                  <pic:blipFill>
                    <a:blip r:embed="rId12"/>
                    <a:stretch>
                      <a:fillRect/>
                    </a:stretch>
                  </pic:blipFill>
                  <pic:spPr>
                    <a:xfrm>
                      <a:off x="0" y="0"/>
                      <a:ext cx="5897880" cy="2130254"/>
                    </a:xfrm>
                    <a:prstGeom prst="rect"/>
                  </pic:spPr>
                </pic:pic>
              </a:graphicData>
            </a:graphic>
          </wp:inline>
        </w:drawing>
      </w:r>
    </w:p>
    <w:p>
      <w:pPr>
        <w:pStyle w:val="Caption"/>
      </w:pPr>
      <w:r>
        <w:t>Figure 2. Actual observed source-quality exceptions; these are not simulated transactions.</w:t>
      </w:r>
    </w:p>
    <w:p>
      <w:r>
        <w:br w:type="page"/>
      </w:r>
    </w:p>
    <w:p>
      <w:pPr>
        <w:pStyle w:val="Heading1"/>
      </w:pPr>
      <w:r>
        <w:t>5. Step-by-step preprocessing playbook</w:t>
      </w:r>
    </w:p>
    <w:p>
      <w:pPr>
        <w:pStyle w:val="Heading2"/>
      </w:pPr>
      <w:r>
        <w:t>Step 1 — Validate the contract</w:t>
      </w:r>
    </w:p>
    <w:p>
      <w:r>
        <w:t>Read JSON as UTF-8; require a list of collection objects and a stats object. Check required fields: id, handle, title, products_count and updated_at. Fail fast on an unexpected schema. Record checksum before modifying anything and preserve the raw inputs separately.</w:t>
      </w:r>
    </w:p>
    <w:p>
      <w:pPr>
        <w:pStyle w:val="Heading2"/>
      </w:pPr>
      <w:r>
        <w:t>Step 2 — Standardize types and keys</w:t>
      </w:r>
    </w:p>
    <w:p>
      <w:r>
        <w:t>Trim id and handle; lowercase the handle; parse product counts as nonnegative integers and collection updates to timezone-aware UTC. Reject truly malformed keys/counts/dates to a quarantine table with source-row position and reason. Keep collection IDs as strings so leading zeros are never lost; do not conflate a duplicate membership across different collections with a duplicate row.</w:t>
      </w:r>
    </w:p>
    <w:p>
      <w:pPr>
        <w:pStyle w:val="Heading2"/>
      </w:pPr>
      <w:r>
        <w:t>Step 3 — Handle missing values according to business meaning</w:t>
      </w:r>
    </w:p>
    <w:p>
      <w:r>
        <w:t>The three absent image URLs remain null with `image_missing=True`: replacing them with a fabricated URL would turn unknown provenance into false content. For the one missing SEO description, preserve `seo_description_fallback=True` and derive a capped plain-text description from the original HTML. This is a deterministic content fallback, not a recovered true SEO value. Missing essential keys, missing price in transactions, and unusable timestamps are quarantined rather than zero-filled.</w:t>
      </w:r>
    </w:p>
    <w:p>
      <w:pPr>
        <w:pStyle w:val="Heading2"/>
      </w:pPr>
      <w:r>
        <w:t>Step 4 — Clean HTML and categorical text</w:t>
      </w:r>
    </w:p>
    <w:p>
      <w:r>
        <w:t>An HTMLParser removes markup while preserving visible text; character entities such as `&amp;amp;` are decoded. Keep raw HTML in the raw snapshot. Category labels are split on the ` &gt; ` delimiter, preserving the complete original hierarchy as well as a top-level group. A mapping table is preferred over fuzzy joining; log previously unseen categories for analyst review.</w:t>
      </w:r>
    </w:p>
    <w:p>
      <w:pPr>
        <w:pStyle w:val="Heading2"/>
      </w:pPr>
      <w:r>
        <w:t>Step 5 — Enforce correct observational grain</w:t>
      </w:r>
    </w:p>
    <w:p>
      <w:r>
        <w:t>One collection row can include the same product as another collection. The source’s “Best Sellers” collection lists 5,913 memberships and “Under $50” lists 3,160 while only 2,938 unique products appear in the independent stats file. Those two mismatches are preserved as audit flags, not silently overwritten. The sum of all 161 collection membership counts is 36,682 and cannot be interpreted as an assortment size, stock, revenue, or sales volume.</w:t>
      </w:r>
    </w:p>
    <w:p>
      <w:pPr>
        <w:pStyle w:val="Heading2"/>
      </w:pPr>
      <w:r>
        <w:t>Step 6 — Engineer transparent, non-leaking features</w:t>
      </w:r>
    </w:p>
    <w:p>
      <w:r>
        <w:t>Derive `description_word_count`, `image_missing`, `seo_description_fallback`, `product_count_gt_unique_total`, and `log1p_collection_count`. The log transform compresses long-tailed counts while preserving zero; these features are descriptive only. For a predictive pipeline, fit imputers/scalers exclusively on the training partition; do not compute statistics on a holdout period before modeling.</w:t>
      </w:r>
    </w:p>
    <w:p>
      <w:pPr>
        <w:pStyle w:val="Heading2"/>
      </w:pPr>
      <w:r>
        <w:t>Step 7 — Export, reconcile, and validate</w:t>
      </w:r>
    </w:p>
    <w:p>
      <w:r>
        <w:t>Write cleaned collections, a collection quarantine table, category distributions, and an audit JSON. Assert processed + quarantined = input rows, unique IDs in accepted records, nonnegative counts and exact reconciliation between category hierarchy counts and 2,938 unique products. Repeat with a second run and compare checksums/outputs.</w:t>
      </w:r>
    </w:p>
    <w:p>
      <w:r>
        <w:br w:type="page"/>
      </w:r>
    </w:p>
    <w:p>
      <w:pPr>
        <w:pStyle w:val="Heading1"/>
      </w:pPr>
      <w:r>
        <w:t>6. Real fashion data — category insights with correct units</w:t>
      </w:r>
    </w:p>
    <w:p>
      <w:r>
        <w:t>The independent product-category hierarchy assigns 2,302 unique products to Clothing (78.35%), 325 to Jewelry (11.06%), 239 to Clothing Accessories (8.14%), 53 to Shoes (1.80%), and 19 to handbag and bag-accessory categories combined (0.65%). The categories sum to the published 2,938 active products. These numbers describe catalog composition, not product demand, sell-through or conversion.</w:t>
      </w:r>
    </w:p>
    <w:tbl>
      <w:tblPr>
        <w:tblStyle w:val="LightShading-Accent1"/>
        <w:tblW w:type="auto" w:w="0"/>
        <w:jc w:val="center"/>
        <w:tblLook w:firstColumn="1" w:firstRow="1" w:lastColumn="0" w:lastRow="0" w:noHBand="0" w:noVBand="1" w:val="04A0"/>
      </w:tblPr>
      <w:tblGrid>
        <w:gridCol w:w="3154"/>
        <w:gridCol w:w="3154"/>
        <w:gridCol w:w="3154"/>
      </w:tblGrid>
      <w:tr>
        <w:tc>
          <w:tcPr>
            <w:tcW w:type="dxa" w:w="3154"/>
            <w:vAlign w:val="center"/>
          </w:tcPr>
          <w:p>
            <w:r>
              <w:t>Category group</w:t>
            </w:r>
          </w:p>
        </w:tc>
        <w:tc>
          <w:tcPr>
            <w:tcW w:type="dxa" w:w="3154"/>
            <w:vAlign w:val="center"/>
          </w:tcPr>
          <w:p>
            <w:r>
              <w:t>Unique products</w:t>
            </w:r>
          </w:p>
        </w:tc>
        <w:tc>
          <w:tcPr>
            <w:tcW w:type="dxa" w:w="3154"/>
            <w:vAlign w:val="center"/>
          </w:tcPr>
          <w:p>
            <w:r>
              <w:t>Share of 2,938</w:t>
            </w:r>
          </w:p>
        </w:tc>
      </w:tr>
      <w:tr>
        <w:tc>
          <w:tcPr>
            <w:tcW w:type="dxa" w:w="3154"/>
            <w:vAlign w:val="center"/>
          </w:tcPr>
          <w:p>
            <w:r>
              <w:t>Clothing</w:t>
            </w:r>
          </w:p>
        </w:tc>
        <w:tc>
          <w:tcPr>
            <w:tcW w:type="dxa" w:w="3154"/>
            <w:vAlign w:val="center"/>
          </w:tcPr>
          <w:p>
            <w:r>
              <w:t>2,302</w:t>
            </w:r>
          </w:p>
        </w:tc>
        <w:tc>
          <w:tcPr>
            <w:tcW w:type="dxa" w:w="3154"/>
            <w:vAlign w:val="center"/>
          </w:tcPr>
          <w:p>
            <w:r>
              <w:t>78.35%</w:t>
            </w:r>
          </w:p>
        </w:tc>
      </w:tr>
      <w:tr>
        <w:tc>
          <w:tcPr>
            <w:tcW w:type="dxa" w:w="3154"/>
            <w:vAlign w:val="center"/>
          </w:tcPr>
          <w:p>
            <w:r>
              <w:t>Jewelry</w:t>
            </w:r>
          </w:p>
        </w:tc>
        <w:tc>
          <w:tcPr>
            <w:tcW w:type="dxa" w:w="3154"/>
            <w:vAlign w:val="center"/>
          </w:tcPr>
          <w:p>
            <w:r>
              <w:t>325</w:t>
            </w:r>
          </w:p>
        </w:tc>
        <w:tc>
          <w:tcPr>
            <w:tcW w:type="dxa" w:w="3154"/>
            <w:vAlign w:val="center"/>
          </w:tcPr>
          <w:p>
            <w:r>
              <w:t>11.06%</w:t>
            </w:r>
          </w:p>
        </w:tc>
      </w:tr>
      <w:tr>
        <w:tc>
          <w:tcPr>
            <w:tcW w:type="dxa" w:w="3154"/>
            <w:vAlign w:val="center"/>
          </w:tcPr>
          <w:p>
            <w:r>
              <w:t>Clothing accessories</w:t>
            </w:r>
          </w:p>
        </w:tc>
        <w:tc>
          <w:tcPr>
            <w:tcW w:type="dxa" w:w="3154"/>
            <w:vAlign w:val="center"/>
          </w:tcPr>
          <w:p>
            <w:r>
              <w:t>239</w:t>
            </w:r>
          </w:p>
        </w:tc>
        <w:tc>
          <w:tcPr>
            <w:tcW w:type="dxa" w:w="3154"/>
            <w:vAlign w:val="center"/>
          </w:tcPr>
          <w:p>
            <w:r>
              <w:t>8.14%</w:t>
            </w:r>
          </w:p>
        </w:tc>
      </w:tr>
      <w:tr>
        <w:tc>
          <w:tcPr>
            <w:tcW w:type="dxa" w:w="3154"/>
            <w:vAlign w:val="center"/>
          </w:tcPr>
          <w:p>
            <w:r>
              <w:t>Shoes</w:t>
            </w:r>
          </w:p>
        </w:tc>
        <w:tc>
          <w:tcPr>
            <w:tcW w:type="dxa" w:w="3154"/>
            <w:vAlign w:val="center"/>
          </w:tcPr>
          <w:p>
            <w:r>
              <w:t>53</w:t>
            </w:r>
          </w:p>
        </w:tc>
        <w:tc>
          <w:tcPr>
            <w:tcW w:type="dxa" w:w="3154"/>
            <w:vAlign w:val="center"/>
          </w:tcPr>
          <w:p>
            <w:r>
              <w:t>1.80%</w:t>
            </w:r>
          </w:p>
        </w:tc>
      </w:tr>
      <w:tr>
        <w:tc>
          <w:tcPr>
            <w:tcW w:type="dxa" w:w="3154"/>
            <w:vAlign w:val="center"/>
          </w:tcPr>
          <w:p>
            <w:r>
              <w:t>Handbags &amp; cases</w:t>
            </w:r>
          </w:p>
        </w:tc>
        <w:tc>
          <w:tcPr>
            <w:tcW w:type="dxa" w:w="3154"/>
            <w:vAlign w:val="center"/>
          </w:tcPr>
          <w:p>
            <w:r>
              <w:t>10</w:t>
            </w:r>
          </w:p>
        </w:tc>
        <w:tc>
          <w:tcPr>
            <w:tcW w:type="dxa" w:w="3154"/>
            <w:vAlign w:val="center"/>
          </w:tcPr>
          <w:p>
            <w:r>
              <w:t>0.34%</w:t>
            </w:r>
          </w:p>
        </w:tc>
      </w:tr>
      <w:tr>
        <w:tc>
          <w:tcPr>
            <w:tcW w:type="dxa" w:w="3154"/>
            <w:vAlign w:val="center"/>
          </w:tcPr>
          <w:p>
            <w:r>
              <w:t>Handbag &amp; wallet accessories</w:t>
            </w:r>
          </w:p>
        </w:tc>
        <w:tc>
          <w:tcPr>
            <w:tcW w:type="dxa" w:w="3154"/>
            <w:vAlign w:val="center"/>
          </w:tcPr>
          <w:p>
            <w:r>
              <w:t>9</w:t>
            </w:r>
          </w:p>
        </w:tc>
        <w:tc>
          <w:tcPr>
            <w:tcW w:type="dxa" w:w="3154"/>
            <w:vAlign w:val="center"/>
          </w:tcPr>
          <w:p>
            <w:r>
              <w:t>0.31%</w:t>
            </w:r>
          </w:p>
        </w:tc>
      </w:tr>
      <w:tr>
        <w:tc>
          <w:tcPr>
            <w:tcW w:type="dxa" w:w="3154"/>
            <w:vAlign w:val="center"/>
          </w:tcPr>
          <w:p>
            <w:r>
              <w:t>TOTAL</w:t>
            </w:r>
          </w:p>
        </w:tc>
        <w:tc>
          <w:tcPr>
            <w:tcW w:type="dxa" w:w="3154"/>
            <w:vAlign w:val="center"/>
          </w:tcPr>
          <w:p>
            <w:r>
              <w:t>2,938</w:t>
            </w:r>
          </w:p>
        </w:tc>
        <w:tc>
          <w:tcPr>
            <w:tcW w:type="dxa" w:w="3154"/>
            <w:vAlign w:val="center"/>
          </w:tcPr>
          <w:p>
            <w:r>
              <w:t>100.00%</w:t>
            </w:r>
          </w:p>
        </w:tc>
      </w:tr>
    </w:tbl>
    <w:p/>
    <w:p>
      <w:r>
        <w:t>Business interpretation: a merchandising analyst could prioritize taxonomy quality reviews in the high-volume Clothing group, then investigate whether incomplete media or descriptions are concentrated in conversion-critical categories. However, the dataset contains no impressions, clicks, transaction values or inventory quantities: it cannot prove marketing uplift, customer demand or stock shortages. Those would require a governed event and POS feed.</w:t>
      </w:r>
    </w:p>
    <w:p>
      <w:pPr>
        <w:pStyle w:val="Heading2"/>
      </w:pPr>
      <w:r>
        <w:t>A concrete integration plan</w:t>
      </w:r>
    </w:p>
    <w:tbl>
      <w:tblPr>
        <w:tblStyle w:val="LightShading-Accent1"/>
        <w:tblW w:type="auto" w:w="0"/>
        <w:jc w:val="center"/>
        <w:tblLook w:firstColumn="1" w:firstRow="1" w:lastColumn="0" w:lastRow="0" w:noHBand="0" w:noVBand="1" w:val="04A0"/>
      </w:tblPr>
      <w:tblGrid>
        <w:gridCol w:w="3154"/>
        <w:gridCol w:w="3154"/>
        <w:gridCol w:w="3154"/>
      </w:tblGrid>
      <w:tr>
        <w:tc>
          <w:tcPr>
            <w:tcW w:type="dxa" w:w="3154"/>
            <w:vAlign w:val="center"/>
          </w:tcPr>
          <w:p>
            <w:r>
              <w:t>Data table and key</w:t>
            </w:r>
          </w:p>
        </w:tc>
        <w:tc>
          <w:tcPr>
            <w:tcW w:type="dxa" w:w="3154"/>
            <w:vAlign w:val="center"/>
          </w:tcPr>
          <w:p>
            <w:r>
              <w:t>Proposed join</w:t>
            </w:r>
          </w:p>
        </w:tc>
        <w:tc>
          <w:tcPr>
            <w:tcW w:type="dxa" w:w="3154"/>
            <w:vAlign w:val="center"/>
          </w:tcPr>
          <w:p>
            <w:r>
              <w:t>Safe use</w:t>
            </w:r>
          </w:p>
        </w:tc>
      </w:tr>
      <w:tr>
        <w:tc>
          <w:tcPr>
            <w:tcW w:type="dxa" w:w="3154"/>
            <w:vAlign w:val="center"/>
          </w:tcPr>
          <w:p>
            <w:r>
              <w:t>Catalog product_id / category</w:t>
            </w:r>
          </w:p>
        </w:tc>
        <w:tc>
          <w:tcPr>
            <w:tcW w:type="dxa" w:w="3154"/>
            <w:vAlign w:val="center"/>
          </w:tcPr>
          <w:p>
            <w:r>
              <w:t>SKU table keyed on product ID</w:t>
            </w:r>
          </w:p>
        </w:tc>
        <w:tc>
          <w:tcPr>
            <w:tcW w:type="dxa" w:w="3154"/>
            <w:vAlign w:val="center"/>
          </w:tcPr>
          <w:p>
            <w:r>
              <w:t>If real SKU mapping exists, attach assortment taxonomy</w:t>
            </w:r>
          </w:p>
        </w:tc>
      </w:tr>
      <w:tr>
        <w:tc>
          <w:tcPr>
            <w:tcW w:type="dxa" w:w="3154"/>
            <w:vAlign w:val="center"/>
          </w:tcPr>
          <w:p>
            <w:r>
              <w:t>Inventory SKU × location × date</w:t>
            </w:r>
          </w:p>
        </w:tc>
        <w:tc>
          <w:tcPr>
            <w:tcW w:type="dxa" w:w="3154"/>
            <w:vAlign w:val="center"/>
          </w:tcPr>
          <w:p>
            <w:r>
              <w:t>To catalog products via authorized SKU map</w:t>
            </w:r>
          </w:p>
        </w:tc>
        <w:tc>
          <w:tcPr>
            <w:tcW w:type="dxa" w:w="3154"/>
            <w:vAlign w:val="center"/>
          </w:tcPr>
          <w:p>
            <w:r>
              <w:t>Stock cover, stockout and replenishment calculations</w:t>
            </w:r>
          </w:p>
        </w:tc>
      </w:tr>
      <w:tr>
        <w:tc>
          <w:tcPr>
            <w:tcW w:type="dxa" w:w="3154"/>
            <w:vAlign w:val="center"/>
          </w:tcPr>
          <w:p>
            <w:r>
              <w:t>POS order_line_id × SKU × timestamp</w:t>
            </w:r>
          </w:p>
        </w:tc>
        <w:tc>
          <w:tcPr>
            <w:tcW w:type="dxa" w:w="3154"/>
            <w:vAlign w:val="center"/>
          </w:tcPr>
          <w:p>
            <w:r>
              <w:t>To mapped SKU; currency and timezone controls</w:t>
            </w:r>
          </w:p>
        </w:tc>
        <w:tc>
          <w:tcPr>
            <w:tcW w:type="dxa" w:w="3154"/>
            <w:vAlign w:val="center"/>
          </w:tcPr>
          <w:p>
            <w:r>
              <w:t>Returns, gross/net sales, demand rates</w:t>
            </w:r>
          </w:p>
        </w:tc>
      </w:tr>
      <w:tr>
        <w:tc>
          <w:tcPr>
            <w:tcW w:type="dxa" w:w="3154"/>
            <w:vAlign w:val="center"/>
          </w:tcPr>
          <w:p>
            <w:r>
              <w:t>Weather location × date</w:t>
            </w:r>
          </w:p>
        </w:tc>
        <w:tc>
          <w:tcPr>
            <w:tcW w:type="dxa" w:w="3154"/>
            <w:vAlign w:val="center"/>
          </w:tcPr>
          <w:p>
            <w:r>
              <w:t>Store geography and calendar day</w:t>
            </w:r>
          </w:p>
        </w:tc>
        <w:tc>
          <w:tcPr>
            <w:tcW w:type="dxa" w:w="3154"/>
            <w:vAlign w:val="center"/>
          </w:tcPr>
          <w:p>
            <w:r>
              <w:t>Seasonality explanatory covariate; not causation</w:t>
            </w:r>
          </w:p>
        </w:tc>
      </w:tr>
      <w:tr>
        <w:tc>
          <w:tcPr>
            <w:tcW w:type="dxa" w:w="3154"/>
            <w:vAlign w:val="center"/>
          </w:tcPr>
          <w:p>
            <w:r>
              <w:t>Trend keyword × region × week</w:t>
            </w:r>
          </w:p>
        </w:tc>
        <w:tc>
          <w:tcPr>
            <w:tcW w:type="dxa" w:w="3154"/>
            <w:vAlign w:val="center"/>
          </w:tcPr>
          <w:p>
            <w:r>
              <w:t>Aligned category/region/week</w:t>
            </w:r>
          </w:p>
        </w:tc>
        <w:tc>
          <w:tcPr>
            <w:tcW w:type="dxa" w:w="3154"/>
            <w:vAlign w:val="center"/>
          </w:tcPr>
          <w:p>
            <w:r>
              <w:t>Relative search-interest signal after validation</w:t>
            </w:r>
          </w:p>
        </w:tc>
      </w:tr>
    </w:tbl>
    <w:p/>
    <w:p>
      <w:r>
        <w:t>This integration plan is proposed and not executed; the absence of transaction data is clearly disclosed. It demonstrates what would be needed to turn category content hygiene into later commercial decisions.</w:t>
      </w:r>
    </w:p>
    <w:p>
      <w:pPr>
        <w:pStyle w:val="Heading1"/>
      </w:pPr>
      <w:r>
        <w:t>7. Independent synthetic apparel transaction stress test</w:t>
      </w:r>
    </w:p>
    <w:p>
      <w:r>
        <w:t>Real fashion catalog records provide external-data acquisition evidence but cannot test financial validations absent in the source. The separate deterministic fixture deliberately injects duplicate order lines, missing SKU and category, invalid unit prices, negative or inconsistent returns, malformed discounts, and unknown size codes. It is not a real employer dataset.</w:t>
      </w:r>
    </w:p>
    <w:tbl>
      <w:tblPr>
        <w:tblStyle w:val="LightShading-Accent1"/>
        <w:tblW w:type="auto" w:w="0"/>
        <w:jc w:val="center"/>
        <w:tblLook w:firstColumn="1" w:firstRow="1" w:lastColumn="0" w:lastRow="0" w:noHBand="0" w:noVBand="1" w:val="04A0"/>
      </w:tblPr>
      <w:tblGrid>
        <w:gridCol w:w="3154"/>
        <w:gridCol w:w="3154"/>
        <w:gridCol w:w="3154"/>
      </w:tblGrid>
      <w:tr>
        <w:tc>
          <w:tcPr>
            <w:tcW w:type="dxa" w:w="3154"/>
            <w:vAlign w:val="center"/>
          </w:tcPr>
          <w:p>
            <w:r>
              <w:t>Raw→prepared flow</w:t>
            </w:r>
          </w:p>
        </w:tc>
        <w:tc>
          <w:tcPr>
            <w:tcW w:type="dxa" w:w="3154"/>
            <w:vAlign w:val="center"/>
          </w:tcPr>
          <w:p>
            <w:r>
              <w:t>Executed synthetic result</w:t>
            </w:r>
          </w:p>
        </w:tc>
        <w:tc>
          <w:tcPr>
            <w:tcW w:type="dxa" w:w="3154"/>
            <w:vAlign w:val="center"/>
          </w:tcPr>
          <w:p>
            <w:r>
              <w:t>Interpretation</w:t>
            </w:r>
          </w:p>
        </w:tc>
      </w:tr>
      <w:tr>
        <w:tc>
          <w:tcPr>
            <w:tcW w:type="dxa" w:w="3154"/>
            <w:vAlign w:val="center"/>
          </w:tcPr>
          <w:p>
            <w:r>
              <w:t>Raw input rows</w:t>
            </w:r>
          </w:p>
        </w:tc>
        <w:tc>
          <w:tcPr>
            <w:tcW w:type="dxa" w:w="3154"/>
            <w:vAlign w:val="center"/>
          </w:tcPr>
          <w:p>
            <w:r>
              <w:t>163</w:t>
            </w:r>
          </w:p>
        </w:tc>
        <w:tc>
          <w:tcPr>
            <w:tcW w:type="dxa" w:w="3154"/>
            <w:vAlign w:val="center"/>
          </w:tcPr>
          <w:p>
            <w:r>
              <w:t>Intentionally malformed test data</w:t>
            </w:r>
          </w:p>
        </w:tc>
      </w:tr>
      <w:tr>
        <w:tc>
          <w:tcPr>
            <w:tcW w:type="dxa" w:w="3154"/>
            <w:vAlign w:val="center"/>
          </w:tcPr>
          <w:p>
            <w:r>
              <w:t>Clean positive sales</w:t>
            </w:r>
          </w:p>
        </w:tc>
        <w:tc>
          <w:tcPr>
            <w:tcW w:type="dxa" w:w="3154"/>
            <w:vAlign w:val="center"/>
          </w:tcPr>
          <w:p>
            <w:r>
              <w:t>147</w:t>
            </w:r>
          </w:p>
        </w:tc>
        <w:tc>
          <w:tcPr>
            <w:tcW w:type="dxa" w:w="3154"/>
            <w:vAlign w:val="center"/>
          </w:tcPr>
          <w:p>
            <w:r>
              <w:t>Retain valid sales lines</w:t>
            </w:r>
          </w:p>
        </w:tc>
      </w:tr>
      <w:tr>
        <w:tc>
          <w:tcPr>
            <w:tcW w:type="dxa" w:w="3154"/>
            <w:vAlign w:val="center"/>
          </w:tcPr>
          <w:p>
            <w:r>
              <w:t>Valid return lines</w:t>
            </w:r>
          </w:p>
        </w:tc>
        <w:tc>
          <w:tcPr>
            <w:tcW w:type="dxa" w:w="3154"/>
            <w:vAlign w:val="center"/>
          </w:tcPr>
          <w:p>
            <w:r>
              <w:t>2</w:t>
            </w:r>
          </w:p>
        </w:tc>
        <w:tc>
          <w:tcPr>
            <w:tcW w:type="dxa" w:w="3154"/>
            <w:vAlign w:val="center"/>
          </w:tcPr>
          <w:p>
            <w:r>
              <w:t>Separate signed returns from demand</w:t>
            </w:r>
          </w:p>
        </w:tc>
      </w:tr>
      <w:tr>
        <w:tc>
          <w:tcPr>
            <w:tcW w:type="dxa" w:w="3154"/>
            <w:vAlign w:val="center"/>
          </w:tcPr>
          <w:p>
            <w:r>
              <w:t>Quarantine with explicit reasons</w:t>
            </w:r>
          </w:p>
        </w:tc>
        <w:tc>
          <w:tcPr>
            <w:tcW w:type="dxa" w:w="3154"/>
            <w:vAlign w:val="center"/>
          </w:tcPr>
          <w:p>
            <w:r>
              <w:t>14</w:t>
            </w:r>
          </w:p>
        </w:tc>
        <w:tc>
          <w:tcPr>
            <w:tcW w:type="dxa" w:w="3154"/>
            <w:vAlign w:val="center"/>
          </w:tcPr>
          <w:p>
            <w:r>
              <w:t>Includes 2 exact duplicates</w:t>
            </w:r>
          </w:p>
        </w:tc>
      </w:tr>
      <w:tr>
        <w:tc>
          <w:tcPr>
            <w:tcW w:type="dxa" w:w="3154"/>
            <w:vAlign w:val="center"/>
          </w:tcPr>
          <w:p>
            <w:r>
              <w:t>Rows reconciled</w:t>
            </w:r>
          </w:p>
        </w:tc>
        <w:tc>
          <w:tcPr>
            <w:tcW w:type="dxa" w:w="3154"/>
            <w:vAlign w:val="center"/>
          </w:tcPr>
          <w:p>
            <w:r>
              <w:t>147 + 2 + 14 = 163</w:t>
            </w:r>
          </w:p>
        </w:tc>
        <w:tc>
          <w:tcPr>
            <w:tcW w:type="dxa" w:w="3154"/>
            <w:vAlign w:val="center"/>
          </w:tcPr>
          <w:p>
            <w:r>
              <w:t>No silent row loss</w:t>
            </w:r>
          </w:p>
        </w:tc>
      </w:tr>
      <w:tr>
        <w:tc>
          <w:tcPr>
            <w:tcW w:type="dxa" w:w="3154"/>
            <w:vAlign w:val="center"/>
          </w:tcPr>
          <w:p>
            <w:r>
              <w:t>Retention</w:t>
            </w:r>
          </w:p>
        </w:tc>
        <w:tc>
          <w:tcPr>
            <w:tcW w:type="dxa" w:w="3154"/>
            <w:vAlign w:val="center"/>
          </w:tcPr>
          <w:p>
            <w:r>
              <w:t>149 / 163 = 91.41%</w:t>
            </w:r>
          </w:p>
        </w:tc>
        <w:tc>
          <w:tcPr>
            <w:tcW w:type="dxa" w:w="3154"/>
            <w:vAlign w:val="center"/>
          </w:tcPr>
          <w:p>
            <w:r>
              <w:t>Demonstration-only data quality measure</w:t>
            </w:r>
          </w:p>
        </w:tc>
      </w:tr>
    </w:tbl>
    <w:p/>
    <w:p>
      <w:r>
        <w:t>This example does not mix INR synthetic revenue with real USD catalog listings. The previous synthetic orders and newly added MIT-licensed catalog records remain separate data domains throughout the workflow.</w:t>
      </w:r>
    </w:p>
    <w:p>
      <w:r>
        <w:br w:type="page"/>
      </w:r>
    </w:p>
    <w:p>
      <w:pPr>
        <w:pStyle w:val="Heading1"/>
      </w:pPr>
      <w:r>
        <w:t>8. Reproducibility &amp; automated validation</w:t>
      </w:r>
    </w:p>
    <w:p>
      <w:r>
        <w:t>Two independent pipelines are included in the GitHub project. The synthetic one rebuilds 163 intentionally corrupted order records with a fixed random seed and emits audit, quarantine, cleaned sales, returns, weekly features and customer features. The real-data one processes the pinned 161-row fashion catalog and product-category summary to emit source provenance, real cleaned collections, category-share tables, audit flags and quarantined records.</w:t>
      </w:r>
    </w:p>
    <w:p>
      <w:r>
        <w:t>Commands from project root:</w:t>
      </w:r>
    </w:p>
    <w:p>
      <w:pPr>
        <w:pStyle w:val="NoSpacing"/>
      </w:pPr>
      <w:r>
        <w:rPr>
          <w:rFonts w:ascii="Consolas" w:hAnsi="Consolas"/>
          <w:sz w:val="17"/>
        </w:rPr>
        <w:t>python -m pip install -r requirements.txt</w:t>
      </w:r>
    </w:p>
    <w:p>
      <w:pPr>
        <w:pStyle w:val="NoSpacing"/>
      </w:pPr>
      <w:r>
        <w:rPr>
          <w:rFonts w:ascii="Consolas" w:hAnsi="Consolas"/>
          <w:sz w:val="17"/>
        </w:rPr>
        <w:t>python run_pipeline.py</w:t>
      </w:r>
    </w:p>
    <w:p>
      <w:pPr>
        <w:pStyle w:val="NoSpacing"/>
      </w:pPr>
      <w:r>
        <w:rPr>
          <w:rFonts w:ascii="Consolas" w:hAnsi="Consolas"/>
          <w:sz w:val="17"/>
        </w:rPr>
        <w:t>python -m src.real_catalog_pipeline  # uses bundled public snapshots</w:t>
      </w:r>
    </w:p>
    <w:p>
      <w:pPr>
        <w:pStyle w:val="NoSpacing"/>
      </w:pPr>
      <w:r>
        <w:rPr>
          <w:rFonts w:ascii="Consolas" w:hAnsi="Consolas"/>
          <w:sz w:val="17"/>
        </w:rPr>
        <w:t>python -m unittest discover -s tests -v</w:t>
      </w:r>
    </w:p>
    <w:p>
      <w:r>
        <w:t>Automated quality contract (21 tests, executed locally): negative/malformed counts are quarantined; duplicate keys are not double-counted; optional missing media does not remove records; the fallback description is transparently flagged; source checksums and commit are recorded; and distinct product-category counts must reconcile exactly. The original synthetic pipeline’s 11 tests continue to pass, and 10 new real-catalog tests pass. The real-catalog tests use controlled fixture inputs for edge cases; observed full-source counts are reported separately and checked from the actual public snapshot.</w:t>
      </w:r>
    </w:p>
    <w:p>
      <w:pPr>
        <w:pStyle w:val="Heading1"/>
      </w:pPr>
      <w:r>
        <w:t>9. Governance, constraints, and failure modes</w:t>
      </w:r>
    </w:p>
    <w:tbl>
      <w:tblPr>
        <w:tblStyle w:val="LightShading-Accent1"/>
        <w:tblW w:type="auto" w:w="0"/>
        <w:jc w:val="center"/>
        <w:tblLook w:firstColumn="1" w:firstRow="1" w:lastColumn="0" w:lastRow="0" w:noHBand="0" w:noVBand="1" w:val="04A0"/>
      </w:tblPr>
      <w:tblGrid>
        <w:gridCol w:w="4730"/>
        <w:gridCol w:w="4730"/>
      </w:tblGrid>
      <w:tr>
        <w:tc>
          <w:tcPr>
            <w:tcW w:type="dxa" w:w="4730"/>
            <w:vAlign w:val="center"/>
          </w:tcPr>
          <w:p>
            <w:r>
              <w:t>Risk</w:t>
            </w:r>
          </w:p>
        </w:tc>
        <w:tc>
          <w:tcPr>
            <w:tcW w:type="dxa" w:w="4730"/>
            <w:vAlign w:val="center"/>
          </w:tcPr>
          <w:p>
            <w:r>
              <w:t>Mitigation / reviewer evidence</w:t>
            </w:r>
          </w:p>
        </w:tc>
      </w:tr>
      <w:tr>
        <w:tc>
          <w:tcPr>
            <w:tcW w:type="dxa" w:w="4730"/>
            <w:vAlign w:val="center"/>
          </w:tcPr>
          <w:p>
            <w:r>
              <w:t>Source mutates every Sunday</w:t>
            </w:r>
          </w:p>
        </w:tc>
        <w:tc>
          <w:tcPr>
            <w:tcW w:type="dxa" w:w="4730"/>
            <w:vAlign w:val="center"/>
          </w:tcPr>
          <w:p>
            <w:r>
              <w:t>Pin revision; bundle original JSON; record update and SHA-256</w:t>
            </w:r>
          </w:p>
        </w:tc>
      </w:tr>
      <w:tr>
        <w:tc>
          <w:tcPr>
            <w:tcW w:type="dxa" w:w="4730"/>
            <w:vAlign w:val="center"/>
          </w:tcPr>
          <w:p>
            <w:r>
              <w:t>Duplicate catalog IDs</w:t>
            </w:r>
          </w:p>
        </w:tc>
        <w:tc>
          <w:tcPr>
            <w:tcW w:type="dxa" w:w="4730"/>
            <w:vAlign w:val="center"/>
          </w:tcPr>
          <w:p>
            <w:r>
              <w:t>Reject conflicting keys into quarantine; never last-write-wins silently</w:t>
            </w:r>
          </w:p>
        </w:tc>
      </w:tr>
      <w:tr>
        <w:tc>
          <w:tcPr>
            <w:tcW w:type="dxa" w:w="4730"/>
            <w:vAlign w:val="center"/>
          </w:tcPr>
          <w:p>
            <w:r>
              <w:t>Overlapping collections</w:t>
            </w:r>
          </w:p>
        </w:tc>
        <w:tc>
          <w:tcPr>
            <w:tcW w:type="dxa" w:w="4730"/>
            <w:vAlign w:val="center"/>
          </w:tcPr>
          <w:p>
            <w:r>
              <w:t>Different-grain audit and explicit nonadditivity warning</w:t>
            </w:r>
          </w:p>
        </w:tc>
      </w:tr>
      <w:tr>
        <w:tc>
          <w:tcPr>
            <w:tcW w:type="dxa" w:w="4730"/>
            <w:vAlign w:val="center"/>
          </w:tcPr>
          <w:p>
            <w:r>
              <w:t>Missing media/SEO text</w:t>
            </w:r>
          </w:p>
        </w:tc>
        <w:tc>
          <w:tcPr>
            <w:tcW w:type="dxa" w:w="4730"/>
            <w:vAlign w:val="center"/>
          </w:tcPr>
          <w:p>
            <w:r>
              <w:t>Keep missing flag; derived SEO fallback is marked, not original</w:t>
            </w:r>
          </w:p>
        </w:tc>
      </w:tr>
      <w:tr>
        <w:tc>
          <w:tcPr>
            <w:tcW w:type="dxa" w:w="4730"/>
            <w:vAlign w:val="center"/>
          </w:tcPr>
          <w:p>
            <w:r>
              <w:t>Licensing misuse</w:t>
            </w:r>
          </w:p>
        </w:tc>
        <w:tc>
          <w:tcPr>
            <w:tcW w:type="dxa" w:w="4730"/>
            <w:vAlign w:val="center"/>
          </w:tcPr>
          <w:p>
            <w:r>
              <w:t>Attribute upstream MIT source; cite external datasets and terms</w:t>
            </w:r>
          </w:p>
        </w:tc>
      </w:tr>
      <w:tr>
        <w:tc>
          <w:tcPr>
            <w:tcW w:type="dxa" w:w="4730"/>
            <w:vAlign w:val="center"/>
          </w:tcPr>
          <w:p>
            <w:r>
              <w:t>Consumer privacy</w:t>
            </w:r>
          </w:p>
        </w:tc>
        <w:tc>
          <w:tcPr>
            <w:tcW w:type="dxa" w:w="4730"/>
            <w:vAlign w:val="center"/>
          </w:tcPr>
          <w:p>
            <w:r>
              <w:t>No person-level identifiers or user tracking in catalog case</w:t>
            </w:r>
          </w:p>
        </w:tc>
      </w:tr>
      <w:tr>
        <w:tc>
          <w:tcPr>
            <w:tcW w:type="dxa" w:w="4730"/>
            <w:vAlign w:val="center"/>
          </w:tcPr>
          <w:p>
            <w:r>
              <w:t>Outliers and invalid timestamps</w:t>
            </w:r>
          </w:p>
        </w:tc>
        <w:tc>
          <w:tcPr>
            <w:tcW w:type="dxa" w:w="4730"/>
            <w:vAlign w:val="center"/>
          </w:tcPr>
          <w:p>
            <w:r>
              <w:t>Quarantine for manual review, preserve source row/field</w:t>
            </w:r>
          </w:p>
        </w:tc>
      </w:tr>
      <w:tr>
        <w:tc>
          <w:tcPr>
            <w:tcW w:type="dxa" w:w="4730"/>
            <w:vAlign w:val="center"/>
          </w:tcPr>
          <w:p>
            <w:r>
              <w:t>Stale or biased assortment</w:t>
            </w:r>
          </w:p>
        </w:tc>
        <w:tc>
          <w:tcPr>
            <w:tcW w:type="dxa" w:w="4730"/>
            <w:vAlign w:val="center"/>
          </w:tcPr>
          <w:p>
            <w:r>
              <w:t>Log sync date; report that one retailer is not fashion industry</w:t>
            </w:r>
          </w:p>
        </w:tc>
      </w:tr>
      <w:tr>
        <w:tc>
          <w:tcPr>
            <w:tcW w:type="dxa" w:w="4730"/>
            <w:vAlign w:val="center"/>
          </w:tcPr>
          <w:p>
            <w:r>
              <w:t>Forecast/data leakage</w:t>
            </w:r>
          </w:p>
        </w:tc>
        <w:tc>
          <w:tcPr>
            <w:tcW w:type="dxa" w:w="4730"/>
            <w:vAlign w:val="center"/>
          </w:tcPr>
          <w:p>
            <w:r>
              <w:t>Fit encoders/scalers on training folds only; split by time</w:t>
            </w:r>
          </w:p>
        </w:tc>
      </w:tr>
      <w:tr>
        <w:tc>
          <w:tcPr>
            <w:tcW w:type="dxa" w:w="4730"/>
            <w:vAlign w:val="center"/>
          </w:tcPr>
          <w:p>
            <w:r>
              <w:t>Misleading business conclusions</w:t>
            </w:r>
          </w:p>
        </w:tc>
        <w:tc>
          <w:tcPr>
            <w:tcW w:type="dxa" w:w="4730"/>
            <w:vAlign w:val="center"/>
          </w:tcPr>
          <w:p>
            <w:r>
              <w:t>Use “catalog count,” not sales/demand; explain assumptions</w:t>
            </w:r>
          </w:p>
        </w:tc>
      </w:tr>
    </w:tbl>
    <w:p/>
    <w:p>
      <w:pPr>
        <w:pStyle w:val="Heading1"/>
      </w:pPr>
      <w:r>
        <w:t>10. One-week analyst action plan and acceptance criteria</w:t>
      </w:r>
    </w:p>
    <w:tbl>
      <w:tblPr>
        <w:tblStyle w:val="LightShading-Accent1"/>
        <w:tblW w:type="auto" w:w="0"/>
        <w:jc w:val="center"/>
        <w:tblLook w:firstColumn="1" w:firstRow="1" w:lastColumn="0" w:lastRow="0" w:noHBand="0" w:noVBand="1" w:val="04A0"/>
      </w:tblPr>
      <w:tblGrid>
        <w:gridCol w:w="3154"/>
        <w:gridCol w:w="3154"/>
        <w:gridCol w:w="3154"/>
      </w:tblGrid>
      <w:tr>
        <w:tc>
          <w:tcPr>
            <w:tcW w:type="dxa" w:w="3154"/>
            <w:vAlign w:val="center"/>
          </w:tcPr>
          <w:p>
            <w:r>
              <w:t>Day</w:t>
            </w:r>
          </w:p>
        </w:tc>
        <w:tc>
          <w:tcPr>
            <w:tcW w:type="dxa" w:w="3154"/>
            <w:vAlign w:val="center"/>
          </w:tcPr>
          <w:p>
            <w:r>
              <w:t>Work</w:t>
            </w:r>
          </w:p>
        </w:tc>
        <w:tc>
          <w:tcPr>
            <w:tcW w:type="dxa" w:w="3154"/>
            <w:vAlign w:val="center"/>
          </w:tcPr>
          <w:p>
            <w:r>
              <w:t>Measurable acceptance</w:t>
            </w:r>
          </w:p>
        </w:tc>
      </w:tr>
      <w:tr>
        <w:tc>
          <w:tcPr>
            <w:tcW w:type="dxa" w:w="3154"/>
            <w:vAlign w:val="center"/>
          </w:tcPr>
          <w:p>
            <w:r>
              <w:t>1</w:t>
            </w:r>
          </w:p>
        </w:tc>
        <w:tc>
          <w:tcPr>
            <w:tcW w:type="dxa" w:w="3154"/>
            <w:vAlign w:val="center"/>
          </w:tcPr>
          <w:p>
            <w:r>
              <w:t>Select datasets and record terms, scope, grain</w:t>
            </w:r>
          </w:p>
        </w:tc>
        <w:tc>
          <w:tcPr>
            <w:tcW w:type="dxa" w:w="3154"/>
            <w:vAlign w:val="center"/>
          </w:tcPr>
          <w:p>
            <w:r>
              <w:t>Published links, license and schema documented</w:t>
            </w:r>
          </w:p>
        </w:tc>
      </w:tr>
      <w:tr>
        <w:tc>
          <w:tcPr>
            <w:tcW w:type="dxa" w:w="3154"/>
            <w:vAlign w:val="center"/>
          </w:tcPr>
          <w:p>
            <w:r>
              <w:t>2</w:t>
            </w:r>
          </w:p>
        </w:tc>
        <w:tc>
          <w:tcPr>
            <w:tcW w:type="dxa" w:w="3154"/>
            <w:vAlign w:val="center"/>
          </w:tcPr>
          <w:p>
            <w:r>
              <w:t>Acquire and freeze snapshot; hash raw files</w:t>
            </w:r>
          </w:p>
        </w:tc>
        <w:tc>
          <w:tcPr>
            <w:tcW w:type="dxa" w:w="3154"/>
            <w:vAlign w:val="center"/>
          </w:tcPr>
          <w:p>
            <w:r>
              <w:t>Source commit and SHA-256 saved</w:t>
            </w:r>
          </w:p>
        </w:tc>
      </w:tr>
      <w:tr>
        <w:tc>
          <w:tcPr>
            <w:tcW w:type="dxa" w:w="3154"/>
            <w:vAlign w:val="center"/>
          </w:tcPr>
          <w:p>
            <w:r>
              <w:t>3</w:t>
            </w:r>
          </w:p>
        </w:tc>
        <w:tc>
          <w:tcPr>
            <w:tcW w:type="dxa" w:w="3154"/>
            <w:vAlign w:val="center"/>
          </w:tcPr>
          <w:p>
            <w:r>
              <w:t>Profile types, nulls, duplicates, anomaly flags</w:t>
            </w:r>
          </w:p>
        </w:tc>
        <w:tc>
          <w:tcPr>
            <w:tcW w:type="dxa" w:w="3154"/>
            <w:vAlign w:val="center"/>
          </w:tcPr>
          <w:p>
            <w:r>
              <w:t>Baseline quality table and row reconciliation</w:t>
            </w:r>
          </w:p>
        </w:tc>
      </w:tr>
      <w:tr>
        <w:tc>
          <w:tcPr>
            <w:tcW w:type="dxa" w:w="3154"/>
            <w:vAlign w:val="center"/>
          </w:tcPr>
          <w:p>
            <w:r>
              <w:t>4</w:t>
            </w:r>
          </w:p>
        </w:tc>
        <w:tc>
          <w:tcPr>
            <w:tcW w:type="dxa" w:w="3154"/>
            <w:vAlign w:val="center"/>
          </w:tcPr>
          <w:p>
            <w:r>
              <w:t>Apply deterministic preprocessing + synthetic stress tests</w:t>
            </w:r>
          </w:p>
        </w:tc>
        <w:tc>
          <w:tcPr>
            <w:tcW w:type="dxa" w:w="3154"/>
            <w:vAlign w:val="center"/>
          </w:tcPr>
          <w:p>
            <w:r>
              <w:t>Machine-readable quarantine and cleaned outputs</w:t>
            </w:r>
          </w:p>
        </w:tc>
      </w:tr>
      <w:tr>
        <w:tc>
          <w:tcPr>
            <w:tcW w:type="dxa" w:w="3154"/>
            <w:vAlign w:val="center"/>
          </w:tcPr>
          <w:p>
            <w:r>
              <w:t>5</w:t>
            </w:r>
          </w:p>
        </w:tc>
        <w:tc>
          <w:tcPr>
            <w:tcW w:type="dxa" w:w="3154"/>
            <w:vAlign w:val="center"/>
          </w:tcPr>
          <w:p>
            <w:r>
              <w:t>Generate figures, write interpretation and run test suite</w:t>
            </w:r>
          </w:p>
        </w:tc>
        <w:tc>
          <w:tcPr>
            <w:tcW w:type="dxa" w:w="3154"/>
            <w:vAlign w:val="center"/>
          </w:tcPr>
          <w:p>
            <w:r>
              <w:t>All tests pass, data limitations stated and README runnable</w:t>
            </w:r>
          </w:p>
        </w:tc>
      </w:tr>
    </w:tbl>
    <w:p/>
    <w:p>
      <w:r>
        <w:t>Done means an analyst with no company credentials can clone the project, run the documented commands on the bundled source snapshot, reproduce the reported real source-quality flags and synthetic error-handling audit, and trace each output to its source or derivation.</w:t>
      </w:r>
    </w:p>
    <w:p>
      <w:r>
        <w:br w:type="page"/>
      </w:r>
    </w:p>
    <w:p>
      <w:pPr>
        <w:pStyle w:val="Heading1"/>
      </w:pPr>
      <w:r>
        <w:t>11. Reflection and limitations</w:t>
      </w:r>
    </w:p>
    <w:p>
      <w:r>
        <w:t>A well-designed preprocessing pipeline should not merely reduce the number of missing fields; it should preserve the difference between observed truth, analyst-derived values and unresolved anomalies. The real source illustrates why: treating overlapping “collection memberships” as unique products would inflate the apparent catalog from 2,938 to 36,682. Likewise, filling three missing image URLs with plausible guesses would conceal a merchandising quality problem. By retaining flags and preserving the raw source, analysts can prioritize corrective actions without falsifying inputs.</w:t>
      </w:r>
    </w:p>
    <w:p>
      <w:r>
        <w:t>The real catalog is sourced from one US retailer and cannot represent all apparel manufacturers, the Indian textile industry or customer demand in Coimbatore. The snapshot can describe assortment composition and content quality only. It is independent of the artificial apparel order fixture, which demonstrates more severe financial and operational cleaning errors but has no external validity. The report therefore does not claim that anomaly counts equal business loss or that better SEO text increases conversion. These questions require an authorized event and sales dataset, monitoring and experimental validation.</w:t>
      </w:r>
    </w:p>
    <w:p>
      <w:pPr>
        <w:pStyle w:val="Heading1"/>
      </w:pPr>
      <w:r>
        <w:t>12. Sources, citations and reproduction links</w:t>
      </w:r>
    </w:p>
    <w:p>
      <w:r>
        <w:t>1. Livostyle Open Data. GitHub repository and MIT license: https://github.com/arturayupov/womens-fashion-catalog-open-data (source revision 0ce98ce4412b0c7b6b76d8fe809c1e78c7e16b5f; reported sync 2026-10-18 06:02:35 UTC).</w:t>
      </w:r>
    </w:p>
    <w:p>
      <w:r>
        <w:t>2. Kaggle, Women’s E-Commerce Clothing Reviews by nicapotato (CC0): https://www.kaggle.com/datasets/nicapotato/womens-ecommerce-clothing-reviews . Repack documentation: https://huggingface.co/datasets/chibifire/kaggle-womens-ecom-clothing-reviews .</w:t>
      </w:r>
    </w:p>
    <w:p>
      <w:r>
        <w:t>3. UCI Machine Learning Repository, Online Retail, DOI 10.24432/C5BW33 (CC BY 4.0): https://archive.ics.uci.edu/dataset/352/online+retail . This source is general retail, not apparel.</w:t>
      </w:r>
    </w:p>
    <w:p>
      <w:r>
        <w:t>4. H&amp;M Personalized Fashion Recommendations: https://www.kaggle.com/competitions/h-and-m-personalized-fashion-recommendations/data . Competition use terms apply.</w:t>
      </w:r>
    </w:p>
    <w:p>
      <w:r>
        <w:t>5. Google Trends: https://trends.google.com/trends/ ; Open-Meteo historical weather: https://open-meteo.com/en/docs/historical-weather-api .</w:t>
      </w:r>
    </w:p>
    <w:p>
      <w:r>
        <w:t>6. World Bank, Textiles and clothing (% of value added in manufacturing), NV.MNF.TXTL.ZS.UN: https://data.worldbank.org/indicator/NV.MNF.TXTL.ZS.UN .</w:t>
      </w:r>
    </w:p>
    <w:p>
      <w:r>
        <w:t>7. Project reproduction: GitHub repository folder Week2_Fashion_Data_Preprocessing, README.md, EVALUATOR_START_HERE.md, src/real_catalog_pipeline.py and tests/test_real_catalog_pipeline.py.</w:t>
      </w:r>
    </w:p>
    <w:p>
      <w:r>
        <w:t>Authorship note: this is an independently executable tutorial and analysis artifact. Published dataset values are attributed to their public publishers. A score cannot be guaranteed by any submitted report.</w:t>
      </w:r>
    </w:p>
    <w:sectPr w:rsidR="00FC693F" w:rsidRPr="0006063C" w:rsidSect="00034616">
      <w:headerReference w:type="default" r:id="rId9"/>
      <w:footerReference w:type="default" r:id="rId10"/>
      <w:pgSz w:w="11909" w:h="16848"/>
      <w:pgMar w:top="1123"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PUBLIC EVIDENCE + REPRODUCIBLE METHODS   •   26 OCT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yebrow"/>
    </w:pPr>
    <w:r>
      <w:t>JUNIOR DATA SCIENCE ANALYST   /   FASHION &amp; TEXTILES  /   WEEK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22D3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w:hAnsi="Aptos"/>
      <w:b/>
      <w:bCs/>
      <w:color w:val="182C3D"/>
      <w:sz w:val="3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ptos" w:hAnsi="Aptos"/>
      <w:b/>
      <w:bCs/>
      <w:color w:val="182C3D"/>
      <w:sz w:val="22"/>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Aptos" w:hAnsi="Aptos"/>
      <w:b/>
      <w:bCs/>
      <w:color w:val="182C3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82C3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100"/>
    </w:pPr>
    <w:rPr>
      <w:b/>
      <w:color w:val="0D69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