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f5bba30d1b6c4d6c" /><Relationship Type="http://schemas.openxmlformats.org/package/2006/relationships/metadata/core-properties" Target="/docProps/core.xml" Id="Rcf8ec2c4c98f477c" /><Relationship Type="http://schemas.openxmlformats.org/officeDocument/2006/relationships/extended-properties" Target="/docProps/app.xml" Id="R29cc882b394d4cea" /><Relationship Type="http://schemas.openxmlformats.org/officeDocument/2006/relationships/custom-properties" Target="/docProps/custom.xml" Id="Rc711a30b4e6549dd"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sz w:val="44"/>
        </w:rPr>
        <w:t xml:space="preserve">HR Employee Attrition – Business Intelligence Dashboard</w:t>
      </w:r>
    </w:p>
    <w:p w14:paraId="00100002" w14:textId="00100003">
      <w:pPr>
        <w:spacing w:after="400"/>
        <w:jc w:val="center"/>
      </w:pPr>
      <w:r>
        <w:rPr>
          <w:color w:val="57606A"/>
          <w:sz w:val="22"/>
        </w:rPr>
        <w:t xml:space="preserve">Project Report | IBM HR Analytics | IBM Internship Project</w:t>
      </w:r>
    </w:p>
    <w:p w14:paraId="00100004" w14:textId="00100005">
      <w:pPr>
        <w:pStyle w:val="Heading1"/>
        <w:spacing w:before="280" w:after="120"/>
      </w:pPr>
      <w:r>
        <w:rPr>
          <w:b/>
          <w:sz w:val="32"/>
        </w:rPr>
        <w:t xml:space="preserve">1. Executive Summary</w:t>
      </w:r>
    </w:p>
    <w:p w14:paraId="00100006" w14:textId="00100007">
      <w:pPr>
        <w:spacing w:after="160"/>
      </w:pPr>
      <w:r>
        <w:rPr>
          <w:sz w:val="22"/>
        </w:rPr>
        <w:t xml:space="preserve">This project delivers a fully interactive Business Intelligence (BI) dashboard for Human Resources (HR) attrition analysis, built on the IBM HR Analytics Employee Attrition &amp; Performance dataset. The dashboard enables HR managers and business stakeholders to identify key drivers of employee attrition, monitor workforce health in real time, and formulate targeted retention strategies. The application is built using Plotly Dash, a Python web framework, and is packaged as a single Python file (app.py) requiring no external web server for local execution.</w:t>
      </w:r>
    </w:p>
    <w:p w14:paraId="00100008" w14:textId="00100009">
      <w:pPr>
        <w:pStyle w:val="Heading1"/>
        <w:spacing w:before="280" w:after="120"/>
      </w:pPr>
      <w:r>
        <w:rPr>
          <w:b/>
          <w:sz w:val="32"/>
        </w:rPr>
        <w:t xml:space="preserve">2. Dataset Overview</w:t>
      </w:r>
    </w:p>
    <w:p w14:paraId="0010000A" w14:textId="0010000B">
      <w:pPr>
        <w:spacing w:after="80"/>
      </w:pPr>
      <w:r>
        <w:rPr>
          <w:sz w:val="22"/>
        </w:rPr>
        <w:t xml:space="preserve">Source: IBM HR Analytics Employee Attrition &amp; Performance (publicly available via Kaggle).</w:t>
      </w:r>
    </w:p>
    <w:p w14:paraId="0010000C" w14:textId="0010000D">
      <w:pPr>
        <w:spacing w:after="80"/>
      </w:pPr>
      <w:r>
        <w:rPr>
          <w:sz w:val="22"/>
        </w:rPr>
        <w:t xml:space="preserve">Records: 1,470 employees | Columns: 35 features</w:t>
      </w:r>
    </w:p>
    <w:p w14:paraId="0010000E" w14:textId="0010000F">
      <w:pPr>
        <w:spacing w:after="80"/>
      </w:pPr>
      <w:r>
        <w:rPr>
          <w:sz w:val="22"/>
        </w:rPr>
        <w:t xml:space="preserve">Key fields used in the dashboard:</w:t>
      </w:r>
    </w:p>
    <w:p w14:paraId="00100010" w14:textId="00100011">
      <w:pPr>
        <w:spacing w:after="160"/>
      </w:pPr>
      <w:r>
        <w:rPr>
          <w:sz w:val="22"/>
        </w:rPr>
        <w:t xml:space="preserve">Attrition, Age, Department, JobRole, MonthlyIncome, OverTime, JobSatisfaction, EnvironmentSatisfaction, WorkLifeBalance, MaritalStatus, BusinessTravel, YearsAtCompany, JobLevel, Gender.</w:t>
      </w:r>
    </w:p>
    <w:p w14:paraId="00100012" w14:textId="00100013">
      <w:pPr>
        <w:pStyle w:val="Heading1"/>
        <w:spacing w:before="280" w:after="120"/>
      </w:pPr>
      <w:r>
        <w:rPr>
          <w:b/>
          <w:sz w:val="32"/>
        </w:rPr>
        <w:t xml:space="preserve">3. Key Performance Indicators (KPIs)</w:t>
      </w:r>
    </w:p>
    <w:p w14:paraId="00100014" w14:textId="00100015">
      <w:pPr>
        <w:spacing w:after="120"/>
      </w:pPr>
      <w:r>
        <w:rPr>
          <w:sz w:val="22"/>
        </w:rPr>
        <w:t xml:space="preserve">The following KPIs are displayed prominently at the top of the dashboard and update dynamically when filters are applied:</w:t>
      </w:r>
    </w:p>
    <w:p w14:paraId="00100084" w14:textId="00100085">
      <w:pPr>
        <w:spacing w:after="40"/>
      </w:pPr>
      <w:r>
        <w:rPr>
          <w:b/>
          <w:sz w:val="22"/>
        </w:rPr>
        <w:t xml:space="preserve">KPI | Description | Business Value</w:t>
      </w:r>
    </w:p>
    <w:p w14:paraId="00100086" w14:textId="00100087">
      <w:pPr>
        <w:spacing w:after="40"/>
      </w:pPr>
      <w:r>
        <w:rPr>
          <w:sz w:val="22"/>
        </w:rPr>
        <w:t xml:space="preserve">Total Employees | Count of all employees in the filtered view | Establishes workforce baseline</w:t>
      </w:r>
    </w:p>
    <w:p w14:paraId="00100088" w14:textId="00100089">
      <w:pPr>
        <w:spacing w:after="40"/>
      </w:pPr>
      <w:r>
        <w:rPr>
          <w:sz w:val="22"/>
        </w:rPr>
        <w:t xml:space="preserve">Attrited Count | Number of employees who left (Attrition = Yes) | Absolute headcount impact of turnover</w:t>
      </w:r>
    </w:p>
    <w:p w14:paraId="0010008A" w14:textId="0010008B">
      <w:pPr>
        <w:spacing w:after="40"/>
      </w:pPr>
      <w:r>
        <w:rPr>
          <w:sz w:val="22"/>
        </w:rPr>
        <w:t xml:space="preserve">Attrition Rate (%) | Attrited / Total × 100 | Primary HR health metric; industry benchmark ~10–15%</w:t>
      </w:r>
    </w:p>
    <w:p w14:paraId="0010008C" w14:textId="0010008D">
      <w:pPr>
        <w:spacing w:after="40"/>
      </w:pPr>
      <w:r>
        <w:rPr>
          <w:sz w:val="22"/>
        </w:rPr>
        <w:t xml:space="preserve">Avg Monthly Income | Mean monthly income across the filtered cohort | Compensation context for attrition risk</w:t>
      </w:r>
    </w:p>
    <w:p w14:paraId="0010008E" w14:textId="0010008F">
      <w:pPr>
        <w:spacing w:after="40"/>
      </w:pPr>
      <w:r>
        <w:rPr>
          <w:sz w:val="22"/>
        </w:rPr>
        <w:t xml:space="preserve">Avg Tenure (yrs) | Mean years at company in the filtered view | Indicates workforce stability and loyalty</w:t>
      </w:r>
    </w:p>
    <w:p w14:paraId="00100090" w14:textId="00100091">
      <w:pPr>
        <w:spacing w:after="160"/>
      </w:pPr>
      <w:r>
        <w:rPr>
          <w:sz w:val="22"/>
        </w:rPr>
        <w:t xml:space="preserve">Avg Age | Mean age of employees in the filtered view | Workforce age profile for succession planning</w:t>
      </w:r>
    </w:p>
    <w:p w14:paraId="00100018" w14:textId="00100019">
      <w:pPr>
        <w:pStyle w:val="Heading1"/>
        <w:spacing w:before="280" w:after="120"/>
      </w:pPr>
      <w:r>
        <w:rPr>
          <w:b/>
          <w:sz w:val="32"/>
        </w:rPr>
        <w:t xml:space="preserve">4. Business Insights</w:t>
      </w:r>
    </w:p>
    <w:p w14:paraId="0010001A" w14:textId="0010001B">
      <w:pPr>
        <w:pStyle w:val="Heading2"/>
        <w:spacing w:before="200" w:after="80"/>
      </w:pPr>
      <w:r>
        <w:rPr>
          <w:b/>
          <w:sz w:val="26"/>
        </w:rPr>
        <w:t xml:space="preserve">4.1 Overtime is the Strongest Attrition Predictor</w:t>
      </w:r>
    </w:p>
    <w:p w14:paraId="0010001C" w14:textId="0010001D">
      <w:pPr>
        <w:spacing w:after="160"/>
      </w:pPr>
      <w:r>
        <w:rPr>
          <w:sz w:val="22"/>
        </w:rPr>
        <w:t xml:space="preserve">Employees who work overtime exhibit an attrition rate of approximately 30.5%, nearly three times higher than those who do not work overtime (~10.4%). This is the single most influential binary feature in the dataset and should be the primary target for HR intervention through workload redistribution and compensation review.</w:t>
      </w:r>
    </w:p>
    <w:p w14:paraId="0010001E" w14:textId="0010001F">
      <w:pPr>
        <w:pStyle w:val="Heading2"/>
        <w:spacing w:before="200" w:after="80"/>
      </w:pPr>
      <w:r>
        <w:rPr>
          <w:b/>
          <w:sz w:val="26"/>
        </w:rPr>
        <w:t xml:space="preserve">4.2 Sales Department Has the Highest Attrition</w:t>
      </w:r>
    </w:p>
    <w:p w14:paraId="00100020" w14:textId="00100021">
      <w:pPr>
        <w:spacing w:after="160"/>
      </w:pPr>
      <w:r>
        <w:rPr>
          <w:sz w:val="22"/>
        </w:rPr>
        <w:t xml:space="preserve">The Sales department records the highest absolute and relative attrition. Sales Representatives specifically show an attrition rate exceeding 39%, making this role the highest-risk position in the organisation. Root causes likely include commission-based pressure, frequent travel requirements, and high target stress.</w:t>
      </w:r>
    </w:p>
    <w:p w14:paraId="001000A0" w14:textId="001000A1">
      <w:pPr>
        <w:spacing w:before="80" w:after="200"/>
        <w:jc w:val="center"/>
      </w:pPr>
      <w:r>
        <w:rPr>
          <w:color w:val="57606A"/>
          <w:sz w:val="19"/>
        </w:rPr>
        <w:t xml:space="preserve">Figure 1: Overtime vs Attrition (left) shows employees working overtime have a 27.5% attrition rate versus only 9.41% for non-overtime staff — nearly 3× higher risk. Attrition Rate by Job Role (right) confirms Sales Representatives carry the highest role-level attrition at 33.3%, followed by Laboratory Technicians at 21.1%.</w:t>
      </w:r>
    </w:p>
    <w:p w14:paraId="0010009E" w14:textId="0010009F">
      <w:pPr>
        <w:spacing w:line="240" w:lineRule="auto"/>
      </w:pPr>
      <w:r>
        <w:rPr/>
        <w:drawing>
          <wp:inline distT="0" distB="0" distL="0" distR="0">
            <wp:extent cx="5400000" cy="2024638"/>
            <wp:effectExtent l="0" t="0" r="0" b="0"/>
            <wp:docPr id="1" name="2.png" descr=""/>
            <wp:cNvGraphicFramePr>
              <a:graphicFrameLocks noChangeAspect="1"/>
            </wp:cNvGraphicFramePr>
            <a:graphic>
              <a:graphicData uri="http://schemas.openxmlformats.org/drawingml/2006/picture">
                <pic:pic>
                  <pic:nvPicPr>
                    <pic:cNvPr id="1" name="2.png"/>
                    <pic:cNvPicPr/>
                  </pic:nvPicPr>
                  <pic:blipFill>
                    <a:blip r:embed="R4ace1c48ec834196" cstate="print"/>
                    <a:stretch>
                      <a:fillRect/>
                    </a:stretch>
                  </pic:blipFill>
                  <pic:spPr>
                    <a:xfrm>
                      <a:off x="0" y="0"/>
                      <a:ext cx="5400000" cy="2024638"/>
                    </a:xfrm>
                    <a:prstGeom prst="rect">
                      <a:avLst/>
                    </a:prstGeom>
                  </pic:spPr>
                </pic:pic>
              </a:graphicData>
            </a:graphic>
          </wp:inline>
        </w:drawing>
      </w:r>
    </w:p>
    <w:p w14:paraId="00100022" w14:textId="00100023">
      <w:pPr>
        <w:pStyle w:val="Heading2"/>
        <w:spacing w:before="200" w:after="80"/>
      </w:pPr>
      <w:r>
        <w:rPr>
          <w:b/>
          <w:sz w:val="26"/>
        </w:rPr>
        <w:t xml:space="preserve">4.3 Young Employees (18–25) Leave at the Highest Rate</w:t>
      </w:r>
    </w:p>
    <w:p w14:paraId="00100024" w14:textId="00100025">
      <w:pPr>
        <w:spacing w:after="160"/>
      </w:pPr>
      <w:r>
        <w:rPr>
          <w:sz w:val="22"/>
        </w:rPr>
        <w:t xml:space="preserve">The 18–25 age band exhibits the highest attrition rate across all age groups. This cohort typically consists of entry-level employees who may leave due to lack of career progression, low compensation relative to expectations, or better opportunities elsewhere. Early-career mentoring and fast-track programmes are recommended.</w:t>
      </w:r>
    </w:p>
    <w:p w14:paraId="00100026" w14:textId="00100027">
      <w:pPr>
        <w:pStyle w:val="Heading2"/>
        <w:spacing w:before="200" w:after="80"/>
      </w:pPr>
      <w:r>
        <w:rPr>
          <w:b/>
          <w:sz w:val="26"/>
        </w:rPr>
        <w:t xml:space="preserve">4.4 Low Income Correlates Strongly with Leaving</w:t>
      </w:r>
    </w:p>
    <w:p w14:paraId="00100028" w14:textId="00100029">
      <w:pPr>
        <w:spacing w:after="160"/>
      </w:pPr>
      <w:r>
        <w:rPr>
          <w:sz w:val="22"/>
        </w:rPr>
        <w:t xml:space="preserve">Box plot analysis reveals that employees who left (Attrition = Yes) had a notably lower median monthly income than retained employees. The median income for attrited employees is approximately $4,787 vs $6,833 for retained employees. Salary benchmarking and targeted raises for at-risk roles are key levers.</w:t>
      </w:r>
    </w:p>
    <w:p w14:paraId="0010002A" w14:textId="0010002B">
      <w:pPr>
        <w:pStyle w:val="Heading2"/>
        <w:spacing w:before="200" w:after="80"/>
      </w:pPr>
      <w:r>
        <w:rPr>
          <w:b/>
          <w:sz w:val="26"/>
        </w:rPr>
        <w:t xml:space="preserve">4.5 Single Employees Leave More Than Married or Divorced</w:t>
      </w:r>
    </w:p>
    <w:p w14:paraId="0010002C" w14:textId="0010002D">
      <w:pPr>
        <w:spacing w:after="160"/>
      </w:pPr>
      <w:r>
        <w:rPr>
          <w:sz w:val="22"/>
        </w:rPr>
        <w:t xml:space="preserve">Single employees account for the largest share of attrition across all marital status categories, likely due to lower anchoring to location, greater mobility, and fewer domestic constraints. Retention incentives such as relocation support and engagement programmes may be effective for this group.</w:t>
      </w:r>
    </w:p>
    <w:p w14:paraId="001000A8" w14:textId="001000A9">
      <w:pPr>
        <w:spacing w:before="80" w:after="200"/>
        <w:jc w:val="center"/>
      </w:pPr>
      <w:r>
        <w:rPr>
          <w:color w:val="57606A"/>
          <w:sz w:val="19"/>
        </w:rPr>
        <w:t xml:space="preserve">Figure 3: Attrition by Marital Status (left) confirms Single employees leave at the highest rate. Business Travel Frequency (centre) shows Travel_Frequently employees have the highest attrition count. Work-Life Balance vs Attrition (right) indicates employees rating their balance as 'Better' still show elevated exits, suggesting perception gaps between reported satisfaction and actual workload.</w:t>
      </w:r>
    </w:p>
    <w:p w14:paraId="001000A6" w14:textId="001000A7">
      <w:pPr>
        <w:spacing w:line="240" w:lineRule="auto"/>
      </w:pPr>
      <w:r>
        <w:rPr/>
        <w:drawing>
          <wp:inline distT="0" distB="0" distL="0" distR="0">
            <wp:extent cx="5400000" cy="2005221"/>
            <wp:effectExtent l="0" t="0" r="0" b="0"/>
            <wp:docPr id="3" name="4.png" descr=""/>
            <wp:cNvGraphicFramePr>
              <a:graphicFrameLocks noChangeAspect="1"/>
            </wp:cNvGraphicFramePr>
            <a:graphic>
              <a:graphicData uri="http://schemas.openxmlformats.org/drawingml/2006/picture">
                <pic:pic>
                  <pic:nvPicPr>
                    <pic:cNvPr id="3" name="4.png"/>
                    <pic:cNvPicPr/>
                  </pic:nvPicPr>
                  <pic:blipFill>
                    <a:blip r:embed="Rf1d3e9b501104f85" cstate="print"/>
                    <a:stretch>
                      <a:fillRect/>
                    </a:stretch>
                  </pic:blipFill>
                  <pic:spPr>
                    <a:xfrm>
                      <a:off x="0" y="0"/>
                      <a:ext cx="5400000" cy="2005221"/>
                    </a:xfrm>
                    <a:prstGeom prst="rect">
                      <a:avLst/>
                    </a:prstGeom>
                  </pic:spPr>
                </pic:pic>
              </a:graphicData>
            </a:graphic>
          </wp:inline>
        </w:drawing>
      </w:r>
    </w:p>
    <w:p w14:paraId="0010002E" w14:textId="0010002F">
      <w:pPr>
        <w:pStyle w:val="Heading2"/>
        <w:spacing w:before="200" w:after="80"/>
      </w:pPr>
      <w:r>
        <w:rPr>
          <w:b/>
          <w:sz w:val="26"/>
        </w:rPr>
        <w:t xml:space="preserve">4.6 Frequent Travellers Are More Likely to Leave</w:t>
      </w:r>
    </w:p>
    <w:p w14:paraId="00100030" w14:textId="00100031">
      <w:pPr>
        <w:spacing w:after="160"/>
      </w:pPr>
      <w:r>
        <w:rPr>
          <w:sz w:val="22"/>
        </w:rPr>
        <w:t xml:space="preserve">Employees categorised as Travel_Frequently have a significantly higher attrition rate than those who Travel_Rarely or Non-Travel employees. Travel fatigue and work-life balance degradation are likely contributors. Remote or hybrid work options for frequent travellers may reduce attrition.</w:t>
      </w:r>
    </w:p>
    <w:p w14:paraId="00100032" w14:textId="00100033">
      <w:pPr>
        <w:pStyle w:val="Heading2"/>
        <w:spacing w:before="200" w:after="80"/>
      </w:pPr>
      <w:r>
        <w:rPr>
          <w:b/>
          <w:sz w:val="26"/>
        </w:rPr>
        <w:t xml:space="preserve">4.7 Low Job Satisfaction Drives Exits</w:t>
      </w:r>
    </w:p>
    <w:p w14:paraId="00100034" w14:textId="00100035">
      <w:pPr>
        <w:spacing w:after="160"/>
      </w:pPr>
      <w:r>
        <w:rPr>
          <w:sz w:val="22"/>
        </w:rPr>
        <w:t xml:space="preserve">Employees who rated their Job Satisfaction as 'Low' (1/4) show the highest attrition counts. Regular pulse surveys, transparent promotion pathways, and manager effectiveness training are recommended to improve satisfaction scores for the at-risk segments.</w:t>
      </w:r>
    </w:p>
    <w:p w14:paraId="001000A4" w14:textId="001000A5">
      <w:pPr>
        <w:spacing w:before="80" w:after="200"/>
        <w:jc w:val="center"/>
      </w:pPr>
      <w:r>
        <w:rPr>
          <w:color w:val="57606A"/>
          <w:sz w:val="19"/>
        </w:rPr>
        <w:t xml:space="preserve">Figure 2: Monthly Income Distribution (left) shows attrited employees have a substantially lower income median (~$4,787) compared to retained staff (~$6,833), confirming compensation as a key attrition driver. Job Satisfaction vs Attrition (right) reveals that Low-satisfaction employees account for a disproportionately high share of exits relative to their population.</w:t>
      </w:r>
    </w:p>
    <w:p w14:paraId="001000A2" w14:textId="001000A3">
      <w:pPr>
        <w:spacing w:line="240" w:lineRule="auto"/>
      </w:pPr>
      <w:r>
        <w:rPr/>
        <w:drawing>
          <wp:inline distT="0" distB="0" distL="0" distR="0">
            <wp:extent cx="5400000" cy="2002344"/>
            <wp:effectExtent l="0" t="0" r="0" b="0"/>
            <wp:docPr id="2" name="3.png" descr=""/>
            <wp:cNvGraphicFramePr>
              <a:graphicFrameLocks noChangeAspect="1"/>
            </wp:cNvGraphicFramePr>
            <a:graphic>
              <a:graphicData uri="http://schemas.openxmlformats.org/drawingml/2006/picture">
                <pic:pic>
                  <pic:nvPicPr>
                    <pic:cNvPr id="2" name="3.png"/>
                    <pic:cNvPicPr/>
                  </pic:nvPicPr>
                  <pic:blipFill>
                    <a:blip r:embed="R70b3bc5387734220" cstate="print"/>
                    <a:stretch>
                      <a:fillRect/>
                    </a:stretch>
                  </pic:blipFill>
                  <pic:spPr>
                    <a:xfrm>
                      <a:off x="0" y="0"/>
                      <a:ext cx="5400000" cy="2002344"/>
                    </a:xfrm>
                    <a:prstGeom prst="rect">
                      <a:avLst/>
                    </a:prstGeom>
                  </pic:spPr>
                </pic:pic>
              </a:graphicData>
            </a:graphic>
          </wp:inline>
        </w:drawing>
      </w:r>
    </w:p>
    <w:p w14:paraId="00100036" w14:textId="00100037">
      <w:pPr>
        <w:pStyle w:val="Heading2"/>
        <w:spacing w:before="200" w:after="80"/>
      </w:pPr>
      <w:r>
        <w:rPr>
          <w:b/>
          <w:sz w:val="26"/>
        </w:rPr>
        <w:t xml:space="preserve">4.8 Early Tenure (0–3 Years) Is the Highest-Risk Period</w:t>
      </w:r>
    </w:p>
    <w:p w14:paraId="00100038" w14:textId="00100039">
      <w:pPr>
        <w:spacing w:after="160"/>
      </w:pPr>
      <w:r>
        <w:rPr>
          <w:sz w:val="22"/>
        </w:rPr>
        <w:t xml:space="preserve">The heatmap of Years at Company vs Job Level reveals that the highest attrition concentration occurs in the first 1–3 years of employment, particularly at Job Levels 1 and 2. A structured 90-day onboarding programme and 12-month buddy system are strongly recommended.</w:t>
      </w:r>
    </w:p>
    <w:p w14:paraId="001000AC" w14:textId="001000AD">
      <w:pPr>
        <w:spacing w:before="80" w:after="200"/>
        <w:jc w:val="center"/>
      </w:pPr>
      <w:r>
        <w:rPr>
          <w:color w:val="57606A"/>
          <w:sz w:val="19"/>
        </w:rPr>
        <w:t xml:space="preserve">Figure 4: Attrition Heatmap (Years at Company × Job Level). The darkest cells are concentrated in the top-left corner — Job Level 1 employees with 0–5 years tenure carry the greatest attrition risk. Intensity drops sharply beyond 10 years and above Job Level 3, indicating experienced, senior employees are significantly more stable.</w:t>
      </w:r>
    </w:p>
    <w:p w14:paraId="001000AA" w14:textId="001000AB">
      <w:pPr>
        <w:spacing w:line="240" w:lineRule="auto"/>
      </w:pPr>
      <w:r>
        <w:rPr/>
        <w:drawing>
          <wp:inline distT="0" distB="0" distL="0" distR="0">
            <wp:extent cx="5400000" cy="2044884"/>
            <wp:effectExtent l="0" t="0" r="0" b="0"/>
            <wp:docPr id="4" name="5.png" descr=""/>
            <wp:cNvGraphicFramePr>
              <a:graphicFrameLocks noChangeAspect="1"/>
            </wp:cNvGraphicFramePr>
            <a:graphic>
              <a:graphicData uri="http://schemas.openxmlformats.org/drawingml/2006/picture">
                <pic:pic>
                  <pic:nvPicPr>
                    <pic:cNvPr id="4" name="5.png"/>
                    <pic:cNvPicPr/>
                  </pic:nvPicPr>
                  <pic:blipFill>
                    <a:blip r:embed="R9a1aace466294f08" cstate="print"/>
                    <a:stretch>
                      <a:fillRect/>
                    </a:stretch>
                  </pic:blipFill>
                  <pic:spPr>
                    <a:xfrm>
                      <a:off x="0" y="0"/>
                      <a:ext cx="5400000" cy="2044884"/>
                    </a:xfrm>
                    <a:prstGeom prst="rect">
                      <a:avLst/>
                    </a:prstGeom>
                  </pic:spPr>
                </pic:pic>
              </a:graphicData>
            </a:graphic>
          </wp:inline>
        </w:drawing>
      </w:r>
    </w:p>
    <w:p w14:paraId="0010003A" w14:textId="0010003B">
      <w:pPr>
        <w:pStyle w:val="Heading1"/>
        <w:spacing w:before="280" w:after="120"/>
      </w:pPr>
      <w:r>
        <w:rPr>
          <w:b/>
          <w:sz w:val="32"/>
        </w:rPr>
        <w:t xml:space="preserve">5. Dashboard UI Layout</w:t>
      </w:r>
    </w:p>
    <w:p w14:paraId="0010003C" w14:textId="0010003D">
      <w:pPr>
        <w:spacing w:after="120"/>
      </w:pPr>
      <w:r>
        <w:rPr>
          <w:sz w:val="22"/>
        </w:rPr>
        <w:t xml:space="preserve">The dashboard is a single-page web application structured as follows:</w:t>
      </w:r>
    </w:p>
    <w:p w14:paraId="001000B0" w14:textId="001000B1">
      <w:pPr>
        <w:spacing w:before="80" w:after="200"/>
        <w:jc w:val="center"/>
      </w:pPr>
      <w:r>
        <w:rPr>
          <w:color w:val="57606A"/>
          <w:sz w:val="19"/>
        </w:rPr>
        <w:t xml:space="preserve">Figure 5: Full HR Employee Attrition Dashboard — showing the filter controls (Department, Gender, Age Range), 6 live KPI cards (Total Employees: 1,373 | Attrited: 199 | Attrition Rate: 14.49% | Avg Income: $6,775 | Avg Tenure: 7.4 yrs | Avg Age: 38), and the first two chart rows (Attrition by Department and Attrition by Age Band). All elements update in real time when filters are applied.</w:t>
      </w:r>
    </w:p>
    <w:p w14:paraId="001000AE" w14:textId="001000AF">
      <w:pPr>
        <w:spacing w:line="240" w:lineRule="auto"/>
      </w:pPr>
      <w:r>
        <w:rPr/>
        <w:drawing>
          <wp:inline distT="0" distB="0" distL="0" distR="0">
            <wp:extent cx="5400000" cy="2449602"/>
            <wp:effectExtent l="0" t="0" r="0" b="0"/>
            <wp:docPr id="5" name="_1.png" descr=""/>
            <wp:cNvGraphicFramePr>
              <a:graphicFrameLocks noChangeAspect="1"/>
            </wp:cNvGraphicFramePr>
            <a:graphic>
              <a:graphicData uri="http://schemas.openxmlformats.org/drawingml/2006/picture">
                <pic:pic>
                  <pic:nvPicPr>
                    <pic:cNvPr id="5" name="_1.png"/>
                    <pic:cNvPicPr/>
                  </pic:nvPicPr>
                  <pic:blipFill>
                    <a:blip r:embed="R8eeb8334eb8d4b72" cstate="print"/>
                    <a:stretch>
                      <a:fillRect/>
                    </a:stretch>
                  </pic:blipFill>
                  <pic:spPr>
                    <a:xfrm>
                      <a:off x="0" y="0"/>
                      <a:ext cx="5400000" cy="2449602"/>
                    </a:xfrm>
                    <a:prstGeom prst="rect">
                      <a:avLst/>
                    </a:prstGeom>
                  </pic:spPr>
                </pic:pic>
              </a:graphicData>
            </a:graphic>
          </wp:inline>
        </w:drawing>
      </w:r>
    </w:p>
    <w:p w14:paraId="0010003E" w14:textId="0010003F">
      <w:pPr>
        <w:pStyle w:val="Heading2"/>
        <w:spacing w:before="200" w:after="80"/>
      </w:pPr>
      <w:r>
        <w:rPr>
          <w:b/>
          <w:sz w:val="26"/>
        </w:rPr>
        <w:t xml:space="preserve">Section A – Header</w:t>
      </w:r>
    </w:p>
    <w:p w14:paraId="00100040" w14:textId="00100041">
      <w:pPr>
        <w:spacing w:after="120"/>
      </w:pPr>
      <w:r>
        <w:rPr>
          <w:sz w:val="22"/>
        </w:rPr>
        <w:t xml:space="preserve">Title bar: 'HR Employee Attrition Dashboard'. Subtitle: 'IBM HR Analytics · Powered by Plotly Dash'. Displayed full-width at the top.</w:t>
      </w:r>
    </w:p>
    <w:p w14:paraId="00100042" w14:textId="00100043">
      <w:pPr>
        <w:pStyle w:val="Heading2"/>
        <w:spacing w:before="200" w:after="80"/>
      </w:pPr>
      <w:r>
        <w:rPr>
          <w:b/>
          <w:sz w:val="26"/>
        </w:rPr>
        <w:t xml:space="preserve">Section B – Global Filters</w:t>
      </w:r>
    </w:p>
    <w:p w14:paraId="00100044" w14:textId="00100045">
      <w:pPr>
        <w:spacing w:after="120"/>
      </w:pPr>
      <w:r>
        <w:rPr>
          <w:sz w:val="22"/>
        </w:rPr>
        <w:t xml:space="preserve">Three interactive controls that cascade across all charts and KPIs: (1) Department dropdown, (2) Gender dropdown, (3) Age Range slider (18–60). All visualisations and KPIs respond in real time.</w:t>
      </w:r>
    </w:p>
    <w:p w14:paraId="00100046" w14:textId="00100047">
      <w:pPr>
        <w:pStyle w:val="Heading2"/>
        <w:spacing w:before="200" w:after="80"/>
      </w:pPr>
      <w:r>
        <w:rPr>
          <w:b/>
          <w:sz w:val="26"/>
        </w:rPr>
        <w:t xml:space="preserve">Section C – KPI Strip (6 Cards)</w:t>
      </w:r>
    </w:p>
    <w:p w14:paraId="00100048" w14:textId="00100049">
      <w:pPr>
        <w:spacing w:after="120"/>
      </w:pPr>
      <w:r>
        <w:rPr>
          <w:sz w:val="22"/>
        </w:rPr>
        <w:t xml:space="preserve">Six KPI cards displayed in a horizontal row: Total Employees, Attrited Count, Attrition Rate (%), Avg Monthly Income, Avg Tenure (years), Avg Age. Each card is colour-coded (dark, red, amber, green, teal, blue).</w:t>
      </w:r>
    </w:p>
    <w:p w14:paraId="0010004A" w14:textId="0010004B">
      <w:pPr>
        <w:pStyle w:val="Heading2"/>
        <w:spacing w:before="200" w:after="80"/>
      </w:pPr>
      <w:r>
        <w:rPr>
          <w:b/>
          <w:sz w:val="26"/>
        </w:rPr>
        <w:t xml:space="preserve">Section D – Row 1: Department &amp; Age Charts</w:t>
      </w:r>
    </w:p>
    <w:p w14:paraId="0010004C" w14:textId="0010004D">
      <w:pPr>
        <w:spacing w:after="120"/>
      </w:pPr>
      <w:r>
        <w:rPr>
          <w:sz w:val="22"/>
        </w:rPr>
        <w:t xml:space="preserve">Left (50%): Grouped bar chart — Attrition by Department (Yes/No). Right (50%): Stacked bar chart — Attrition by Age Band (18-25, 26-35, 36-45, 46-55, 55+).</w:t>
      </w:r>
    </w:p>
    <w:p w14:paraId="0010004E" w14:textId="0010004F">
      <w:pPr>
        <w:pStyle w:val="Heading2"/>
        <w:spacing w:before="200" w:after="80"/>
      </w:pPr>
      <w:r>
        <w:rPr>
          <w:b/>
          <w:sz w:val="26"/>
        </w:rPr>
        <w:t xml:space="preserve">Section E – Row 2: Overtime &amp; Job Role</w:t>
      </w:r>
    </w:p>
    <w:p w14:paraId="00100050" w14:textId="00100051">
      <w:pPr>
        <w:spacing w:after="120"/>
      </w:pPr>
      <w:r>
        <w:rPr>
          <w:sz w:val="22"/>
        </w:rPr>
        <w:t xml:space="preserve">Left (42%): Donut pie chart — Overtime Yes/No faceted by attrition. Right (58%): Horizontal bar chart — Attrition Rate % by Job Role, colour-scaled by severity (red gradient).</w:t>
      </w:r>
    </w:p>
    <w:p w14:paraId="00100052" w14:textId="00100053">
      <w:pPr>
        <w:pStyle w:val="Heading2"/>
        <w:spacing w:before="200" w:after="80"/>
      </w:pPr>
      <w:r>
        <w:rPr>
          <w:b/>
          <w:sz w:val="26"/>
        </w:rPr>
        <w:t xml:space="preserve">Section F – Row 3: Income Distribution &amp; Job Satisfaction</w:t>
      </w:r>
    </w:p>
    <w:p w14:paraId="00100054" w14:textId="00100055">
      <w:pPr>
        <w:spacing w:after="120"/>
      </w:pPr>
      <w:r>
        <w:rPr>
          <w:sz w:val="22"/>
        </w:rPr>
        <w:t xml:space="preserve">Left (50%): Box plot — Monthly Income distribution split by Attrition (Yes = red, No = green). Right (50%): Grouped bar chart — Job Satisfaction level vs Attrition count.</w:t>
      </w:r>
    </w:p>
    <w:p w14:paraId="00100056" w14:textId="00100057">
      <w:pPr>
        <w:pStyle w:val="Heading2"/>
        <w:spacing w:before="200" w:after="80"/>
      </w:pPr>
      <w:r>
        <w:rPr>
          <w:b/>
          <w:sz w:val="26"/>
        </w:rPr>
        <w:t xml:space="preserve">Section G – Row 4: Marital Status, Travel, Work-Life Balance</w:t>
      </w:r>
    </w:p>
    <w:p w14:paraId="00100058" w14:textId="00100059">
      <w:pPr>
        <w:spacing w:after="120"/>
      </w:pPr>
      <w:r>
        <w:rPr>
          <w:sz w:val="22"/>
        </w:rPr>
        <w:t xml:space="preserve">Three equal-width cards: (1) Stacked bar by Marital Status. (2) Grouped bar by Business Travel frequency. (3) Grouped bar by Work-Life Balance rating (Bad / Good / Better / Best).</w:t>
      </w:r>
    </w:p>
    <w:p w14:paraId="0010005A" w14:textId="0010005B">
      <w:pPr>
        <w:pStyle w:val="Heading2"/>
        <w:spacing w:before="200" w:after="80"/>
      </w:pPr>
      <w:r>
        <w:rPr>
          <w:b/>
          <w:sz w:val="26"/>
        </w:rPr>
        <w:t xml:space="preserve">Section H – Row 5: Attrition Heatmap</w:t>
      </w:r>
    </w:p>
    <w:p w14:paraId="0010005C" w14:textId="0010005D">
      <w:pPr>
        <w:spacing w:after="120"/>
      </w:pPr>
      <w:r>
        <w:rPr>
          <w:sz w:val="22"/>
        </w:rPr>
        <w:t xml:space="preserve">Full-width heatmap — Years at Company (X-axis) vs Job Level (Y-axis), colour intensity proportional to number of attrited employees. Enables identification of high-risk tenure/level combinations at a glance.</w:t>
      </w:r>
    </w:p>
    <w:p w14:paraId="0010005E" w14:textId="0010005F">
      <w:pPr>
        <w:pStyle w:val="Heading2"/>
        <w:spacing w:before="200" w:after="80"/>
      </w:pPr>
      <w:r>
        <w:rPr>
          <w:b/>
          <w:sz w:val="26"/>
        </w:rPr>
        <w:t xml:space="preserve">Section I – Row 6: Employee Detail Table</w:t>
      </w:r>
    </w:p>
    <w:p w14:paraId="00100060" w14:textId="00100061">
      <w:pPr>
        <w:spacing w:after="160"/>
      </w:pPr>
      <w:r>
        <w:rPr>
          <w:sz w:val="22"/>
        </w:rPr>
        <w:t xml:space="preserve">Paginated, sortable, filterable data table showing: Employee Number, Age, Gender, Department, Job Role, Monthly Income, Years at Company, Overtime, and Attrition status. Attrited rows are highlighted in red for visual triage.</w:t>
      </w:r>
    </w:p>
    <w:p w14:paraId="001000B4" w14:textId="001000B5">
      <w:pPr>
        <w:spacing w:before="80" w:after="200"/>
        <w:jc w:val="center"/>
      </w:pPr>
      <w:r>
        <w:rPr>
          <w:color w:val="57606A"/>
          <w:sz w:val="19"/>
        </w:rPr>
        <w:t xml:space="preserve">Figure 6: Employee Detail Table — a paginated, sortable, and filterable employee-level view showing 9 key columns. Attrited rows are highlighted in red (e.g. Employee #1 and #4), enabling HR teams to quickly triage high-risk individuals. With 138 pages of records (1,470 employees), the table supports drill-down alongside the aggregate charts above.</w:t>
      </w:r>
    </w:p>
    <w:p w14:paraId="001000B2" w14:textId="001000B3">
      <w:pPr>
        <w:spacing w:line="240" w:lineRule="auto"/>
      </w:pPr>
      <w:r>
        <w:rPr/>
        <w:drawing>
          <wp:inline distT="0" distB="0" distL="0" distR="0">
            <wp:extent cx="5400000" cy="1751508"/>
            <wp:effectExtent l="0" t="0" r="0" b="0"/>
            <wp:docPr id="6" name="6.png" descr=""/>
            <wp:cNvGraphicFramePr>
              <a:graphicFrameLocks noChangeAspect="1"/>
            </wp:cNvGraphicFramePr>
            <a:graphic>
              <a:graphicData uri="http://schemas.openxmlformats.org/drawingml/2006/picture">
                <pic:pic>
                  <pic:nvPicPr>
                    <pic:cNvPr id="6" name="6.png"/>
                    <pic:cNvPicPr/>
                  </pic:nvPicPr>
                  <pic:blipFill>
                    <a:blip r:embed="R26408f2c3b7a40fe" cstate="print"/>
                    <a:stretch>
                      <a:fillRect/>
                    </a:stretch>
                  </pic:blipFill>
                  <pic:spPr>
                    <a:xfrm>
                      <a:off x="0" y="0"/>
                      <a:ext cx="5400000" cy="1751508"/>
                    </a:xfrm>
                    <a:prstGeom prst="rect">
                      <a:avLst/>
                    </a:prstGeom>
                  </pic:spPr>
                </pic:pic>
              </a:graphicData>
            </a:graphic>
          </wp:inline>
        </w:drawing>
      </w:r>
    </w:p>
    <w:p w14:paraId="00100062" w14:textId="00100063">
      <w:pPr>
        <w:pStyle w:val="Heading1"/>
        <w:spacing w:before="280" w:after="120"/>
      </w:pPr>
      <w:r>
        <w:rPr>
          <w:b/>
          <w:sz w:val="32"/>
        </w:rPr>
        <w:t xml:space="preserve">6. Technical Architecture</w:t>
      </w:r>
    </w:p>
    <w:p w14:paraId="00100092" w14:textId="00100093">
      <w:pPr>
        <w:spacing w:after="40"/>
      </w:pPr>
      <w:r>
        <w:rPr>
          <w:b/>
          <w:sz w:val="22"/>
        </w:rPr>
        <w:t xml:space="preserve">Layer | Technology | Role</w:t>
      </w:r>
    </w:p>
    <w:p w14:paraId="00100094" w14:textId="00100095">
      <w:pPr>
        <w:spacing w:after="40"/>
      </w:pPr>
      <w:r>
        <w:rPr>
          <w:sz w:val="22"/>
        </w:rPr>
        <w:t xml:space="preserve">Web Framework | Plotly Dash 2.x | Server-side Python web app with reactive callbacks</w:t>
      </w:r>
    </w:p>
    <w:p w14:paraId="00100096" w14:textId="00100097">
      <w:pPr>
        <w:spacing w:after="40"/>
      </w:pPr>
      <w:r>
        <w:rPr>
          <w:sz w:val="22"/>
        </w:rPr>
        <w:t xml:space="preserve">UI Components | Dash Bootstrap Components (DBC) | Bootstrap 5 grid layout, cards, dropdowns</w:t>
      </w:r>
    </w:p>
    <w:p w14:paraId="00100098" w14:textId="00100099">
      <w:pPr>
        <w:spacing w:after="40"/>
      </w:pPr>
      <w:r>
        <w:rPr>
          <w:sz w:val="22"/>
        </w:rPr>
        <w:t xml:space="preserve">Visualisation | Plotly Express &amp; Graph Objects | 10 chart types: bar, pie, box, heatmap, etc.</w:t>
      </w:r>
    </w:p>
    <w:p w14:paraId="0010009A" w14:textId="0010009B">
      <w:pPr>
        <w:spacing w:after="40"/>
      </w:pPr>
      <w:r>
        <w:rPr>
          <w:sz w:val="22"/>
        </w:rPr>
        <w:t xml:space="preserve">Data Layer | Pandas 2.x | CSV loading, cleaning, groupBy aggregations, pivoting</w:t>
      </w:r>
    </w:p>
    <w:p w14:paraId="0010009C" w14:textId="0010009D">
      <w:pPr>
        <w:spacing w:after="160"/>
      </w:pPr>
      <w:r>
        <w:rPr>
          <w:sz w:val="22"/>
        </w:rPr>
        <w:t xml:space="preserve">Production Server | Gunicorn | WSGI server for cloud/on-premise deployment</w:t>
      </w:r>
    </w:p>
    <w:p w14:paraId="00100066" w14:textId="00100067">
      <w:pPr>
        <w:pStyle w:val="Heading1"/>
        <w:spacing w:before="280" w:after="120"/>
      </w:pPr>
      <w:r>
        <w:rPr>
          <w:b/>
          <w:sz w:val="32"/>
        </w:rPr>
        <w:t xml:space="preserve">7. Recommendations for HR Action</w:t>
      </w:r>
    </w:p>
    <w:p w14:paraId="00100068" w14:textId="00100069">
      <w:pPr>
        <w:spacing w:after="120"/>
      </w:pPr>
      <w:r>
        <w:rPr>
          <w:sz w:val="22"/>
        </w:rPr>
        <w:t xml:space="preserve">Based on the insights surfaced by this dashboard, the following HR interventions are recommended:</w:t>
      </w:r>
    </w:p>
    <w:p w14:paraId="0010006A" w14:textId="0010006B">
      <w:pPr>
        <w:numPr>
          <w:ilvl w:val="0"/>
          <w:numId w:val="1"/>
        </w:numPr>
        <w:spacing w:after="80"/>
      </w:pPr>
      <w:r>
        <w:rPr>
          <w:sz w:val="22"/>
        </w:rPr>
        <w:t xml:space="preserve">1. Audit and cap overtime hours, especially in the Sales and Research &amp; Development departments. Implement mandatory rest-day policies.</w:t>
      </w:r>
    </w:p>
    <w:p w14:paraId="0010006C" w14:textId="0010006D">
      <w:pPr>
        <w:numPr>
          <w:ilvl w:val="0"/>
          <w:numId w:val="1"/>
        </w:numPr>
        <w:spacing w:after="80"/>
      </w:pPr>
      <w:r>
        <w:rPr>
          <w:sz w:val="22"/>
        </w:rPr>
        <w:t xml:space="preserve">2. Conduct a compensation benchmarking exercise for Job Levels 1–2 and Sales Representative roles. Align salaries with industry median.</w:t>
      </w:r>
    </w:p>
    <w:p w14:paraId="0010006E" w14:textId="0010006F">
      <w:pPr>
        <w:numPr>
          <w:ilvl w:val="0"/>
          <w:numId w:val="1"/>
        </w:numPr>
        <w:spacing w:after="80"/>
      </w:pPr>
      <w:r>
        <w:rPr>
          <w:sz w:val="22"/>
        </w:rPr>
        <w:t xml:space="preserve">3. Deploy a structured onboarding programme (90 days) and a 12-month buddy system for all new hires to reduce early-tenure attrition.</w:t>
      </w:r>
    </w:p>
    <w:p w14:paraId="00100070" w14:textId="00100071">
      <w:pPr>
        <w:numPr>
          <w:ilvl w:val="0"/>
          <w:numId w:val="1"/>
        </w:numPr>
        <w:spacing w:after="80"/>
      </w:pPr>
      <w:r>
        <w:rPr>
          <w:sz w:val="22"/>
        </w:rPr>
        <w:t xml:space="preserve">4. Introduce flexible or remote work options for employees who travel frequently (Travel_Frequently category).</w:t>
      </w:r>
    </w:p>
    <w:p w14:paraId="00100072" w14:textId="00100073">
      <w:pPr>
        <w:numPr>
          <w:ilvl w:val="0"/>
          <w:numId w:val="1"/>
        </w:numPr>
        <w:spacing w:after="80"/>
      </w:pPr>
      <w:r>
        <w:rPr>
          <w:sz w:val="22"/>
        </w:rPr>
        <w:t xml:space="preserve">5. Run quarterly engagement surveys and act on low Job Satisfaction scores with targeted manager coaching programmes.</w:t>
      </w:r>
    </w:p>
    <w:p w14:paraId="00100074" w14:textId="00100075">
      <w:pPr>
        <w:numPr>
          <w:ilvl w:val="0"/>
          <w:numId w:val="1"/>
        </w:numPr>
        <w:spacing w:after="160"/>
      </w:pPr>
      <w:r>
        <w:rPr>
          <w:sz w:val="22"/>
        </w:rPr>
        <w:t xml:space="preserve">6. Create career fast-track pathways for high-potential employees aged 18–25 to improve retention in the youngest cohort.</w:t>
      </w:r>
    </w:p>
    <w:p w14:paraId="00100076" w14:textId="00100077">
      <w:pPr>
        <w:pStyle w:val="Heading1"/>
        <w:spacing w:before="280" w:after="120"/>
      </w:pPr>
      <w:r>
        <w:rPr>
          <w:b/>
          <w:sz w:val="32"/>
        </w:rPr>
        <w:t xml:space="preserve">8. How to Run the Dashboard</w:t>
      </w:r>
    </w:p>
    <w:p w14:paraId="00100078" w14:textId="00100079">
      <w:pPr>
        <w:numPr>
          <w:ilvl w:val="0"/>
          <w:numId w:val="2"/>
        </w:numPr>
        <w:spacing w:after="80"/>
      </w:pPr>
      <w:r>
        <w:rPr>
          <w:sz w:val="22"/>
        </w:rPr>
        <w:t xml:space="preserve">Step 1: Place the CSV dataset (WA_Fn-UseC_-HR-Employee-Attrition.csv) in the same folder as app.py.</w:t>
      </w:r>
    </w:p>
    <w:p w14:paraId="0010007A" w14:textId="0010007B">
      <w:pPr>
        <w:numPr>
          <w:ilvl w:val="0"/>
          <w:numId w:val="2"/>
        </w:numPr>
        <w:spacing w:after="80"/>
      </w:pPr>
      <w:r>
        <w:rPr>
          <w:sz w:val="22"/>
        </w:rPr>
        <w:t xml:space="preserve">Step 2: Install dependencies — run: pip install -r requirements.txt</w:t>
      </w:r>
    </w:p>
    <w:p w14:paraId="0010007C" w14:textId="0010007D">
      <w:pPr>
        <w:numPr>
          <w:ilvl w:val="0"/>
          <w:numId w:val="2"/>
        </w:numPr>
        <w:spacing w:after="80"/>
      </w:pPr>
      <w:r>
        <w:rPr>
          <w:sz w:val="22"/>
        </w:rPr>
        <w:t xml:space="preserve">Step 3: Launch the app — run: python app.py</w:t>
      </w:r>
    </w:p>
    <w:p w14:paraId="0010007E" w14:textId="0010007F">
      <w:pPr>
        <w:numPr>
          <w:ilvl w:val="0"/>
          <w:numId w:val="2"/>
        </w:numPr>
        <w:spacing w:after="160"/>
      </w:pPr>
      <w:r>
        <w:rPr>
          <w:sz w:val="22"/>
        </w:rPr>
        <w:t xml:space="preserve">Step 4: Open browser at http://127.0.0.1:8050</w:t>
      </w:r>
    </w:p>
    <w:p w14:paraId="00100080" w14:textId="00100081">
      <w:pPr>
        <w:pStyle w:val="Heading1"/>
        <w:spacing w:before="280" w:after="120"/>
      </w:pPr>
      <w:r>
        <w:rPr>
          <w:b/>
          <w:sz w:val="32"/>
        </w:rPr>
        <w:t xml:space="preserve">9. Conclusion</w:t>
      </w:r>
    </w:p>
    <w:p w14:paraId="00100082" w14:textId="00100083">
      <w:pPr>
        <w:spacing w:after="160"/>
      </w:pPr>
      <w:r>
        <w:rPr>
          <w:sz w:val="22"/>
        </w:rPr>
        <w:t xml:space="preserve">This BI dashboard transforms raw HR data into actionable intelligence. By combining 10 interactive visualisations, 6 real-time KPIs, and a dynamic filter system, it provides HR professionals with the tools necessary to understand attrition patterns at both a macro and individual level. The insights generated point clearly to overtime, low income, job dissatisfaction, and early tenure as the four primary levers that — if addressed — can materially reduce voluntary attrition and improve overall workforce stability.</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223d464d4ca347d7" /><Relationship Type="http://schemas.openxmlformats.org/officeDocument/2006/relationships/styles" Target="/word/styles.xml" Id="R53504fe5ce5741a5" /><Relationship Type="http://schemas.openxmlformats.org/officeDocument/2006/relationships/theme" Target="/word/theme/theme1.xml" Id="Rf89165d218f44f89" /><Relationship Type="http://schemas.openxmlformats.org/officeDocument/2006/relationships/numbering" Target="/word/numbering.xml" Id="R651b38568e984515" /><Relationship Type="http://schemas.openxmlformats.org/officeDocument/2006/relationships/image" Target="/media/image.png" Id="R4ace1c48ec834196" /><Relationship Type="http://schemas.openxmlformats.org/officeDocument/2006/relationships/image" Target="/media/image2.png" Id="R70b3bc5387734220" /><Relationship Type="http://schemas.openxmlformats.org/officeDocument/2006/relationships/image" Target="/media/image3.png" Id="Rf1d3e9b501104f85" /><Relationship Type="http://schemas.openxmlformats.org/officeDocument/2006/relationships/image" Target="/media/image4.png" Id="R9a1aace466294f08" /><Relationship Type="http://schemas.openxmlformats.org/officeDocument/2006/relationships/image" Target="/media/image5.png" Id="R8eeb8334eb8d4b72" /><Relationship Type="http://schemas.openxmlformats.org/officeDocument/2006/relationships/image" Target="/media/image6.png" Id="R26408f2c3b7a40f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2026-09-20T08:21:21Z</dcterms:created>
  <cp:lastModifiedBy>OfficeCLI</cp:lastModifiedBy>
  <dcterms:modified xsi:type="dcterms:W3CDTF">2026-09-20T08:21:21Z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2026-09-20T08:45:27Z</vt:lpwstr>
  </op:property>
</op:Properties>
</file>