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House Price Prediction — Week 3 Report</w:t>
      </w:r>
    </w:p>
    <w:p>
      <w:pPr>
        <w:spacing w:after="240"/>
      </w:pPr>
      <w:r>
        <w:rPr>
          <w:i/>
          <w:iCs/>
          <w:color w:val="555555"/>
          <w:sz w:val="22"/>
          <w:szCs w:val="22"/>
        </w:rPr>
        <w:t xml:space="preserve">ASL Internship — AI/ML Track</w:t>
      </w:r>
    </w:p>
    <w:p>
      <w:pPr>
        <w:pStyle w:val="Heading1"/>
        <w:spacing w:after="120" w:before="240"/>
      </w:pPr>
      <w:r>
        <w:t xml:space="preserve">What I Built</w:t>
      </w:r>
    </w:p>
    <w:p>
      <w:pPr>
        <w:spacing w:after="160"/>
      </w:pPr>
      <w:r>
        <w:rPr>
          <w:sz w:val="22"/>
          <w:szCs w:val="22"/>
        </w:rPr>
        <w:t xml:space="preserve">I built an end-to-end supervised machine learning pipeline to predict residential house prices in the Seattle, WA area using a public Kaggle housing dataset (4,600 rows, 18 columns). The project covers data quality checks, feature/target separation, a leak-free train/test split, a scikit-learn preprocessing pipeline (scaling and one-hot encoding), training and comparing three regression models, and saving the final model with joblib.</w:t>
      </w:r>
    </w:p>
    <w:p>
      <w:pPr>
        <w:pStyle w:val="Heading1"/>
        <w:spacing w:after="120" w:before="240"/>
      </w:pPr>
      <w:r>
        <w:t xml:space="preserve">Approach</w:t>
      </w:r>
    </w:p>
    <w:p>
      <w:pPr>
        <w:pStyle w:val="Heading2"/>
        <w:spacing w:after="100" w:before="200"/>
      </w:pPr>
      <w:r>
        <w:t xml:space="preserve">Data Cleaning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Removed price_per_sqft — this column was directly derived from the target (price / sqft_living) and would have caused data leakage.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Removed street (too high cardinality) and statezip (redundant with city).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Dropped 49 rows with price == 0 (invalid data).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Extracted sale_year from the date column.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Removed 89 outlier rows above ~$1.65M using the IQR method (3x IQR upper bound).</w:t>
      </w:r>
    </w:p>
    <w:p>
      <w:pPr>
        <w:pStyle w:val="Heading2"/>
        <w:spacing w:after="100" w:before="200"/>
      </w:pPr>
      <w:r>
        <w:t xml:space="preserve">Preprocessing</w:t>
      </w:r>
    </w:p>
    <w:p>
      <w:pPr>
        <w:spacing w:after="160"/>
      </w:pPr>
      <w:r>
        <w:rPr>
          <w:sz w:val="22"/>
          <w:szCs w:val="22"/>
        </w:rPr>
        <w:t xml:space="preserve">Built a ColumnTransformer that applies StandardScaler to 13 numeric features and OneHotEncoder to the city categorical feature, wrapped inside a scikit-learn Pipeline together with each model. This guarantees preprocessing is fit only on training data, preventing data leakage into the test set.</w:t>
      </w:r>
    </w:p>
    <w:p>
      <w:pPr>
        <w:pStyle w:val="Heading2"/>
        <w:spacing w:after="100" w:before="200"/>
      </w:pPr>
      <w:r>
        <w:t xml:space="preserve">Models Compared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Linear Regression — baseline model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Random Forest (default, n_estimators=100) — comparative model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Random Forest (constrained, max_depth=10, min_samples_leaf=5) — final model</w:t>
      </w:r>
    </w:p>
    <w:p>
      <w:pPr>
        <w:pStyle w:val="Heading1"/>
        <w:spacing w:after="120" w:before="240"/>
      </w:pPr>
      <w:r>
        <w:t xml:space="preserve">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1440"/>
        <w:gridCol w:w="1440"/>
        <w:gridCol w:w="1440"/>
        <w:gridCol w:w="1440"/>
      </w:tblGrid>
      <w:tr>
        <w:tc>
          <w:tcPr>
            <w:tcW w:type="dxa" w:w="2160"/>
            <w:shd w:fill="2E539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440"/>
            <w:shd w:fill="2E539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MAE</w:t>
            </w:r>
          </w:p>
        </w:tc>
        <w:tc>
          <w:tcPr>
            <w:tcW w:type="dxa" w:w="1440"/>
            <w:shd w:fill="2E539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RMSE</w:t>
            </w:r>
          </w:p>
        </w:tc>
        <w:tc>
          <w:tcPr>
            <w:tcW w:type="dxa" w:w="1440"/>
            <w:shd w:fill="2E539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R²</w:t>
            </w:r>
          </w:p>
        </w:tc>
        <w:tc>
          <w:tcPr>
            <w:tcW w:type="dxa" w:w="1440"/>
            <w:shd w:fill="2E539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Train R²</w:t>
            </w:r>
          </w:p>
        </w:tc>
        <w:tc>
          <w:tcPr>
            <w:tcW w:type="dxa" w:w="1440"/>
            <w:shd w:fill="2E539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Train/Test Gap</w:t>
            </w:r>
          </w:p>
        </w:tc>
      </w:tr>
      <w:tr>
        <w:tc>
          <w:tcPr>
            <w:tcW w:type="dxa" w:w="21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Linear Regression</w:t>
            </w:r>
          </w:p>
        </w:tc>
        <w:tc>
          <w:tcPr>
            <w:tcW w:type="dxa" w:w="14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$100,622</w:t>
            </w:r>
          </w:p>
        </w:tc>
        <w:tc>
          <w:tcPr>
            <w:tcW w:type="dxa" w:w="14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$147,616</w:t>
            </w:r>
          </w:p>
        </w:tc>
        <w:tc>
          <w:tcPr>
            <w:tcW w:type="dxa" w:w="14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0.676</w:t>
            </w:r>
          </w:p>
        </w:tc>
        <w:tc>
          <w:tcPr>
            <w:tcW w:type="dxa" w:w="14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0.711</w:t>
            </w:r>
          </w:p>
        </w:tc>
        <w:tc>
          <w:tcPr>
            <w:tcW w:type="dxa" w:w="14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0.035</w:t>
            </w:r>
          </w:p>
        </w:tc>
      </w:tr>
      <w:tr>
        <w:tc>
          <w:tcPr>
            <w:tcW w:type="dxa" w:w="21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Random Forest (default)</w:t>
            </w:r>
          </w:p>
        </w:tc>
        <w:tc>
          <w:tcPr>
            <w:tcW w:type="dxa" w:w="14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$97,795</w:t>
            </w:r>
          </w:p>
        </w:tc>
        <w:tc>
          <w:tcPr>
            <w:tcW w:type="dxa" w:w="14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$147,805</w:t>
            </w:r>
          </w:p>
        </w:tc>
        <w:tc>
          <w:tcPr>
            <w:tcW w:type="dxa" w:w="14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0.675</w:t>
            </w:r>
          </w:p>
        </w:tc>
        <w:tc>
          <w:tcPr>
            <w:tcW w:type="dxa" w:w="14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0.957</w:t>
            </w:r>
          </w:p>
        </w:tc>
        <w:tc>
          <w:tcPr>
            <w:tcW w:type="dxa" w:w="14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0.282</w:t>
            </w:r>
          </w:p>
        </w:tc>
      </w:tr>
      <w:tr>
        <w:tc>
          <w:tcPr>
            <w:tcW w:type="dxa" w:w="21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Random Forest (constrained)</w:t>
            </w:r>
          </w:p>
        </w:tc>
        <w:tc>
          <w:tcPr>
            <w:tcW w:type="dxa" w:w="14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$103,820</w:t>
            </w:r>
          </w:p>
        </w:tc>
        <w:tc>
          <w:tcPr>
            <w:tcW w:type="dxa" w:w="14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$151,704</w:t>
            </w:r>
          </w:p>
        </w:tc>
        <w:tc>
          <w:tcPr>
            <w:tcW w:type="dxa" w:w="14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0.658</w:t>
            </w:r>
          </w:p>
        </w:tc>
        <w:tc>
          <w:tcPr>
            <w:tcW w:type="dxa" w:w="14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0.799</w:t>
            </w:r>
          </w:p>
        </w:tc>
        <w:tc>
          <w:tcPr>
            <w:tcW w:type="dxa" w:w="144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0.141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sz w:val="22"/>
          <w:szCs w:val="22"/>
        </w:rPr>
        <w:t xml:space="preserve">The final model chosen was the constrained Random Forest. While the default Random Forest had marginally better test accuracy, it showed a large train/test R² gap (0.282), indicating overfitting. Constraining tree depth reduced this gap to 0.141 while sacrificing only a small amount of test accuracy, producing a model that generalizes more reliably.</w:t>
      </w:r>
    </w:p>
    <w:p>
      <w:pPr>
        <w:pStyle w:val="Heading1"/>
        <w:spacing w:after="120" w:before="240"/>
      </w:pPr>
      <w:r>
        <w:t xml:space="preserve">Challenges Faced and How I Solved Them</w:t>
      </w:r>
    </w:p>
    <w:p>
      <w:pPr>
        <w:spacing w:after="160"/>
      </w:pPr>
      <w:r>
        <w:rPr>
          <w:sz w:val="22"/>
          <w:szCs w:val="22"/>
        </w:rPr>
        <w:t xml:space="preserve">The biggest challenge was diagnosing an unusual result after the first round of training: Linear Regression's train R² (0.247) was lower than its test R² (0.678), which should not normally happen. Investigating the train and test price distributions revealed the random split had placed a small number of extreme luxury properties (up to $26.6M) disproportionately into the training set, distorting the fitted model. I identified and removed 89 outlier rows above $1.65M using the IQR method, re-split the data, and retrained both models. This resolved the abnormal train/test relationship and substantially improved both models' RMSE.</w:t>
      </w:r>
    </w:p>
    <w:p>
      <w:pPr>
        <w:spacing w:after="160"/>
      </w:pPr>
      <w:r>
        <w:rPr>
          <w:sz w:val="22"/>
          <w:szCs w:val="22"/>
        </w:rPr>
        <w:t xml:space="preserve">A second challenge was that the default Random Forest, despite strong test accuracy, showed clear overfitting (train R² 0.957 vs test R² 0.675). I addressed this by constraining max_depth and min_samples_leaf, which reduced the overfitting gap at a small, acceptable cost to raw accuracy — a deliberate bias-variance tradeoff decision documented in the model comparison above.</w:t>
      </w:r>
    </w:p>
    <w:p>
      <w:pPr>
        <w:spacing w:after="160"/>
      </w:pPr>
      <w:r>
        <w:rPr>
          <w:sz w:val="22"/>
          <w:szCs w:val="22"/>
        </w:rPr>
        <w:t xml:space="preserve">I also had to be careful to catch a subtler data leakage issue before training even began: the dataset included a price_per_sqft column that was almost perfectly derived from the target itself, which would have let the model 'cheat' by reverse-engineering price rather than learning genuine patterns from the other features.</w:t>
      </w:r>
    </w:p>
    <w:p>
      <w:pPr>
        <w:pStyle w:val="Heading1"/>
        <w:spacing w:after="120" w:before="240"/>
      </w:pPr>
      <w:r>
        <w:t xml:space="preserve">Limitations and Next Steps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Dataset size (4,462 rows after cleaning) is moderate; more data would likely improve generalization, especially for high-end properties.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neighborhood-level or lot-improvement features were available, which likely limits predictive ceiling.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Next steps: hyperparameter tuning via GridSearchCV, testing gradient boosting models, engineering features such as house age, and log-transforming price to better handle its right-skewed distribution.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2026-08-09T15:45:42.947Z</dcterms:created>
  <dcterms:modified xsi:type="dcterms:W3CDTF">2026-08-09T15:45:42.960Z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