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0"/>
          <w:szCs w:val="30"/>
        </w:rPr>
        <w:t xml:space="preserve">Model Tuning &amp; Ensemble Comparison — Week 4 Report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ASL Internship — AI/ML Track</w:t>
      </w:r>
    </w:p>
    <w:p>
      <w:pPr>
        <w:pStyle w:val="Heading1"/>
        <w:spacing w:after="120" w:before="240"/>
      </w:pPr>
      <w:r>
        <w:t xml:space="preserve">What I Built</w:t>
      </w:r>
    </w:p>
    <w:p>
      <w:pPr>
        <w:spacing w:after="140"/>
      </w:pPr>
      <w:r>
        <w:rPr>
          <w:sz w:val="21"/>
          <w:szCs w:val="21"/>
        </w:rPr>
        <w:t xml:space="preserve">I extended my Week 3 house price prediction pipeline by adding 5-fold cross-validation, a systematic hyperparameter search (GridSearchCV), and two ensemble models (Random Forest and Gradient Boosting), then compared all results against the Week 3 baseline in a single reproducible table.</w:t>
      </w:r>
    </w:p>
    <w:p>
      <w:pPr>
        <w:pStyle w:val="Heading1"/>
        <w:spacing w:after="120" w:before="240"/>
      </w:pPr>
      <w:r>
        <w:t xml:space="preserve">Approach</w:t>
      </w:r>
    </w:p>
    <w:p>
      <w:pPr>
        <w:pStyle w:val="Heading2"/>
        <w:spacing w:after="100" w:before="200"/>
      </w:pPr>
      <w:r>
        <w:t xml:space="preserve">Cross-Validation</w:t>
      </w:r>
    </w:p>
    <w:p>
      <w:pPr>
        <w:spacing w:after="140"/>
      </w:pPr>
      <w:r>
        <w:rPr>
          <w:sz w:val="21"/>
          <w:szCs w:val="21"/>
        </w:rPr>
        <w:t xml:space="preserve">I applied 5-fold KFold cross-validation to Linear Regression and Random Forest, wrapping preprocessing inside a scikit-learn Pipeline so scaling and encoding were refit on each training fold, preventing leakage into validation data. Both models scored consistently around R² 0.69, with low standard deviation, resolving the unstable single-split results seen in Week 3.</w:t>
      </w:r>
    </w:p>
    <w:p>
      <w:pPr>
        <w:pStyle w:val="Heading2"/>
        <w:spacing w:after="100" w:before="200"/>
      </w:pPr>
      <w:r>
        <w:t xml:space="preserve">Hyperparameter Search</w:t>
      </w:r>
    </w:p>
    <w:p>
      <w:pPr>
        <w:spacing w:after="140"/>
      </w:pPr>
      <w:r>
        <w:rPr>
          <w:sz w:val="21"/>
          <w:szCs w:val="21"/>
        </w:rPr>
        <w:t xml:space="preserve">I used GridSearchCV (5-fold CV) to tune Random Forest across n_estimators, max_depth, and min_samples_leaf. The search selected an unconstrained tree (max_depth=None), achieving the best CV score (0.6878), but this reintroduced a large train/test gap (0.958 vs 0.679) on the held-out test set.</w:t>
      </w:r>
    </w:p>
    <w:p>
      <w:pPr>
        <w:pStyle w:val="Heading2"/>
        <w:spacing w:after="100" w:before="200"/>
      </w:pPr>
      <w:r>
        <w:t xml:space="preserve">Ensemble Models</w:t>
      </w:r>
    </w:p>
    <w:p>
      <w:pPr>
        <w:spacing w:after="140"/>
      </w:pPr>
      <w:r>
        <w:rPr>
          <w:sz w:val="21"/>
          <w:szCs w:val="21"/>
        </w:rPr>
        <w:t xml:space="preserve">I trained Random Forest (bagging) and Gradient Boosting (boosting) and compared them directly. Gradient Boosting, using default hyperparameters, outperformed every other model: the highest and most stable CV score (0.6964 ± 0.0171), the best test R² (0.684), and by far the smallest overfitting gap (0.081) among tree-based models.</w:t>
      </w:r>
    </w:p>
    <w:p>
      <w:pPr>
        <w:pStyle w:val="Heading2"/>
        <w:spacing w:after="100" w:before="200"/>
      </w:pPr>
      <w:r>
        <w:t xml:space="preserve">Feature Importance</w:t>
      </w:r>
    </w:p>
    <w:p>
      <w:pPr>
        <w:spacing w:after="140"/>
      </w:pPr>
      <w:r>
        <w:rPr>
          <w:sz w:val="21"/>
          <w:szCs w:val="21"/>
        </w:rPr>
        <w:t xml:space="preserve">Extracted from the final Gradient Boosting model: sqft_living dominated (56% importance), followed by high-value locations (Seattle, Bellevue, Mercer Island), sqft_above, year built, and view — consistent with real-world real estate fundamentals.</w:t>
      </w:r>
    </w:p>
    <w:p>
      <w:pPr>
        <w:pStyle w:val="Heading1"/>
        <w:spacing w:after="120" w:before="240"/>
      </w:pPr>
      <w:r>
        <w:t xml:space="preserve">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150"/>
        <w:gridCol w:w="1150"/>
        <w:gridCol w:w="1600"/>
        <w:gridCol w:w="1360"/>
      </w:tblGrid>
      <w:tr>
        <w:tc>
          <w:tcPr>
            <w:tcW w:type="dxa" w:w="2200"/>
            <w:shd w:fill="2E539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900"/>
            <w:shd w:fill="2E539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CV Mean R² ± Std</w:t>
            </w:r>
          </w:p>
        </w:tc>
        <w:tc>
          <w:tcPr>
            <w:tcW w:type="dxa" w:w="1150"/>
            <w:shd w:fill="2E539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R²</w:t>
            </w:r>
          </w:p>
        </w:tc>
        <w:tc>
          <w:tcPr>
            <w:tcW w:type="dxa" w:w="1150"/>
            <w:shd w:fill="2E539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Train R²</w:t>
            </w:r>
          </w:p>
        </w:tc>
        <w:tc>
          <w:tcPr>
            <w:tcW w:type="dxa" w:w="1600"/>
            <w:shd w:fill="2E539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Train/Test Gap</w:t>
            </w:r>
          </w:p>
        </w:tc>
        <w:tc>
          <w:tcPr>
            <w:tcW w:type="dxa" w:w="1360"/>
            <w:shd w:fill="2E539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Linear Regression (Wk3 baseline)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0.676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0.711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0.035</w:t>
            </w:r>
          </w:p>
        </w:tc>
        <w:tc>
          <w:tcPr>
            <w:tcW w:type="dxa" w:w="13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Single split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Random Forest constrained (Wk3)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0.658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0.799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0.141</w:t>
            </w:r>
          </w:p>
        </w:tc>
        <w:tc>
          <w:tcPr>
            <w:tcW w:type="dxa" w:w="13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Single split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Linear Regression (CV)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0.6965 ± 0.0274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5-fold CV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Random Forest default (CV)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0.6863 ± 0.0288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5-fold CV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Random Forest tuned (GridSearchCV)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0.6878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0.6787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0.9577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0.279</w:t>
            </w:r>
          </w:p>
        </w:tc>
        <w:tc>
          <w:tcPr>
            <w:tcW w:type="dxa" w:w="13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Overfits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Gradient Boosting (final)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0.6964 ± 0.0171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0.6839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0.765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0.081</w:t>
            </w:r>
          </w:p>
        </w:tc>
        <w:tc>
          <w:tcPr>
            <w:tcW w:type="dxa" w:w="13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Best balance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sz w:val="21"/>
          <w:szCs w:val="21"/>
        </w:rPr>
        <w:t xml:space="preserve">Final model chosen: Gradient Boosting. It offered the best combination of test accuracy, cross-validation stability, and resistance to overfitting.</w:t>
      </w:r>
    </w:p>
    <w:p>
      <w:pPr>
        <w:pStyle w:val="Heading1"/>
        <w:spacing w:after="120" w:before="240"/>
      </w:pPr>
      <w:r>
        <w:t xml:space="preserve">Challenges Faced and How I Solved Them</w:t>
      </w:r>
    </w:p>
    <w:p>
      <w:pPr>
        <w:spacing w:after="140"/>
      </w:pPr>
      <w:r>
        <w:rPr>
          <w:sz w:val="21"/>
          <w:szCs w:val="21"/>
        </w:rPr>
        <w:t xml:space="preserve">The main challenge was that GridSearchCV, when optimizing purely for cross-validated R², selected an unconstrained Random Forest that looked strong during search (CV R² 0.688) but reintroduced the same severe overfitting pattern (train R² 0.958 vs test R² 0.679) observed with the default Random Forest in Week 3. This showed that a good CV score does not, by itself, guarantee good generalization — the train/test gap has to be checked as a separate, explicit diagnostic rather than assumed to be resolved by cross-validation.</w:t>
      </w:r>
    </w:p>
    <w:p>
      <w:pPr>
        <w:spacing w:after="140"/>
      </w:pPr>
      <w:r>
        <w:rPr>
          <w:sz w:val="21"/>
          <w:szCs w:val="21"/>
        </w:rPr>
        <w:t xml:space="preserve">I addressed this by training Gradient Boosting as a second ensemble candidate. Its sequential, error-correcting structure naturally regularizes better than an unconstrained bagging model: it matched Random Forest's cross-validation performance while reducing the overfitting gap from 0.279 to 0.081, making it the more trustworthy final choice despite not being the single highest CV scorer during the grid search.</w:t>
      </w:r>
    </w:p>
    <w:p>
      <w:pPr>
        <w:pStyle w:val="Heading1"/>
        <w:spacing w:after="120" w:before="240"/>
      </w:pPr>
      <w:r>
        <w:t xml:space="preserve">Limitations and Next Steps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Dataset size (4,462 rows) remains moderate; a larger dataset would likely improve stability further, especially for high-end properties.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Gradient Boosting was evaluated with default hyperparameters; its own tuning (learning_rate, max_depth, n_estimators) via RandomizedSearchCV was not yet explored.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Next steps: tune Gradient Boosting directly, test XGBoost/LightGBM for further gains, and add permutation importance to validate the built-in feature importances.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2026-08-16T10:31:35.632Z</dcterms:created>
  <dcterms:modified xsi:type="dcterms:W3CDTF">2026-08-16T10:31:35.645Z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