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Azure AI Search vs GPT-4o vs Postgres (pgvector)</w:t>
        <w:br/>
        <w:t>Research-Based Analysis</w:t>
      </w:r>
    </w:p>
    <w:p>
      <w:r>
        <w:t>This document captures the research-based (documentation-driven) aspects of the Proof of Concept (POC) for evaluating Azure AI Search against a GPT-4o-only baseline and a Postgres (pgvector) retrieval stack. All information in this document can be derived from official documentation, pricing pages, and widely accepted architectural characteristics. No experimental benchmarking or runtime testing is required for the contents herein.</w:t>
        <w:br/>
      </w:r>
    </w:p>
    <w:p>
      <w:pPr>
        <w:pStyle w:val="Heading2"/>
      </w:pPr>
      <w:r>
        <w:t>1. Cost Analysis (Baseline + Structural Costs)</w:t>
      </w:r>
    </w:p>
    <w:p>
      <w:pPr>
        <w:pStyle w:val="Heading3"/>
      </w:pPr>
      <w:r>
        <w:t>1.1 Azure AI Search</w:t>
      </w:r>
    </w:p>
    <w:p>
      <w:r>
        <w:t>Azure AI Search uses a capacity-based pricing model rather than a per-query pricing model. Costs are determined by the selected service tier, the number of replicas (for availability and throughput), and the number of partitions (for storage and scale). The service is billed as an always-on resource, meaning costs accrue regardless of query volume.</w:t>
      </w:r>
    </w:p>
    <w:p>
      <w:r>
        <w:t>Pricing Tiers:</w:t>
        <w:br/>
        <w:t>- Basic: Intended for development and small workloads. Limited in scale and performance.</w:t>
        <w:br/>
        <w:t>- Standard (S1–S3): Production-ready tiers supporting vector search, hybrid search, and semantic ranking.</w:t>
        <w:br/>
        <w:t>- Storage Optimized (L1–L2): Designed for very large indexes with lower query throughput.</w:t>
        <w:br/>
      </w:r>
    </w:p>
    <w:p>
      <w:r>
        <w:t>Vector Search Availability:</w:t>
        <w:br/>
        <w:t>Vector search is supported on Standard and Storage Optimized tiers. Vector dimensions and index size limits vary by tier and must be accounted for during schema design.</w:t>
      </w:r>
    </w:p>
    <w:p>
      <w:r>
        <w:t>Indexers:</w:t>
        <w:br/>
        <w:t>Azure AI Search provides built-in indexers that can ingest data from supported Azure data sources. Indexers can be scheduled or triggered manually and support incremental updates when change tracking is available in the source system.</w:t>
      </w:r>
    </w:p>
    <w:p>
      <w:pPr>
        <w:pStyle w:val="Heading3"/>
      </w:pPr>
      <w:r>
        <w:t>1.2 Azure OpenAI / GPT-4o</w:t>
      </w:r>
    </w:p>
    <w:p>
      <w:r>
        <w:t>Azure OpenAI services (including GPT-4o) are billed based on token usage. Costs are split between input tokens (prompt + retrieved context) and output tokens (model responses).</w:t>
      </w:r>
    </w:p>
    <w:p>
      <w:r>
        <w:t>Cost Components:</w:t>
        <w:br/>
        <w:t>- Input tokens: Charged per 1,000 tokens sent to the model.</w:t>
        <w:br/>
        <w:t>- Output tokens: Charged per 1,000 tokens generated by the model.</w:t>
        <w:br/>
        <w:t>- Embeddings: Charged per 1,000 tokens embedded when generating vector representations for documents and queries.</w:t>
        <w:br/>
      </w:r>
    </w:p>
    <w:p>
      <w:r>
        <w:t>These costs are usage-based and scale linearly with the number of queries and the size of prompts.</w:t>
      </w:r>
    </w:p>
    <w:p>
      <w:pPr>
        <w:pStyle w:val="Heading3"/>
      </w:pPr>
      <w:r>
        <w:t>1.3 Postgres (pgvector)</w:t>
      </w:r>
    </w:p>
    <w:p>
      <w:r>
        <w:t>Postgres does not have a direct licensing cost. The pgvector extension is open-source and free to use. Costs are infrastructure-driven and depend on the deployment model.</w:t>
      </w:r>
    </w:p>
    <w:p>
      <w:r>
        <w:t>Typical Infrastructure Cost Components:</w:t>
        <w:br/>
        <w:t>- Virtual machine or managed database instance size</w:t>
        <w:br/>
        <w:t>- Storage (including indexes and backups)</w:t>
        <w:br/>
        <w:t>- High availability replicas</w:t>
        <w:br/>
        <w:t>- Backup retention and disaster recovery</w:t>
        <w:br/>
      </w:r>
    </w:p>
    <w:p>
      <w:r>
        <w:t>Unlike Azure AI Search, Postgres costs are not inherently tied to query volume but scale with data size, compute requirements, and operational overhead.</w:t>
      </w:r>
    </w:p>
    <w:p>
      <w:pPr>
        <w:pStyle w:val="Heading3"/>
      </w:pPr>
      <w:r>
        <w:t>What Documentation Can and Cannot Provide</w:t>
      </w:r>
    </w:p>
    <w:p>
      <w:r>
        <w:t>Documentation can provide:</w:t>
        <w:br/>
        <w:t>- Theoretical cost models</w:t>
        <w:br/>
        <w:t>- Upper and lower pricing bounds</w:t>
        <w:br/>
        <w:t>- Structural differences in how costs are incurred</w:t>
        <w:br/>
        <w:br/>
        <w:t>Documentation cannot provide:</w:t>
        <w:br/>
        <w:t>- Real cost per query</w:t>
        <w:br/>
        <w:t>- Cost impact of prompt inflation due to retrieved context</w:t>
        <w:br/>
        <w:t>- Effective cost savings from improved grounding or reduced retries</w:t>
        <w:br/>
      </w:r>
    </w:p>
    <w:p>
      <w:pPr>
        <w:pStyle w:val="Heading2"/>
      </w:pPr>
      <w:r>
        <w:t>2. Feature Similarities &amp; Differences</w:t>
      </w:r>
    </w:p>
    <w:p>
      <w:r>
        <w:t>This section compares Azure AI Search and Postgres (pgvector) strictly from a platform capability perspective.</w:t>
      </w:r>
    </w:p>
    <w:tbl>
      <w:tblPr>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Azure AI Search</w:t>
            </w:r>
          </w:p>
        </w:tc>
        <w:tc>
          <w:tcPr>
            <w:tcW w:type="dxa" w:w="2880"/>
          </w:tcPr>
          <w:p>
            <w:r>
              <w:t>Postgres (pgvector)</w:t>
            </w:r>
          </w:p>
        </w:tc>
      </w:tr>
      <w:tr>
        <w:tc>
          <w:tcPr>
            <w:tcW w:type="dxa" w:w="2880"/>
          </w:tcPr>
          <w:p>
            <w:r>
              <w:t>Vector Search</w:t>
            </w:r>
          </w:p>
        </w:tc>
        <w:tc>
          <w:tcPr>
            <w:tcW w:type="dxa" w:w="2880"/>
          </w:tcPr>
          <w:p>
            <w:r>
              <w:t>Native, fully managed</w:t>
            </w:r>
          </w:p>
        </w:tc>
        <w:tc>
          <w:tcPr>
            <w:tcW w:type="dxa" w:w="2880"/>
          </w:tcPr>
          <w:p>
            <w:r>
              <w:t>Provided via pgvector extension</w:t>
            </w:r>
          </w:p>
        </w:tc>
      </w:tr>
      <w:tr>
        <w:tc>
          <w:tcPr>
            <w:tcW w:type="dxa" w:w="2880"/>
          </w:tcPr>
          <w:p>
            <w:r>
              <w:t>Hybrid Search</w:t>
            </w:r>
          </w:p>
        </w:tc>
        <w:tc>
          <w:tcPr>
            <w:tcW w:type="dxa" w:w="2880"/>
          </w:tcPr>
          <w:p>
            <w:r>
              <w:t>Built-in (BM25 + vector)</w:t>
            </w:r>
          </w:p>
        </w:tc>
        <w:tc>
          <w:tcPr>
            <w:tcW w:type="dxa" w:w="2880"/>
          </w:tcPr>
          <w:p>
            <w:r>
              <w:t>Custom implementation required</w:t>
            </w:r>
          </w:p>
        </w:tc>
      </w:tr>
      <w:tr>
        <w:tc>
          <w:tcPr>
            <w:tcW w:type="dxa" w:w="2880"/>
          </w:tcPr>
          <w:p>
            <w:r>
              <w:t>Semantic Ranking</w:t>
            </w:r>
          </w:p>
        </w:tc>
        <w:tc>
          <w:tcPr>
            <w:tcW w:type="dxa" w:w="2880"/>
          </w:tcPr>
          <w:p>
            <w:r>
              <w:t>Built-in</w:t>
            </w:r>
          </w:p>
        </w:tc>
        <w:tc>
          <w:tcPr>
            <w:tcW w:type="dxa" w:w="2880"/>
          </w:tcPr>
          <w:p>
            <w:r>
              <w:t>Not natively supported</w:t>
            </w:r>
          </w:p>
        </w:tc>
      </w:tr>
      <w:tr>
        <w:tc>
          <w:tcPr>
            <w:tcW w:type="dxa" w:w="2880"/>
          </w:tcPr>
          <w:p>
            <w:r>
              <w:t>Index Scaling</w:t>
            </w:r>
          </w:p>
        </w:tc>
        <w:tc>
          <w:tcPr>
            <w:tcW w:type="dxa" w:w="2880"/>
          </w:tcPr>
          <w:p>
            <w:r>
              <w:t>Managed via replicas and partitions</w:t>
            </w:r>
          </w:p>
        </w:tc>
        <w:tc>
          <w:tcPr>
            <w:tcW w:type="dxa" w:w="2880"/>
          </w:tcPr>
          <w:p>
            <w:r>
              <w:t>Manual scaling</w:t>
            </w:r>
          </w:p>
        </w:tc>
      </w:tr>
      <w:tr>
        <w:tc>
          <w:tcPr>
            <w:tcW w:type="dxa" w:w="2880"/>
          </w:tcPr>
          <w:p>
            <w:r>
              <w:t>High Availability</w:t>
            </w:r>
          </w:p>
        </w:tc>
        <w:tc>
          <w:tcPr>
            <w:tcW w:type="dxa" w:w="2880"/>
          </w:tcPr>
          <w:p>
            <w:r>
              <w:t>Built-in</w:t>
            </w:r>
          </w:p>
        </w:tc>
        <w:tc>
          <w:tcPr>
            <w:tcW w:type="dxa" w:w="2880"/>
          </w:tcPr>
          <w:p>
            <w:r>
              <w:t>DIY configuration</w:t>
            </w:r>
          </w:p>
        </w:tc>
      </w:tr>
      <w:tr>
        <w:tc>
          <w:tcPr>
            <w:tcW w:type="dxa" w:w="2880"/>
          </w:tcPr>
          <w:p>
            <w:r>
              <w:t>Operational Burden</w:t>
            </w:r>
          </w:p>
        </w:tc>
        <w:tc>
          <w:tcPr>
            <w:tcW w:type="dxa" w:w="2880"/>
          </w:tcPr>
          <w:p>
            <w:r>
              <w:t>Low</w:t>
            </w:r>
          </w:p>
        </w:tc>
        <w:tc>
          <w:tcPr>
            <w:tcW w:type="dxa" w:w="2880"/>
          </w:tcPr>
          <w:p>
            <w:r>
              <w:t>Medium to High</w:t>
            </w:r>
          </w:p>
        </w:tc>
      </w:tr>
      <w:tr>
        <w:tc>
          <w:tcPr>
            <w:tcW w:type="dxa" w:w="2880"/>
          </w:tcPr>
          <w:p>
            <w:r>
              <w:t>Vendor Lock-in</w:t>
            </w:r>
          </w:p>
        </w:tc>
        <w:tc>
          <w:tcPr>
            <w:tcW w:type="dxa" w:w="2880"/>
          </w:tcPr>
          <w:p>
            <w:r>
              <w:t>Yes (Azure-specific)</w:t>
            </w:r>
          </w:p>
        </w:tc>
        <w:tc>
          <w:tcPr>
            <w:tcW w:type="dxa" w:w="2880"/>
          </w:tcPr>
          <w:p>
            <w:r>
              <w:t>No</w:t>
            </w:r>
          </w:p>
        </w:tc>
      </w:tr>
      <w:tr>
        <w:tc>
          <w:tcPr>
            <w:tcW w:type="dxa" w:w="2880"/>
          </w:tcPr>
          <w:p>
            <w:r>
              <w:t>Transactions</w:t>
            </w:r>
          </w:p>
        </w:tc>
        <w:tc>
          <w:tcPr>
            <w:tcW w:type="dxa" w:w="2880"/>
          </w:tcPr>
          <w:p>
            <w:r>
              <w:t>Not supported</w:t>
            </w:r>
          </w:p>
        </w:tc>
        <w:tc>
          <w:tcPr>
            <w:tcW w:type="dxa" w:w="2880"/>
          </w:tcPr>
          <w:p>
            <w:r>
              <w:t>Fully supported</w:t>
            </w:r>
          </w:p>
        </w:tc>
      </w:tr>
      <w:tr>
        <w:tc>
          <w:tcPr>
            <w:tcW w:type="dxa" w:w="2880"/>
          </w:tcPr>
          <w:p>
            <w:r>
              <w:t>Joins</w:t>
            </w:r>
          </w:p>
        </w:tc>
        <w:tc>
          <w:tcPr>
            <w:tcW w:type="dxa" w:w="2880"/>
          </w:tcPr>
          <w:p>
            <w:r>
              <w:t>Not supported</w:t>
            </w:r>
          </w:p>
        </w:tc>
        <w:tc>
          <w:tcPr>
            <w:tcW w:type="dxa" w:w="2880"/>
          </w:tcPr>
          <w:p>
            <w:r>
              <w:t>Fully supported</w:t>
            </w:r>
          </w:p>
        </w:tc>
      </w:tr>
    </w:tbl>
    <w:p>
      <w:pPr>
        <w:pStyle w:val="Heading2"/>
      </w:pPr>
      <w:r>
        <w:t>3. Data Ingestion &amp; Update Mechanisms (Capabilities)</w:t>
      </w:r>
    </w:p>
    <w:p>
      <w:pPr>
        <w:pStyle w:val="Heading3"/>
      </w:pPr>
      <w:r>
        <w:t>3.1 Azure AI Search</w:t>
      </w:r>
    </w:p>
    <w:p>
      <w:r>
        <w:t>Azure AI Search supports multiple ingestion patterns designed for search workloads rather than transactional consistency.</w:t>
      </w:r>
    </w:p>
    <w:p>
      <w:r>
        <w:t>Supported Mechanisms:</w:t>
        <w:br/>
        <w:t>- Push API: upload, merge, and mergeOrUpload operations</w:t>
        <w:br/>
        <w:t>- Indexers: scheduled or on-demand ingestion from supported data sources</w:t>
        <w:br/>
        <w:t>- Partial document updates</w:t>
        <w:br/>
        <w:t>- Soft delete strategies</w:t>
        <w:br/>
        <w:t>- Schema immutability requiring reindexing for breaking schema changes</w:t>
        <w:br/>
      </w:r>
    </w:p>
    <w:p>
      <w:pPr>
        <w:pStyle w:val="Heading3"/>
      </w:pPr>
      <w:r>
        <w:t>3.2 Postgres</w:t>
      </w:r>
    </w:p>
    <w:p>
      <w:r>
        <w:t>Postgres supports standard relational data manipulation and schema evolution.</w:t>
      </w:r>
    </w:p>
    <w:p>
      <w:r>
        <w:t>Supported Mechanisms:</w:t>
        <w:br/>
        <w:t>- INSERT, UPDATE, DELETE operations</w:t>
        <w:br/>
        <w:t>- Triggers and stored procedures</w:t>
        <w:br/>
        <w:t>- Schema migrations</w:t>
        <w:br/>
        <w:t>- Index rebuilds and reindexing strategies</w:t>
        <w:br/>
      </w:r>
    </w:p>
    <w:p>
      <w:r>
        <w:t>Documentation describes how these mechanisms work but does not quantify ingestion speed or failure characteristics at scale.</w:t>
      </w:r>
    </w:p>
    <w:p>
      <w:pPr>
        <w:pStyle w:val="Heading2"/>
      </w:pPr>
      <w:r>
        <w:t>4. Known Limitations (Hard Limits)</w:t>
      </w:r>
    </w:p>
    <w:p>
      <w:pPr>
        <w:pStyle w:val="Heading3"/>
      </w:pPr>
      <w:r>
        <w:t>4.1 Azure AI Search</w:t>
      </w:r>
    </w:p>
    <w:p>
      <w:r>
        <w:t>Azure AI Search has explicit service limits defined by tier.</w:t>
      </w:r>
    </w:p>
    <w:p>
      <w:r>
        <w:t>- Index size limits per tier</w:t>
        <w:br/>
        <w:t>- Vector dimension limits</w:t>
        <w:br/>
        <w:t>- Maximum number of fields per index</w:t>
        <w:br/>
        <w:t>- Replica and partition scaling constraints</w:t>
        <w:br/>
        <w:t>- No support for joins or transactions</w:t>
        <w:br/>
        <w:t>- Schema changes may require full reindexing</w:t>
        <w:br/>
      </w:r>
    </w:p>
    <w:p>
      <w:pPr>
        <w:pStyle w:val="Heading3"/>
      </w:pPr>
      <w:r>
        <w:t>4.2 Postgres</w:t>
      </w:r>
    </w:p>
    <w:p>
      <w:r>
        <w:t>Postgres limitations are primarily operational rather than service-enforced.</w:t>
      </w:r>
    </w:p>
    <w:p>
      <w:r>
        <w:t>- Index bloat over time</w:t>
        <w:br/>
        <w:t>- Vacuum and maintenance overhead</w:t>
        <w:br/>
        <w:t>- Query planner complexity for large datasets</w:t>
        <w:br/>
        <w:t>- Scaling challenges at high read volumes</w:t>
        <w:br/>
      </w:r>
    </w:p>
    <w:p>
      <w:pPr>
        <w:pStyle w:val="Heading2"/>
      </w:pPr>
      <w:r>
        <w:t>Summary</w:t>
      </w:r>
    </w:p>
    <w:p>
      <w:r>
        <w:t>All sections in this document represent researchable, documentation-backed knowledge. They form the baseline understanding required before conducting empirical benchmarking for accuracy, latency, and real-world cost effectiveness in the Lingo Agents POC.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