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F1C76" w14:textId="3FAABC71" w:rsidR="00727EA5" w:rsidRDefault="00FA6D06">
      <w:r w:rsidRPr="00FA6D06">
        <w:drawing>
          <wp:inline distT="0" distB="0" distL="0" distR="0" wp14:anchorId="140C1651" wp14:editId="4271B34E">
            <wp:extent cx="6120130" cy="3978275"/>
            <wp:effectExtent l="0" t="0" r="1270" b="0"/>
            <wp:docPr id="3144421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2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5A6" w14:textId="77777777" w:rsidR="00FA6D06" w:rsidRDefault="00FA6D06"/>
    <w:p w14:paraId="2288150A" w14:textId="56694F7B" w:rsidR="00FA6D06" w:rsidRDefault="00FA6D06">
      <w:r w:rsidRPr="00FA6D06">
        <w:drawing>
          <wp:inline distT="0" distB="0" distL="0" distR="0" wp14:anchorId="211B0C4F" wp14:editId="289BC31B">
            <wp:extent cx="6120130" cy="3978275"/>
            <wp:effectExtent l="0" t="0" r="1270" b="0"/>
            <wp:docPr id="7118065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782C" w14:textId="77777777" w:rsidR="00FA6D06" w:rsidRDefault="00FA6D06"/>
    <w:p w14:paraId="07379F9A" w14:textId="5E7B740E" w:rsidR="00FA6D06" w:rsidRDefault="00FA6D06">
      <w:r w:rsidRPr="00FA6D06">
        <w:lastRenderedPageBreak/>
        <w:drawing>
          <wp:inline distT="0" distB="0" distL="0" distR="0" wp14:anchorId="41201F78" wp14:editId="38871423">
            <wp:extent cx="6120130" cy="3978275"/>
            <wp:effectExtent l="0" t="0" r="1270" b="0"/>
            <wp:docPr id="14806993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9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9E17" w14:textId="77777777" w:rsidR="00FA6D06" w:rsidRDefault="00FA6D06"/>
    <w:p w14:paraId="6BD7D371" w14:textId="10CB846C" w:rsidR="00FA6D06" w:rsidRDefault="00FA6D06">
      <w:r w:rsidRPr="00FA6D06">
        <w:drawing>
          <wp:inline distT="0" distB="0" distL="0" distR="0" wp14:anchorId="6AA3EE76" wp14:editId="350C3CD7">
            <wp:extent cx="6120130" cy="3978275"/>
            <wp:effectExtent l="0" t="0" r="1270" b="0"/>
            <wp:docPr id="10004740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511C" w14:textId="387221A1" w:rsidR="00FA6D06" w:rsidRDefault="00FA6D06">
      <w:r w:rsidRPr="00FA6D06">
        <w:lastRenderedPageBreak/>
        <w:drawing>
          <wp:inline distT="0" distB="0" distL="0" distR="0" wp14:anchorId="0D80E20D" wp14:editId="3108646B">
            <wp:extent cx="6120130" cy="3978275"/>
            <wp:effectExtent l="0" t="0" r="1270" b="0"/>
            <wp:docPr id="6936276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4166" w14:textId="7B58AF02" w:rsidR="006C104C" w:rsidRDefault="002E7251">
      <w:r>
        <w:rPr>
          <w:rStyle w:val="Enfasigrassetto"/>
        </w:rPr>
        <w:t>Motivazione.</w:t>
      </w:r>
      <w:r>
        <w:t xml:space="preserve"> La copertura di transizioni misurata sulla FSM (</w:t>
      </w:r>
      <w:proofErr w:type="spellStart"/>
      <w:r>
        <w:rPr>
          <w:rStyle w:val="CodiceHTML"/>
          <w:rFonts w:eastAsiaTheme="minorHAnsi"/>
        </w:rPr>
        <w:t>CoperturaFSMExtension</w:t>
      </w:r>
      <w:proofErr w:type="spellEnd"/>
      <w:r>
        <w:t xml:space="preserve">, si veda il capitolo precedente) verifica che ogni arco del modello a stati sia stato esercitato da almeno un test superato. Questa misura opera però a livello di </w:t>
      </w:r>
      <w:r>
        <w:rPr>
          <w:rStyle w:val="Enfasigrassetto"/>
        </w:rPr>
        <w:t>modello</w:t>
      </w:r>
      <w:r>
        <w:t xml:space="preserve">, non di </w:t>
      </w:r>
      <w:r>
        <w:rPr>
          <w:rStyle w:val="Enfasigrassetto"/>
        </w:rPr>
        <w:t>codice sorgente</w:t>
      </w:r>
      <w:r>
        <w:t xml:space="preserve">: due implementazioni radicalmente diverse della stessa transizione produrrebbero lo stesso risultato di copertura FSM. Per completare l'analisi con una misura complementare, abbiamo affiancato una </w:t>
      </w:r>
      <w:r>
        <w:rPr>
          <w:rStyle w:val="Enfasigrassetto"/>
        </w:rPr>
        <w:t>code coverage</w:t>
      </w:r>
      <w:r>
        <w:t xml:space="preserve"> reale sul server Node.js, usando Istanbul/</w:t>
      </w:r>
      <w:proofErr w:type="spellStart"/>
      <w:r>
        <w:t>nyc</w:t>
      </w:r>
      <w:proofErr w:type="spellEnd"/>
      <w:r>
        <w:t xml:space="preserve">, l'equivalente per l'ecosistema </w:t>
      </w:r>
      <w:proofErr w:type="spellStart"/>
      <w:r>
        <w:t>Node</w:t>
      </w:r>
      <w:proofErr w:type="spellEnd"/>
      <w:r>
        <w:t xml:space="preserve"> di strumenti come </w:t>
      </w:r>
      <w:proofErr w:type="spellStart"/>
      <w:r>
        <w:t>JaCoCo</w:t>
      </w:r>
      <w:proofErr w:type="spellEnd"/>
      <w:r>
        <w:t xml:space="preserve"> in ambito Java (non applicabile qui poiché il codice server è JavaScript, non Java).</w:t>
      </w:r>
    </w:p>
    <w:p w14:paraId="27723B43" w14:textId="6EE4B67D" w:rsidR="006C104C" w:rsidRDefault="006C104C">
      <w:r w:rsidRPr="006C104C">
        <w:lastRenderedPageBreak/>
        <w:drawing>
          <wp:inline distT="0" distB="0" distL="0" distR="0" wp14:anchorId="5739BD23" wp14:editId="6E453E45">
            <wp:extent cx="6120130" cy="3978275"/>
            <wp:effectExtent l="0" t="0" r="1270" b="0"/>
            <wp:docPr id="995078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8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28DA" w14:textId="77777777" w:rsidR="003479E5" w:rsidRDefault="003479E5"/>
    <w:p w14:paraId="67783DE3" w14:textId="77777777" w:rsidR="00F44DE7" w:rsidRDefault="003479E5">
      <w:r>
        <w:t xml:space="preserve">GESTORE: </w:t>
      </w:r>
      <w:r w:rsidRPr="003479E5">
        <w:drawing>
          <wp:inline distT="0" distB="0" distL="0" distR="0" wp14:anchorId="36E046C7" wp14:editId="2C6111A5">
            <wp:extent cx="6120130" cy="3978275"/>
            <wp:effectExtent l="0" t="0" r="1270" b="0"/>
            <wp:docPr id="20319692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9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analisi </w:t>
      </w:r>
      <w:proofErr w:type="gramStart"/>
      <w:r>
        <w:t>statica :</w:t>
      </w:r>
      <w:proofErr w:type="gramEnd"/>
      <w:r>
        <w:t xml:space="preserve"> </w:t>
      </w:r>
    </w:p>
    <w:p w14:paraId="7A5137CC" w14:textId="38EB7951" w:rsidR="003479E5" w:rsidRDefault="00F44DE7">
      <w:pPr>
        <w:rPr>
          <w:lang w:val="en-US"/>
        </w:rPr>
      </w:pPr>
      <w:proofErr w:type="spellStart"/>
      <w:proofErr w:type="gramStart"/>
      <w:r w:rsidRPr="006349B4">
        <w:rPr>
          <w:lang w:val="en-US"/>
        </w:rPr>
        <w:lastRenderedPageBreak/>
        <w:t>comando</w:t>
      </w:r>
      <w:proofErr w:type="spellEnd"/>
      <w:r w:rsidRPr="006349B4">
        <w:rPr>
          <w:lang w:val="en-US"/>
        </w:rPr>
        <w:t xml:space="preserve"> :</w:t>
      </w:r>
      <w:proofErr w:type="gramEnd"/>
      <w:r w:rsidRPr="006349B4">
        <w:rPr>
          <w:lang w:val="en-US"/>
        </w:rPr>
        <w:t xml:space="preserve"> </w:t>
      </w:r>
      <w:proofErr w:type="spellStart"/>
      <w:r w:rsidRPr="006349B4">
        <w:rPr>
          <w:lang w:val="en-US"/>
        </w:rPr>
        <w:t>npx</w:t>
      </w:r>
      <w:proofErr w:type="spellEnd"/>
      <w:r w:rsidRPr="006349B4">
        <w:rPr>
          <w:lang w:val="en-US"/>
        </w:rPr>
        <w:t xml:space="preserve"> </w:t>
      </w:r>
      <w:proofErr w:type="spellStart"/>
      <w:r w:rsidRPr="006349B4">
        <w:rPr>
          <w:lang w:val="en-US"/>
        </w:rPr>
        <w:t>eslint</w:t>
      </w:r>
      <w:proofErr w:type="spellEnd"/>
      <w:r w:rsidRPr="006349B4">
        <w:rPr>
          <w:lang w:val="en-US"/>
        </w:rPr>
        <w:t xml:space="preserve"> ServerCliente.js ServerGestore.js --format stylish</w:t>
      </w:r>
      <w:r w:rsidR="003479E5" w:rsidRPr="006349B4">
        <w:rPr>
          <w:lang w:val="en-US"/>
        </w:rPr>
        <w:br/>
      </w:r>
      <w:r w:rsidR="003479E5" w:rsidRPr="003479E5">
        <w:drawing>
          <wp:inline distT="0" distB="0" distL="0" distR="0" wp14:anchorId="55AA2332" wp14:editId="00F026A7">
            <wp:extent cx="6120130" cy="2132330"/>
            <wp:effectExtent l="0" t="0" r="1270" b="1270"/>
            <wp:docPr id="6766377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7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FABB" w14:textId="77777777" w:rsidR="006349B4" w:rsidRPr="006349B4" w:rsidRDefault="006349B4">
      <w:r w:rsidRPr="006349B4">
        <w:t xml:space="preserve">ANALISI CLIENT.HTML &amp; Gestore HTML: </w:t>
      </w:r>
    </w:p>
    <w:p w14:paraId="6304EBB6" w14:textId="77777777" w:rsidR="006349B4" w:rsidRPr="006349B4" w:rsidRDefault="006349B4" w:rsidP="006349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349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Commento al risultato</w:t>
      </w:r>
    </w:p>
    <w:p w14:paraId="4ED38C5E" w14:textId="77777777" w:rsidR="006349B4" w:rsidRPr="006349B4" w:rsidRDefault="006349B4" w:rsidP="00634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349B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Zero errori su entrambi i file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buona notizia, e non è un risultato vuoto: anche senza un file di configurazione personalizzato, </w:t>
      </w:r>
      <w:proofErr w:type="spellStart"/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htmlhint</w:t>
      </w:r>
      <w:proofErr w:type="spellEnd"/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applica di default un set di regole abbastanza sensato (tag chiusi correttamente, 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univoci nella pagina, attributi non duplicati, presenza del </w:t>
      </w:r>
      <w:proofErr w:type="spellStart"/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doctype</w:t>
      </w:r>
      <w:proofErr w:type="spellEnd"/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ecc.). Il fatto che sia il 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Cliente.html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il 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Gestore.html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 passino puliti è una conferma concreta, non solo un'assenza di segnale — in particolare la regola sugli 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univoci è rilevante per te: se avessi avuto due elementi con lo stesso 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usato dai selettori </w:t>
      </w:r>
      <w:proofErr w:type="spellStart"/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Selenium</w:t>
      </w:r>
      <w:proofErr w:type="spellEnd"/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r w:rsidRPr="006349B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By.id(...)</w:t>
      </w: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), qui sarebbe emerso subito, invece che come bug intermittente scoperto a fatica durante i test.</w:t>
      </w:r>
    </w:p>
    <w:p w14:paraId="24BCD787" w14:textId="77777777" w:rsidR="006349B4" w:rsidRPr="006349B4" w:rsidRDefault="006349B4" w:rsidP="00634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349B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la relazione:</w:t>
      </w:r>
    </w:p>
    <w:p w14:paraId="7BA526AA" w14:textId="77777777" w:rsidR="006349B4" w:rsidRPr="006349B4" w:rsidRDefault="006349B4" w:rsidP="00634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349B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"L'analisi statica sul markup HTML lato client (</w:t>
      </w:r>
      <w:proofErr w:type="spellStart"/>
      <w:r w:rsidRPr="006349B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htmlhint</w:t>
      </w:r>
      <w:proofErr w:type="spellEnd"/>
      <w:r w:rsidRPr="006349B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) non ha rilevato problemi strutturali su nessuna delle due interfacce, incluse le regole di unicità degli identificatori DOM — rilevante perché gli stessi identificatori sono usati come selettori nei test </w:t>
      </w:r>
      <w:proofErr w:type="spellStart"/>
      <w:r w:rsidRPr="006349B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Selenium</w:t>
      </w:r>
      <w:proofErr w:type="spellEnd"/>
      <w:r w:rsidRPr="006349B4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."</w:t>
      </w:r>
    </w:p>
    <w:p w14:paraId="1C8F2F2E" w14:textId="6C161275" w:rsidR="006349B4" w:rsidRPr="006349B4" w:rsidRDefault="006349B4">
      <w:pPr>
        <w:rPr>
          <w:lang w:val="en-US"/>
        </w:rPr>
      </w:pPr>
      <w:r w:rsidRPr="006349B4">
        <w:br/>
      </w:r>
      <w:r w:rsidRPr="006349B4">
        <w:rPr>
          <w:lang w:val="en-US"/>
        </w:rPr>
        <w:drawing>
          <wp:inline distT="0" distB="0" distL="0" distR="0" wp14:anchorId="5A8603A1" wp14:editId="7F29A1FC">
            <wp:extent cx="6120130" cy="1908810"/>
            <wp:effectExtent l="0" t="0" r="1270" b="0"/>
            <wp:docPr id="2394854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5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9B4" w:rsidRPr="006349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06"/>
    <w:rsid w:val="002E7251"/>
    <w:rsid w:val="003479E5"/>
    <w:rsid w:val="006349B4"/>
    <w:rsid w:val="006C104C"/>
    <w:rsid w:val="006D2D2C"/>
    <w:rsid w:val="00727EA5"/>
    <w:rsid w:val="00B64CDB"/>
    <w:rsid w:val="00EC182A"/>
    <w:rsid w:val="00F44DE7"/>
    <w:rsid w:val="00FA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BCDF5"/>
  <w15:chartTrackingRefBased/>
  <w15:docId w15:val="{5374BFC3-70AD-5F4A-A401-5455ADA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A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A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6D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6D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6D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6D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6D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6D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6D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6D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6D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6D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6D06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2E7251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2E725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e"/>
    <w:rsid w:val="00634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6349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FALCO</dc:creator>
  <cp:keywords/>
  <dc:description/>
  <cp:lastModifiedBy>GIOVANNI FALCO</cp:lastModifiedBy>
  <cp:revision>3</cp:revision>
  <dcterms:created xsi:type="dcterms:W3CDTF">2026-07-09T15:52:00Z</dcterms:created>
  <dcterms:modified xsi:type="dcterms:W3CDTF">2026-07-09T17:03:00Z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2026-07-09T15:53:57Z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90246d77-f00c-4431-ba5b-7e444ec2fee9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