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21E2B"/>
          <w:sz w:val="68"/>
        </w:rPr>
        <w:t>TECHWISE</w:t>
      </w:r>
    </w:p>
    <w:p>
      <w:pPr>
        <w:jc w:val="center"/>
      </w:pPr>
      <w:r>
        <w:rPr>
          <w:color w:val="374B5A"/>
          <w:sz w:val="30"/>
        </w:rPr>
        <w:t>Smart E-Commerce &amp; Product Intelligence Platform</w:t>
      </w:r>
    </w:p>
    <w:p>
      <w:pPr>
        <w:spacing w:before="500"/>
        <w:jc w:val="center"/>
      </w:pPr>
      <w:r>
        <w:rPr>
          <w:b/>
          <w:color w:val="195A6E"/>
          <w:sz w:val="40"/>
        </w:rPr>
        <w:t>PROJECT PLANNING &amp; MANAGEMENT</w:t>
      </w:r>
    </w:p>
    <w:p>
      <w:pPr>
        <w:spacing w:before="360"/>
        <w:jc w:val="center"/>
      </w:pPr>
      <w:r>
        <w:t>Falcon Team</w:t>
        <w:br/>
        <w:t>DEPI Graduation Project</w:t>
        <w:br/>
        <w:t>Planning Window: 2–16 October 2026</w:t>
        <w:br/>
        <w:t>Submission Deadline: 16 October 2026</w:t>
      </w:r>
    </w:p>
    <w:p>
      <w:pPr>
        <w:spacing w:before="800"/>
        <w:jc w:val="center"/>
      </w:pPr>
      <w:r>
        <w:rPr>
          <w:b/>
          <w:color w:val="A05A14"/>
        </w:rPr>
        <w:t>WORKING DRAFT — REVIEW REQUIRED</w:t>
      </w:r>
    </w:p>
    <w:p>
      <w:pPr>
        <w:jc w:val="center"/>
      </w:pPr>
      <w:r>
        <w:t>Prepared from confirmed TechWise project context and the supplied DEPI guidelines. Proposed assignments and KPI targets require team approval.</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84A"/>
          </w:tcPr>
          <w:p>
            <w:pPr>
              <w:spacing w:after="20"/>
            </w:pPr>
            <w:r>
              <w:rPr>
                <w:rFonts w:ascii="Aptos" w:hAnsi="Aptos"/>
                <w:b/>
                <w:color w:val="FFFFFF"/>
                <w:sz w:val="16"/>
              </w:rPr>
              <w:t>Field</w:t>
            </w:r>
          </w:p>
        </w:tc>
        <w:tc>
          <w:tcPr>
            <w:tcW w:type="dxa" w:w="5112"/>
            <w:vAlign w:val="center"/>
            <w:shd w:fill="17384A"/>
          </w:tcPr>
          <w:p>
            <w:pPr>
              <w:spacing w:after="20"/>
            </w:pPr>
            <w:r>
              <w:rPr>
                <w:rFonts w:ascii="Aptos" w:hAnsi="Aptos"/>
                <w:b/>
                <w:color w:val="FFFFFF"/>
                <w:sz w:val="16"/>
              </w:rPr>
              <w:t>Value</w:t>
            </w:r>
          </w:p>
        </w:tc>
      </w:tr>
      <w:tr>
        <w:tc>
          <w:tcPr>
            <w:tcW w:type="dxa" w:w="5112"/>
            <w:vAlign w:val="center"/>
          </w:tcPr>
          <w:p>
            <w:pPr>
              <w:spacing w:after="20"/>
            </w:pPr>
            <w:r>
              <w:rPr>
                <w:rFonts w:ascii="Aptos" w:hAnsi="Aptos"/>
                <w:sz w:val="16"/>
              </w:rPr>
              <w:t>Project</w:t>
            </w:r>
          </w:p>
        </w:tc>
        <w:tc>
          <w:tcPr>
            <w:tcW w:type="dxa" w:w="5112"/>
            <w:vAlign w:val="center"/>
          </w:tcPr>
          <w:p>
            <w:pPr>
              <w:spacing w:after="20"/>
            </w:pPr>
            <w:r>
              <w:rPr>
                <w:rFonts w:ascii="Aptos" w:hAnsi="Aptos"/>
                <w:sz w:val="16"/>
              </w:rPr>
              <w:t>TechWise — Smart E-Commerce &amp; Product Intelligence Platform</w:t>
            </w:r>
          </w:p>
        </w:tc>
      </w:tr>
      <w:tr>
        <w:tc>
          <w:tcPr>
            <w:tcW w:type="dxa" w:w="5112"/>
            <w:vAlign w:val="center"/>
            <w:shd w:fill="F2F5F7"/>
          </w:tcPr>
          <w:p>
            <w:pPr>
              <w:spacing w:after="20"/>
            </w:pPr>
            <w:r>
              <w:rPr>
                <w:rFonts w:ascii="Aptos" w:hAnsi="Aptos"/>
                <w:sz w:val="16"/>
              </w:rPr>
              <w:t>Team</w:t>
            </w:r>
          </w:p>
        </w:tc>
        <w:tc>
          <w:tcPr>
            <w:tcW w:type="dxa" w:w="5112"/>
            <w:vAlign w:val="center"/>
            <w:shd w:fill="F2F5F7"/>
          </w:tcPr>
          <w:p>
            <w:pPr>
              <w:spacing w:after="20"/>
            </w:pPr>
            <w:r>
              <w:rPr>
                <w:rFonts w:ascii="Aptos" w:hAnsi="Aptos"/>
                <w:sz w:val="16"/>
              </w:rPr>
              <w:t>Falcon Team</w:t>
            </w:r>
          </w:p>
        </w:tc>
      </w:tr>
      <w:tr>
        <w:tc>
          <w:tcPr>
            <w:tcW w:type="dxa" w:w="5112"/>
            <w:vAlign w:val="center"/>
          </w:tcPr>
          <w:p>
            <w:pPr>
              <w:spacing w:after="20"/>
            </w:pPr>
            <w:r>
              <w:rPr>
                <w:rFonts w:ascii="Aptos" w:hAnsi="Aptos"/>
                <w:sz w:val="16"/>
              </w:rPr>
              <w:t>Document</w:t>
            </w:r>
          </w:p>
        </w:tc>
        <w:tc>
          <w:tcPr>
            <w:tcW w:type="dxa" w:w="5112"/>
            <w:vAlign w:val="center"/>
          </w:tcPr>
          <w:p>
            <w:pPr>
              <w:spacing w:after="20"/>
            </w:pPr>
            <w:r>
              <w:rPr>
                <w:rFonts w:ascii="Aptos" w:hAnsi="Aptos"/>
                <w:sz w:val="16"/>
              </w:rPr>
              <w:t>Project Planning &amp; Management</w:t>
            </w:r>
          </w:p>
        </w:tc>
      </w:tr>
      <w:tr>
        <w:tc>
          <w:tcPr>
            <w:tcW w:type="dxa" w:w="5112"/>
            <w:vAlign w:val="center"/>
            <w:shd w:fill="F2F5F7"/>
          </w:tcPr>
          <w:p>
            <w:pPr>
              <w:spacing w:after="20"/>
            </w:pPr>
            <w:r>
              <w:rPr>
                <w:rFonts w:ascii="Aptos" w:hAnsi="Aptos"/>
                <w:sz w:val="16"/>
              </w:rPr>
              <w:t>Planning window</w:t>
            </w:r>
          </w:p>
        </w:tc>
        <w:tc>
          <w:tcPr>
            <w:tcW w:type="dxa" w:w="5112"/>
            <w:vAlign w:val="center"/>
            <w:shd w:fill="F2F5F7"/>
          </w:tcPr>
          <w:p>
            <w:pPr>
              <w:spacing w:after="20"/>
            </w:pPr>
            <w:r>
              <w:rPr>
                <w:rFonts w:ascii="Aptos" w:hAnsi="Aptos"/>
                <w:sz w:val="16"/>
              </w:rPr>
              <w:t>2 October 2026 – 16 October 2026</w:t>
            </w:r>
          </w:p>
        </w:tc>
      </w:tr>
      <w:tr>
        <w:tc>
          <w:tcPr>
            <w:tcW w:type="dxa" w:w="5112"/>
            <w:vAlign w:val="center"/>
          </w:tcPr>
          <w:p>
            <w:pPr>
              <w:spacing w:after="20"/>
            </w:pPr>
            <w:r>
              <w:rPr>
                <w:rFonts w:ascii="Aptos" w:hAnsi="Aptos"/>
                <w:sz w:val="16"/>
              </w:rPr>
              <w:t>Submission deadline</w:t>
            </w:r>
          </w:p>
        </w:tc>
        <w:tc>
          <w:tcPr>
            <w:tcW w:type="dxa" w:w="5112"/>
            <w:vAlign w:val="center"/>
          </w:tcPr>
          <w:p>
            <w:pPr>
              <w:spacing w:after="20"/>
            </w:pPr>
            <w:r>
              <w:rPr>
                <w:rFonts w:ascii="Aptos" w:hAnsi="Aptos"/>
                <w:sz w:val="16"/>
              </w:rPr>
              <w:t>16 October 2026</w:t>
            </w:r>
          </w:p>
        </w:tc>
      </w:tr>
      <w:tr>
        <w:tc>
          <w:tcPr>
            <w:tcW w:type="dxa" w:w="5112"/>
            <w:vAlign w:val="center"/>
            <w:shd w:fill="F2F5F7"/>
          </w:tcPr>
          <w:p>
            <w:pPr>
              <w:spacing w:after="20"/>
            </w:pPr>
            <w:r>
              <w:rPr>
                <w:rFonts w:ascii="Aptos" w:hAnsi="Aptos"/>
                <w:sz w:val="16"/>
              </w:rPr>
              <w:t>Status</w:t>
            </w:r>
          </w:p>
        </w:tc>
        <w:tc>
          <w:tcPr>
            <w:tcW w:type="dxa" w:w="5112"/>
            <w:vAlign w:val="center"/>
            <w:shd w:fill="F2F5F7"/>
          </w:tcPr>
          <w:p>
            <w:pPr>
              <w:spacing w:after="20"/>
            </w:pPr>
            <w:r>
              <w:rPr>
                <w:rFonts w:ascii="Aptos" w:hAnsi="Aptos"/>
                <w:sz w:val="16"/>
              </w:rPr>
              <w:t>Working draft; proposed assignments and KPI targets require team review</w:t>
            </w:r>
          </w:p>
        </w:tc>
      </w:tr>
    </w:tbl>
    <w:p>
      <w:pPr>
        <w:spacing w:after="0"/>
      </w:pPr>
    </w:p>
    <w:p>
      <w:pPr>
        <w:pStyle w:val="Heading1"/>
      </w:pPr>
      <w:r>
        <w:t>2. Executive Summary</w:t>
      </w:r>
    </w:p>
    <w:p>
      <w:r>
        <w:t>TechWise is a smart e-commerce and product-intelligence platform designed to support the product lifecycle beyond a conventional online store: Discover → Understand → Compare → Decide → Buy → Own → Upgrade → Resell → Transfer.</w:t>
      </w:r>
    </w:p>
    <w:p>
      <w:r>
        <w:t>The platform combines AI-assisted shopping, product intelligence, compatibility information, purchase decision support, product-truth mechanisms, lifecycle management, and a verified second-life marketplace.</w:t>
      </w:r>
    </w:p>
    <w:p>
      <w:r>
        <w:t>Planning principle: AI supports intent understanding, explanation, recommendation, and summarization. Deterministic backend services and database records remain responsible for validation, business rules, compatibility decisions, calculations, authorization, ownership, and factual product state.</w:t>
      </w:r>
    </w:p>
    <w:p>
      <w:pPr>
        <w:pStyle w:val="Heading1"/>
      </w:pPr>
      <w:r>
        <w:t>3. Project Proposal</w:t>
      </w:r>
    </w:p>
    <w:p>
      <w:pPr>
        <w:pStyle w:val="Heading2"/>
      </w:pPr>
      <w:r>
        <w:t>3.1 Problem Statement</w:t>
      </w:r>
    </w:p>
    <w:p>
      <w:r>
        <w:t>Conventional e-commerce experiences often focus on product discovery and checkout. Buyers may still need to research specifications, compare alternatives, understand compatibility, evaluate product claims, and decide whether to buy, upgrade, or resell. Second-life transactions also need clear eligibility and ownership-history rules. TechWise aims to bring these decision and lifecycle activities into one coherent platform.</w:t>
      </w:r>
    </w:p>
    <w:p>
      <w:pPr>
        <w:pStyle w:val="Heading2"/>
      </w:pPr>
      <w:r>
        <w:t>3.2 Project Objectives</w:t>
      </w:r>
    </w:p>
    <w:p>
      <w:pPr>
        <w:pStyle w:val="ListBullet"/>
        <w:spacing w:after="40"/>
      </w:pPr>
      <w:r>
        <w:t>Help users discover products through structured search, filtering, and AI-assisted natural-language intent understanding.</w:t>
      </w:r>
    </w:p>
    <w:p>
      <w:pPr>
        <w:pStyle w:val="ListBullet"/>
        <w:spacing w:after="40"/>
      </w:pPr>
      <w:r>
        <w:t>Present product information to support understanding and comparison.</w:t>
      </w:r>
    </w:p>
    <w:p>
      <w:pPr>
        <w:pStyle w:val="ListBullet"/>
        <w:spacing w:after="40"/>
      </w:pPr>
      <w:r>
        <w:t>Support purchase decisions using explicit requirements, compatibility information, and deterministic decision logic.</w:t>
      </w:r>
    </w:p>
    <w:p>
      <w:pPr>
        <w:pStyle w:val="ListBullet"/>
        <w:spacing w:after="40"/>
      </w:pPr>
      <w:r>
        <w:t>Separate recorded product facts from AI-generated explanations and recommendations.</w:t>
      </w:r>
    </w:p>
    <w:p>
      <w:pPr>
        <w:pStyle w:val="ListBullet"/>
        <w:spacing w:after="40"/>
      </w:pPr>
      <w:r>
        <w:t>Support a second-life marketplace subject to platform-origin, current-ownership, listing-eligibility, and dispute checks.</w:t>
      </w:r>
    </w:p>
    <w:p>
      <w:pPr>
        <w:pStyle w:val="ListBullet"/>
        <w:spacing w:after="40"/>
      </w:pPr>
      <w:r>
        <w:t>Preserve product-asset history across resale while changing ownership records and protecting previous owners’ personal information.</w:t>
      </w:r>
    </w:p>
    <w:p>
      <w:pPr>
        <w:pStyle w:val="Heading2"/>
      </w:pPr>
      <w:r>
        <w:t>3.3 Scope — In Scope</w:t>
      </w:r>
    </w:p>
    <w:p>
      <w:pPr>
        <w:pStyle w:val="ListBullet"/>
        <w:spacing w:after="40"/>
      </w:pPr>
      <w:r>
        <w:t>AI Shopping Intelligence.</w:t>
      </w:r>
    </w:p>
    <w:p>
      <w:pPr>
        <w:pStyle w:val="ListBullet"/>
        <w:spacing w:after="40"/>
      </w:pPr>
      <w:r>
        <w:t>Verified Second-Life Marketplace.</w:t>
      </w:r>
    </w:p>
    <w:p>
      <w:pPr>
        <w:pStyle w:val="ListBullet"/>
        <w:spacing w:after="40"/>
      </w:pPr>
      <w:r>
        <w:t>Product Compatibility Graph.</w:t>
      </w:r>
    </w:p>
    <w:p>
      <w:pPr>
        <w:pStyle w:val="ListBullet"/>
        <w:spacing w:after="40"/>
      </w:pPr>
      <w:r>
        <w:t>Purchase Decision Engine.</w:t>
      </w:r>
    </w:p>
    <w:p>
      <w:pPr>
        <w:pStyle w:val="ListBullet"/>
        <w:spacing w:after="40"/>
      </w:pPr>
      <w:r>
        <w:t>Product Truth Layer.</w:t>
      </w:r>
    </w:p>
    <w:p>
      <w:pPr>
        <w:pStyle w:val="ListBullet"/>
        <w:spacing w:after="40"/>
      </w:pPr>
      <w:r>
        <w:t>Buy vs Upgrade vs Resell Engine.</w:t>
      </w:r>
    </w:p>
    <w:p>
      <w:pPr>
        <w:pStyle w:val="ListBullet"/>
        <w:spacing w:after="40"/>
      </w:pPr>
      <w:r>
        <w:t>Advanced Smart Filtering as a cross-cutting capability, not a separate core feature.</w:t>
      </w:r>
    </w:p>
    <w:p>
      <w:pPr>
        <w:pStyle w:val="ListBullet"/>
        <w:spacing w:after="40"/>
      </w:pPr>
      <w:r>
        <w:t>Responsive UI planning for desktop and mobile screen variants.</w:t>
      </w:r>
    </w:p>
    <w:p>
      <w:pPr>
        <w:pStyle w:val="Heading2"/>
      </w:pPr>
      <w:r>
        <w:t>3.4 Scope — Not Yet Confirmed / Exclusions</w:t>
      </w:r>
    </w:p>
    <w:p>
      <w:pPr>
        <w:pStyle w:val="ListBullet"/>
        <w:spacing w:after="40"/>
      </w:pPr>
      <w:r>
        <w:t>Specific payment gateway, hosting provider, AI model/provider, database engine, framework, or authentication provider unless formally selected.</w:t>
      </w:r>
    </w:p>
    <w:p>
      <w:pPr>
        <w:pStyle w:val="ListBullet"/>
        <w:spacing w:after="40"/>
      </w:pPr>
      <w:r>
        <w:t>Claims of physical platform verification unless a corresponding process is implemented.</w:t>
      </w:r>
    </w:p>
    <w:p>
      <w:pPr>
        <w:pStyle w:val="ListBullet"/>
        <w:spacing w:after="40"/>
      </w:pPr>
      <w:r>
        <w:t>Unapproved features beyond the confirmed core scope.</w:t>
      </w:r>
    </w:p>
    <w:p>
      <w:pPr>
        <w:pStyle w:val="ListBullet"/>
        <w:spacing w:after="40"/>
      </w:pPr>
      <w:r>
        <w:t>Treating AI output as authoritative product facts, eligibility, ownership, or compatibility.</w:t>
      </w:r>
    </w:p>
    <w:p>
      <w:pPr>
        <w:pStyle w:val="Heading2"/>
      </w:pPr>
      <w:r>
        <w:t>3.5 Primary Stakeholders</w:t>
      </w:r>
    </w:p>
    <w:p>
      <w:pPr>
        <w:pStyle w:val="ListBullet"/>
        <w:spacing w:after="40"/>
      </w:pPr>
      <w:r>
        <w:t>End customers: discover, compare, decide, buy, own, upgrade, and resell products.</w:t>
      </w:r>
    </w:p>
    <w:p>
      <w:pPr>
        <w:pStyle w:val="ListBullet"/>
        <w:spacing w:after="40"/>
      </w:pPr>
      <w:r>
        <w:t>Second-life sellers: list eligible products and provide required evidence.</w:t>
      </w:r>
    </w:p>
    <w:p>
      <w:pPr>
        <w:pStyle w:val="ListBullet"/>
        <w:spacing w:after="40"/>
      </w:pPr>
      <w:r>
        <w:t>Second-life buyers: evaluate condition, provenance, and available evidence.</w:t>
      </w:r>
    </w:p>
    <w:p>
      <w:pPr>
        <w:pStyle w:val="ListBullet"/>
        <w:spacing w:after="40"/>
      </w:pPr>
      <w:r>
        <w:t>Platform administrators/moderators: review listings, disputes, and policy compliance.</w:t>
      </w:r>
    </w:p>
    <w:p>
      <w:pPr>
        <w:pStyle w:val="ListBullet"/>
        <w:spacing w:after="40"/>
      </w:pPr>
      <w:r>
        <w:t>Falcon Team: plan, design, implement, test, document, and present the system.</w:t>
      </w:r>
    </w:p>
    <w:p>
      <w:pPr>
        <w:pStyle w:val="ListBullet"/>
        <w:spacing w:after="40"/>
      </w:pPr>
      <w:r>
        <w:t>DEPI instructors/evaluators: assess planning, requirements, design, implementation, testing, documentation, and presentation.</w:t>
      </w:r>
    </w:p>
    <w:p>
      <w:pPr>
        <w:pStyle w:val="Heading1"/>
      </w:pPr>
      <w:r>
        <w:t>4. Project Plan</w:t>
      </w:r>
    </w:p>
    <w:p>
      <w:pPr>
        <w:pStyle w:val="Heading2"/>
      </w:pPr>
      <w:r>
        <w:t>4.1 Delivery Approach</w:t>
      </w:r>
    </w:p>
    <w:p>
      <w:r>
        <w:t>The team will work cross-functionally. Work is divided by screens, features, modules, and deliverables rather than isolating members into permanent UI-only, backend-only, database-only, or testing-only silos. Each task should have one accountable coordinator/reviewer, while implementation and validation may involve multiple members.</w:t>
      </w:r>
    </w:p>
    <w:p>
      <w:pPr>
        <w:pStyle w:val="Heading2"/>
      </w:pPr>
      <w:r>
        <w:t>4.2 Schedule and Milestones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84A"/>
          </w:tcPr>
          <w:p>
            <w:pPr>
              <w:spacing w:after="20"/>
            </w:pPr>
            <w:r>
              <w:rPr>
                <w:rFonts w:ascii="Aptos" w:hAnsi="Aptos"/>
                <w:b/>
                <w:color w:val="FFFFFF"/>
                <w:sz w:val="16"/>
              </w:rPr>
              <w:t>Workstream</w:t>
            </w:r>
          </w:p>
        </w:tc>
        <w:tc>
          <w:tcPr>
            <w:tcW w:type="dxa" w:w="2556"/>
            <w:vAlign w:val="center"/>
            <w:shd w:fill="17384A"/>
          </w:tcPr>
          <w:p>
            <w:pPr>
              <w:spacing w:after="20"/>
            </w:pPr>
            <w:r>
              <w:rPr>
                <w:rFonts w:ascii="Aptos" w:hAnsi="Aptos"/>
                <w:b/>
                <w:color w:val="FFFFFF"/>
                <w:sz w:val="16"/>
              </w:rPr>
              <w:t>Start</w:t>
            </w:r>
          </w:p>
        </w:tc>
        <w:tc>
          <w:tcPr>
            <w:tcW w:type="dxa" w:w="2556"/>
            <w:vAlign w:val="center"/>
            <w:shd w:fill="17384A"/>
          </w:tcPr>
          <w:p>
            <w:pPr>
              <w:spacing w:after="20"/>
            </w:pPr>
            <w:r>
              <w:rPr>
                <w:rFonts w:ascii="Aptos" w:hAnsi="Aptos"/>
                <w:b/>
                <w:color w:val="FFFFFF"/>
                <w:sz w:val="16"/>
              </w:rPr>
              <w:t>Deadline</w:t>
            </w:r>
          </w:p>
        </w:tc>
        <w:tc>
          <w:tcPr>
            <w:tcW w:type="dxa" w:w="2556"/>
            <w:vAlign w:val="center"/>
            <w:shd w:fill="17384A"/>
          </w:tcPr>
          <w:p>
            <w:pPr>
              <w:spacing w:after="20"/>
            </w:pPr>
            <w:r>
              <w:rPr>
                <w:rFonts w:ascii="Aptos" w:hAnsi="Aptos"/>
                <w:b/>
                <w:color w:val="FFFFFF"/>
                <w:sz w:val="16"/>
              </w:rPr>
              <w:t>Milestone / evidence</w:t>
            </w:r>
          </w:p>
        </w:tc>
      </w:tr>
      <w:tr>
        <w:tc>
          <w:tcPr>
            <w:tcW w:type="dxa" w:w="2556"/>
            <w:vAlign w:val="center"/>
          </w:tcPr>
          <w:p>
            <w:pPr>
              <w:spacing w:after="20"/>
            </w:pPr>
            <w:r>
              <w:rPr>
                <w:rFonts w:ascii="Aptos" w:hAnsi="Aptos"/>
                <w:sz w:val="16"/>
              </w:rPr>
              <w:t>Project Planning &amp; Management</w:t>
            </w:r>
          </w:p>
        </w:tc>
        <w:tc>
          <w:tcPr>
            <w:tcW w:type="dxa" w:w="2556"/>
            <w:vAlign w:val="center"/>
          </w:tcPr>
          <w:p>
            <w:pPr>
              <w:spacing w:after="20"/>
            </w:pPr>
            <w:r>
              <w:rPr>
                <w:rFonts w:ascii="Aptos" w:hAnsi="Aptos"/>
                <w:sz w:val="16"/>
              </w:rPr>
              <w:t>2 Oct 2026</w:t>
            </w:r>
          </w:p>
        </w:tc>
        <w:tc>
          <w:tcPr>
            <w:tcW w:type="dxa" w:w="2556"/>
            <w:vAlign w:val="center"/>
          </w:tcPr>
          <w:p>
            <w:pPr>
              <w:spacing w:after="20"/>
            </w:pPr>
            <w:r>
              <w:rPr>
                <w:rFonts w:ascii="Aptos" w:hAnsi="Aptos"/>
                <w:sz w:val="16"/>
              </w:rPr>
              <w:t>16 Oct 2026</w:t>
            </w:r>
          </w:p>
        </w:tc>
        <w:tc>
          <w:tcPr>
            <w:tcW w:type="dxa" w:w="2556"/>
            <w:vAlign w:val="center"/>
          </w:tcPr>
          <w:p>
            <w:pPr>
              <w:spacing w:after="20"/>
            </w:pPr>
            <w:r>
              <w:rPr>
                <w:rFonts w:ascii="Aptos" w:hAnsi="Aptos"/>
                <w:sz w:val="16"/>
              </w:rPr>
              <w:t>Proposal, plan/Gantt, roles, risk plan, KPIs uploaded to GitHub</w:t>
            </w:r>
          </w:p>
        </w:tc>
      </w:tr>
      <w:tr>
        <w:tc>
          <w:tcPr>
            <w:tcW w:type="dxa" w:w="2556"/>
            <w:vAlign w:val="center"/>
            <w:shd w:fill="F2F5F7"/>
          </w:tcPr>
          <w:p>
            <w:pPr>
              <w:spacing w:after="20"/>
            </w:pPr>
            <w:r>
              <w:rPr>
                <w:rFonts w:ascii="Aptos" w:hAnsi="Aptos"/>
                <w:sz w:val="16"/>
              </w:rPr>
              <w:t>Literature Review</w:t>
            </w:r>
          </w:p>
        </w:tc>
        <w:tc>
          <w:tcPr>
            <w:tcW w:type="dxa" w:w="2556"/>
            <w:vAlign w:val="center"/>
            <w:shd w:fill="F2F5F7"/>
          </w:tcPr>
          <w:p>
            <w:pPr>
              <w:spacing w:after="20"/>
            </w:pPr>
            <w:r>
              <w:rPr>
                <w:rFonts w:ascii="Aptos" w:hAnsi="Aptos"/>
                <w:sz w:val="16"/>
              </w:rPr>
              <w:t>9 Oct 2026</w:t>
            </w:r>
          </w:p>
        </w:tc>
        <w:tc>
          <w:tcPr>
            <w:tcW w:type="dxa" w:w="2556"/>
            <w:vAlign w:val="center"/>
            <w:shd w:fill="F2F5F7"/>
          </w:tcPr>
          <w:p>
            <w:pPr>
              <w:spacing w:after="20"/>
            </w:pPr>
            <w:r>
              <w:rPr>
                <w:rFonts w:ascii="Aptos" w:hAnsi="Aptos"/>
                <w:sz w:val="16"/>
              </w:rPr>
              <w:t>16 Oct 2026</w:t>
            </w:r>
          </w:p>
        </w:tc>
        <w:tc>
          <w:tcPr>
            <w:tcW w:type="dxa" w:w="2556"/>
            <w:vAlign w:val="center"/>
            <w:shd w:fill="F2F5F7"/>
          </w:tcPr>
          <w:p>
            <w:pPr>
              <w:spacing w:after="20"/>
            </w:pPr>
            <w:r>
              <w:rPr>
                <w:rFonts w:ascii="Aptos" w:hAnsi="Aptos"/>
                <w:sz w:val="16"/>
              </w:rPr>
              <w:t>Relevant prior work and evaluation/improvement notes documented</w:t>
            </w:r>
          </w:p>
        </w:tc>
      </w:tr>
      <w:tr>
        <w:tc>
          <w:tcPr>
            <w:tcW w:type="dxa" w:w="2556"/>
            <w:vAlign w:val="center"/>
          </w:tcPr>
          <w:p>
            <w:pPr>
              <w:spacing w:after="20"/>
            </w:pPr>
            <w:r>
              <w:rPr>
                <w:rFonts w:ascii="Aptos" w:hAnsi="Aptos"/>
                <w:sz w:val="16"/>
              </w:rPr>
              <w:t>Requirements Gathering</w:t>
            </w:r>
          </w:p>
        </w:tc>
        <w:tc>
          <w:tcPr>
            <w:tcW w:type="dxa" w:w="2556"/>
            <w:vAlign w:val="center"/>
          </w:tcPr>
          <w:p>
            <w:pPr>
              <w:spacing w:after="20"/>
            </w:pPr>
            <w:r>
              <w:rPr>
                <w:rFonts w:ascii="Aptos" w:hAnsi="Aptos"/>
                <w:sz w:val="16"/>
              </w:rPr>
              <w:t>9 Oct 2026</w:t>
            </w:r>
          </w:p>
        </w:tc>
        <w:tc>
          <w:tcPr>
            <w:tcW w:type="dxa" w:w="2556"/>
            <w:vAlign w:val="center"/>
          </w:tcPr>
          <w:p>
            <w:pPr>
              <w:spacing w:after="20"/>
            </w:pPr>
            <w:r>
              <w:rPr>
                <w:rFonts w:ascii="Aptos" w:hAnsi="Aptos"/>
                <w:sz w:val="16"/>
              </w:rPr>
              <w:t>16 Oct 2026</w:t>
            </w:r>
          </w:p>
        </w:tc>
        <w:tc>
          <w:tcPr>
            <w:tcW w:type="dxa" w:w="2556"/>
            <w:vAlign w:val="center"/>
          </w:tcPr>
          <w:p>
            <w:pPr>
              <w:spacing w:after="20"/>
            </w:pPr>
            <w:r>
              <w:rPr>
                <w:rFonts w:ascii="Aptos" w:hAnsi="Aptos"/>
                <w:sz w:val="16"/>
              </w:rPr>
              <w:t>Stakeholders, user stories/use cases, functional and non-functional requirements</w:t>
            </w:r>
          </w:p>
        </w:tc>
      </w:tr>
      <w:tr>
        <w:tc>
          <w:tcPr>
            <w:tcW w:type="dxa" w:w="2556"/>
            <w:vAlign w:val="center"/>
            <w:shd w:fill="F2F5F7"/>
          </w:tcPr>
          <w:p>
            <w:pPr>
              <w:spacing w:after="20"/>
            </w:pPr>
            <w:r>
              <w:rPr>
                <w:rFonts w:ascii="Aptos" w:hAnsi="Aptos"/>
                <w:sz w:val="16"/>
              </w:rPr>
              <w:t>System Analysis &amp; Design</w:t>
            </w:r>
          </w:p>
        </w:tc>
        <w:tc>
          <w:tcPr>
            <w:tcW w:type="dxa" w:w="2556"/>
            <w:vAlign w:val="center"/>
            <w:shd w:fill="F2F5F7"/>
          </w:tcPr>
          <w:p>
            <w:pPr>
              <w:spacing w:after="20"/>
            </w:pPr>
            <w:r>
              <w:rPr>
                <w:rFonts w:ascii="Aptos" w:hAnsi="Aptos"/>
                <w:sz w:val="16"/>
              </w:rPr>
              <w:t>9 Oct 2026</w:t>
            </w:r>
          </w:p>
        </w:tc>
        <w:tc>
          <w:tcPr>
            <w:tcW w:type="dxa" w:w="2556"/>
            <w:vAlign w:val="center"/>
            <w:shd w:fill="F2F5F7"/>
          </w:tcPr>
          <w:p>
            <w:pPr>
              <w:spacing w:after="20"/>
            </w:pPr>
            <w:r>
              <w:rPr>
                <w:rFonts w:ascii="Aptos" w:hAnsi="Aptos"/>
                <w:sz w:val="16"/>
              </w:rPr>
              <w:t>6 Nov 2026</w:t>
            </w:r>
          </w:p>
        </w:tc>
        <w:tc>
          <w:tcPr>
            <w:tcW w:type="dxa" w:w="2556"/>
            <w:vAlign w:val="center"/>
            <w:shd w:fill="F2F5F7"/>
          </w:tcPr>
          <w:p>
            <w:pPr>
              <w:spacing w:after="20"/>
            </w:pPr>
            <w:r>
              <w:rPr>
                <w:rFonts w:ascii="Aptos" w:hAnsi="Aptos"/>
                <w:sz w:val="16"/>
              </w:rPr>
              <w:t>Architecture, required diagrams, data model, UI/UX prototypes and guidelines</w:t>
            </w:r>
          </w:p>
        </w:tc>
      </w:tr>
      <w:tr>
        <w:tc>
          <w:tcPr>
            <w:tcW w:type="dxa" w:w="2556"/>
            <w:vAlign w:val="center"/>
          </w:tcPr>
          <w:p>
            <w:pPr>
              <w:spacing w:after="20"/>
            </w:pPr>
            <w:r>
              <w:rPr>
                <w:rFonts w:ascii="Aptos" w:hAnsi="Aptos"/>
                <w:sz w:val="16"/>
              </w:rPr>
              <w:t>Implementation</w:t>
            </w:r>
          </w:p>
        </w:tc>
        <w:tc>
          <w:tcPr>
            <w:tcW w:type="dxa" w:w="2556"/>
            <w:vAlign w:val="center"/>
          </w:tcPr>
          <w:p>
            <w:pPr>
              <w:spacing w:after="20"/>
            </w:pPr>
            <w:r>
              <w:rPr>
                <w:rFonts w:ascii="Aptos" w:hAnsi="Aptos"/>
                <w:sz w:val="16"/>
              </w:rPr>
              <w:t>16 Oct 2026</w:t>
            </w:r>
          </w:p>
        </w:tc>
        <w:tc>
          <w:tcPr>
            <w:tcW w:type="dxa" w:w="2556"/>
            <w:vAlign w:val="center"/>
          </w:tcPr>
          <w:p>
            <w:pPr>
              <w:spacing w:after="20"/>
            </w:pPr>
            <w:r>
              <w:rPr>
                <w:rFonts w:ascii="Aptos" w:hAnsi="Aptos"/>
                <w:sz w:val="16"/>
              </w:rPr>
              <w:t>30 Nov 2026</w:t>
            </w:r>
          </w:p>
        </w:tc>
        <w:tc>
          <w:tcPr>
            <w:tcW w:type="dxa" w:w="2556"/>
            <w:vAlign w:val="center"/>
          </w:tcPr>
          <w:p>
            <w:pPr>
              <w:spacing w:after="20"/>
            </w:pPr>
            <w:r>
              <w:rPr>
                <w:rFonts w:ascii="Aptos" w:hAnsi="Aptos"/>
                <w:sz w:val="16"/>
              </w:rPr>
              <w:t>Integrated source code and executable/deployed demonstration as feasible</w:t>
            </w:r>
          </w:p>
        </w:tc>
      </w:tr>
      <w:tr>
        <w:tc>
          <w:tcPr>
            <w:tcW w:type="dxa" w:w="2556"/>
            <w:vAlign w:val="center"/>
            <w:shd w:fill="F2F5F7"/>
          </w:tcPr>
          <w:p>
            <w:pPr>
              <w:spacing w:after="20"/>
            </w:pPr>
            <w:r>
              <w:rPr>
                <w:rFonts w:ascii="Aptos" w:hAnsi="Aptos"/>
                <w:sz w:val="16"/>
              </w:rPr>
              <w:t>Final Presentation, Testing &amp; Reports</w:t>
            </w:r>
          </w:p>
        </w:tc>
        <w:tc>
          <w:tcPr>
            <w:tcW w:type="dxa" w:w="2556"/>
            <w:vAlign w:val="center"/>
            <w:shd w:fill="F2F5F7"/>
          </w:tcPr>
          <w:p>
            <w:pPr>
              <w:spacing w:after="20"/>
            </w:pPr>
            <w:r>
              <w:rPr>
                <w:rFonts w:ascii="Aptos" w:hAnsi="Aptos"/>
                <w:sz w:val="16"/>
              </w:rPr>
              <w:t>16 Oct 2026</w:t>
            </w:r>
          </w:p>
        </w:tc>
        <w:tc>
          <w:tcPr>
            <w:tcW w:type="dxa" w:w="2556"/>
            <w:vAlign w:val="center"/>
            <w:shd w:fill="F2F5F7"/>
          </w:tcPr>
          <w:p>
            <w:pPr>
              <w:spacing w:after="20"/>
            </w:pPr>
            <w:r>
              <w:rPr>
                <w:rFonts w:ascii="Aptos" w:hAnsi="Aptos"/>
                <w:sz w:val="16"/>
              </w:rPr>
              <w:t>4 Dec 2026</w:t>
            </w:r>
          </w:p>
        </w:tc>
        <w:tc>
          <w:tcPr>
            <w:tcW w:type="dxa" w:w="2556"/>
            <w:vAlign w:val="center"/>
            <w:shd w:fill="F2F5F7"/>
          </w:tcPr>
          <w:p>
            <w:pPr>
              <w:spacing w:after="20"/>
            </w:pPr>
            <w:r>
              <w:rPr>
                <w:rFonts w:ascii="Aptos" w:hAnsi="Aptos"/>
                <w:sz w:val="16"/>
              </w:rPr>
              <w:t>Test evidence, user/technical docs, presentation and final report</w:t>
            </w:r>
          </w:p>
        </w:tc>
      </w:tr>
    </w:tbl>
    <w:p>
      <w:pPr>
        <w:spacing w:after="0"/>
      </w:pPr>
    </w:p>
    <w:p>
      <w:pPr>
        <w:pStyle w:val="Heading2"/>
      </w:pPr>
      <w:r>
        <w:t>4.3 Near-Term Work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84A"/>
          </w:tcPr>
          <w:p>
            <w:pPr>
              <w:spacing w:after="20"/>
            </w:pPr>
            <w:r>
              <w:rPr>
                <w:rFonts w:ascii="Aptos" w:hAnsi="Aptos"/>
                <w:b/>
                <w:color w:val="FFFFFF"/>
                <w:sz w:val="16"/>
              </w:rPr>
              <w:t>Date</w:t>
            </w:r>
          </w:p>
        </w:tc>
        <w:tc>
          <w:tcPr>
            <w:tcW w:type="dxa" w:w="3408"/>
            <w:vAlign w:val="center"/>
            <w:shd w:fill="17384A"/>
          </w:tcPr>
          <w:p>
            <w:pPr>
              <w:spacing w:after="20"/>
            </w:pPr>
            <w:r>
              <w:rPr>
                <w:rFonts w:ascii="Aptos" w:hAnsi="Aptos"/>
                <w:b/>
                <w:color w:val="FFFFFF"/>
                <w:sz w:val="16"/>
              </w:rPr>
              <w:t>Activity</w:t>
            </w:r>
          </w:p>
        </w:tc>
        <w:tc>
          <w:tcPr>
            <w:tcW w:type="dxa" w:w="3408"/>
            <w:vAlign w:val="center"/>
            <w:shd w:fill="17384A"/>
          </w:tcPr>
          <w:p>
            <w:pPr>
              <w:spacing w:after="20"/>
            </w:pPr>
            <w:r>
              <w:rPr>
                <w:rFonts w:ascii="Aptos" w:hAnsi="Aptos"/>
                <w:b/>
                <w:color w:val="FFFFFF"/>
                <w:sz w:val="16"/>
              </w:rPr>
              <w:t>Exit condition</w:t>
            </w:r>
          </w:p>
        </w:tc>
      </w:tr>
      <w:tr>
        <w:tc>
          <w:tcPr>
            <w:tcW w:type="dxa" w:w="3408"/>
            <w:vAlign w:val="center"/>
          </w:tcPr>
          <w:p>
            <w:pPr>
              <w:spacing w:after="20"/>
            </w:pPr>
            <w:r>
              <w:rPr>
                <w:rFonts w:ascii="Aptos" w:hAnsi="Aptos"/>
                <w:sz w:val="16"/>
              </w:rPr>
              <w:t>10 Oct</w:t>
            </w:r>
          </w:p>
        </w:tc>
        <w:tc>
          <w:tcPr>
            <w:tcW w:type="dxa" w:w="3408"/>
            <w:vAlign w:val="center"/>
          </w:tcPr>
          <w:p>
            <w:pPr>
              <w:spacing w:after="20"/>
            </w:pPr>
            <w:r>
              <w:rPr>
                <w:rFonts w:ascii="Aptos" w:hAnsi="Aptos"/>
                <w:sz w:val="16"/>
              </w:rPr>
              <w:t>Inventory existing documents and decisions</w:t>
            </w:r>
          </w:p>
        </w:tc>
        <w:tc>
          <w:tcPr>
            <w:tcW w:type="dxa" w:w="3408"/>
            <w:vAlign w:val="center"/>
          </w:tcPr>
          <w:p>
            <w:pPr>
              <w:spacing w:after="20"/>
            </w:pPr>
            <w:r>
              <w:rPr>
                <w:rFonts w:ascii="Aptos" w:hAnsi="Aptos"/>
                <w:sz w:val="16"/>
              </w:rPr>
              <w:t>Existing work classified complete / partial / missing</w:t>
            </w:r>
          </w:p>
        </w:tc>
      </w:tr>
      <w:tr>
        <w:tc>
          <w:tcPr>
            <w:tcW w:type="dxa" w:w="3408"/>
            <w:vAlign w:val="center"/>
            <w:shd w:fill="F2F5F7"/>
          </w:tcPr>
          <w:p>
            <w:pPr>
              <w:spacing w:after="20"/>
            </w:pPr>
            <w:r>
              <w:rPr>
                <w:rFonts w:ascii="Aptos" w:hAnsi="Aptos"/>
                <w:sz w:val="16"/>
              </w:rPr>
              <w:t>10–12 Oct</w:t>
            </w:r>
          </w:p>
        </w:tc>
        <w:tc>
          <w:tcPr>
            <w:tcW w:type="dxa" w:w="3408"/>
            <w:vAlign w:val="center"/>
            <w:shd w:fill="F2F5F7"/>
          </w:tcPr>
          <w:p>
            <w:pPr>
              <w:spacing w:after="20"/>
            </w:pPr>
            <w:r>
              <w:rPr>
                <w:rFonts w:ascii="Aptos" w:hAnsi="Aptos"/>
                <w:sz w:val="16"/>
              </w:rPr>
              <w:t>Complete proposal, scope, schedule, coordination model</w:t>
            </w:r>
          </w:p>
        </w:tc>
        <w:tc>
          <w:tcPr>
            <w:tcW w:type="dxa" w:w="3408"/>
            <w:vAlign w:val="center"/>
            <w:shd w:fill="F2F5F7"/>
          </w:tcPr>
          <w:p>
            <w:pPr>
              <w:spacing w:after="20"/>
            </w:pPr>
            <w:r>
              <w:rPr>
                <w:rFonts w:ascii="Aptos" w:hAnsi="Aptos"/>
                <w:sz w:val="16"/>
              </w:rPr>
              <w:t>Draft reviewed by team lead and members</w:t>
            </w:r>
          </w:p>
        </w:tc>
      </w:tr>
      <w:tr>
        <w:tc>
          <w:tcPr>
            <w:tcW w:type="dxa" w:w="3408"/>
            <w:vAlign w:val="center"/>
          </w:tcPr>
          <w:p>
            <w:pPr>
              <w:spacing w:after="20"/>
            </w:pPr>
            <w:r>
              <w:rPr>
                <w:rFonts w:ascii="Aptos" w:hAnsi="Aptos"/>
                <w:sz w:val="16"/>
              </w:rPr>
              <w:t>12–14 Oct</w:t>
            </w:r>
          </w:p>
        </w:tc>
        <w:tc>
          <w:tcPr>
            <w:tcW w:type="dxa" w:w="3408"/>
            <w:vAlign w:val="center"/>
          </w:tcPr>
          <w:p>
            <w:pPr>
              <w:spacing w:after="20"/>
            </w:pPr>
            <w:r>
              <w:rPr>
                <w:rFonts w:ascii="Aptos" w:hAnsi="Aptos"/>
                <w:sz w:val="16"/>
              </w:rPr>
              <w:t>Complete risk register and measurable KPIs</w:t>
            </w:r>
          </w:p>
        </w:tc>
        <w:tc>
          <w:tcPr>
            <w:tcW w:type="dxa" w:w="3408"/>
            <w:vAlign w:val="center"/>
          </w:tcPr>
          <w:p>
            <w:pPr>
              <w:spacing w:after="20"/>
            </w:pPr>
            <w:r>
              <w:rPr>
                <w:rFonts w:ascii="Aptos" w:hAnsi="Aptos"/>
                <w:sz w:val="16"/>
              </w:rPr>
              <w:t>Risk owners and measurement methods defined</w:t>
            </w:r>
          </w:p>
        </w:tc>
      </w:tr>
      <w:tr>
        <w:tc>
          <w:tcPr>
            <w:tcW w:type="dxa" w:w="3408"/>
            <w:vAlign w:val="center"/>
            <w:shd w:fill="F2F5F7"/>
          </w:tcPr>
          <w:p>
            <w:pPr>
              <w:spacing w:after="20"/>
            </w:pPr>
            <w:r>
              <w:rPr>
                <w:rFonts w:ascii="Aptos" w:hAnsi="Aptos"/>
                <w:sz w:val="16"/>
              </w:rPr>
              <w:t>14–15 Oct</w:t>
            </w:r>
          </w:p>
        </w:tc>
        <w:tc>
          <w:tcPr>
            <w:tcW w:type="dxa" w:w="3408"/>
            <w:vAlign w:val="center"/>
            <w:shd w:fill="F2F5F7"/>
          </w:tcPr>
          <w:p>
            <w:pPr>
              <w:spacing w:after="20"/>
            </w:pPr>
            <w:r>
              <w:rPr>
                <w:rFonts w:ascii="Aptos" w:hAnsi="Aptos"/>
                <w:sz w:val="16"/>
              </w:rPr>
              <w:t>Consistency review and GitHub packaging</w:t>
            </w:r>
          </w:p>
        </w:tc>
        <w:tc>
          <w:tcPr>
            <w:tcW w:type="dxa" w:w="3408"/>
            <w:vAlign w:val="center"/>
            <w:shd w:fill="F2F5F7"/>
          </w:tcPr>
          <w:p>
            <w:pPr>
              <w:spacing w:after="20"/>
            </w:pPr>
            <w:r>
              <w:rPr>
                <w:rFonts w:ascii="Aptos" w:hAnsi="Aptos"/>
                <w:sz w:val="16"/>
              </w:rPr>
              <w:t>Dates, scope, terminology consistent; files readable</w:t>
            </w:r>
          </w:p>
        </w:tc>
      </w:tr>
      <w:tr>
        <w:tc>
          <w:tcPr>
            <w:tcW w:type="dxa" w:w="3408"/>
            <w:vAlign w:val="center"/>
          </w:tcPr>
          <w:p>
            <w:pPr>
              <w:spacing w:after="20"/>
            </w:pPr>
            <w:r>
              <w:rPr>
                <w:rFonts w:ascii="Aptos" w:hAnsi="Aptos"/>
                <w:sz w:val="16"/>
              </w:rPr>
              <w:t>16 Oct</w:t>
            </w:r>
          </w:p>
        </w:tc>
        <w:tc>
          <w:tcPr>
            <w:tcW w:type="dxa" w:w="3408"/>
            <w:vAlign w:val="center"/>
          </w:tcPr>
          <w:p>
            <w:pPr>
              <w:spacing w:after="20"/>
            </w:pPr>
            <w:r>
              <w:rPr>
                <w:rFonts w:ascii="Aptos" w:hAnsi="Aptos"/>
                <w:sz w:val="16"/>
              </w:rPr>
              <w:t>Submit planning package and other due phase deliverables</w:t>
            </w:r>
          </w:p>
        </w:tc>
        <w:tc>
          <w:tcPr>
            <w:tcW w:type="dxa" w:w="3408"/>
            <w:vAlign w:val="center"/>
          </w:tcPr>
          <w:p>
            <w:pPr>
              <w:spacing w:after="20"/>
            </w:pPr>
            <w:r>
              <w:rPr>
                <w:rFonts w:ascii="Aptos" w:hAnsi="Aptos"/>
                <w:sz w:val="16"/>
              </w:rPr>
              <w:t>Required documents uploaded; repository link checked</w:t>
            </w:r>
          </w:p>
        </w:tc>
      </w:tr>
    </w:tbl>
    <w:p>
      <w:pPr>
        <w:spacing w:after="0"/>
      </w:pPr>
    </w:p>
    <w:p>
      <w:pPr>
        <w:pStyle w:val="Heading2"/>
      </w:pPr>
      <w:r>
        <w:t>4.4 Resource Allocation</w:t>
      </w:r>
    </w:p>
    <w:p>
      <w:r>
        <w:t>Primary resources are the six Falcon Team members, their development/design tools, the shared GitHub repository, project documentation, and UI prototypes in progress. Specific technology choices and external service costs remain unconfirmed and must not be presented as committed resources until approved.</w:t>
      </w:r>
    </w:p>
    <w:p>
      <w:pPr>
        <w:pStyle w:val="Heading1"/>
      </w:pPr>
      <w:r>
        <w:t>5. Task Assignment &amp; Roles</w:t>
      </w:r>
    </w:p>
    <w:p>
      <w:r>
        <w:t>Operating model: all six members contribute across UI/UX, frontend, backend, data, testing, integration, and documentation according to task needs. Assignments below define coordination/accountability, not exclusive technical silos. Proposed coordination assignments must be reviewed and accepted by the named members before being treated as final.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84A"/>
          </w:tcPr>
          <w:p>
            <w:pPr>
              <w:spacing w:after="20"/>
            </w:pPr>
            <w:r>
              <w:rPr>
                <w:rFonts w:ascii="Aptos" w:hAnsi="Aptos"/>
                <w:b/>
                <w:color w:val="FFFFFF"/>
                <w:sz w:val="16"/>
              </w:rPr>
              <w:t>Member</w:t>
            </w:r>
          </w:p>
        </w:tc>
        <w:tc>
          <w:tcPr>
            <w:tcW w:type="dxa" w:w="3408"/>
            <w:vAlign w:val="center"/>
            <w:shd w:fill="17384A"/>
          </w:tcPr>
          <w:p>
            <w:pPr>
              <w:spacing w:after="20"/>
            </w:pPr>
            <w:r>
              <w:rPr>
                <w:rFonts w:ascii="Aptos" w:hAnsi="Aptos"/>
                <w:b/>
                <w:color w:val="FFFFFF"/>
                <w:sz w:val="16"/>
              </w:rPr>
              <w:t>Coordination responsibility (proposed)</w:t>
            </w:r>
          </w:p>
        </w:tc>
        <w:tc>
          <w:tcPr>
            <w:tcW w:type="dxa" w:w="3408"/>
            <w:vAlign w:val="center"/>
            <w:shd w:fill="17384A"/>
          </w:tcPr>
          <w:p>
            <w:pPr>
              <w:spacing w:after="20"/>
            </w:pPr>
            <w:r>
              <w:rPr>
                <w:rFonts w:ascii="Aptos" w:hAnsi="Aptos"/>
                <w:b/>
                <w:color w:val="FFFFFF"/>
                <w:sz w:val="16"/>
              </w:rPr>
              <w:t>Shared contributions</w:t>
            </w:r>
          </w:p>
        </w:tc>
      </w:tr>
      <w:tr>
        <w:tc>
          <w:tcPr>
            <w:tcW w:type="dxa" w:w="3408"/>
            <w:vAlign w:val="center"/>
          </w:tcPr>
          <w:p>
            <w:pPr>
              <w:spacing w:after="20"/>
            </w:pPr>
            <w:r>
              <w:rPr>
                <w:rFonts w:ascii="Aptos" w:hAnsi="Aptos"/>
                <w:sz w:val="16"/>
              </w:rPr>
              <w:t>Elshafei Mohamed (Team Leader)</w:t>
            </w:r>
          </w:p>
        </w:tc>
        <w:tc>
          <w:tcPr>
            <w:tcW w:type="dxa" w:w="3408"/>
            <w:vAlign w:val="center"/>
          </w:tcPr>
          <w:p>
            <w:pPr>
              <w:spacing w:after="20"/>
            </w:pPr>
            <w:r>
              <w:rPr>
                <w:rFonts w:ascii="Aptos" w:hAnsi="Aptos"/>
                <w:sz w:val="16"/>
              </w:rPr>
              <w:t>Overall planning, scope and decision tracking; AI module ownership; integration follow-up; final consistency review</w:t>
            </w:r>
          </w:p>
        </w:tc>
        <w:tc>
          <w:tcPr>
            <w:tcW w:type="dxa" w:w="3408"/>
            <w:vAlign w:val="center"/>
          </w:tcPr>
          <w:p>
            <w:pPr>
              <w:spacing w:after="20"/>
            </w:pPr>
            <w:r>
              <w:rPr>
                <w:rFonts w:ascii="Aptos" w:hAnsi="Aptos"/>
                <w:sz w:val="16"/>
              </w:rPr>
              <w:t>Cross-functional implementation, testing, documentation, presentation</w:t>
            </w:r>
          </w:p>
        </w:tc>
      </w:tr>
      <w:tr>
        <w:tc>
          <w:tcPr>
            <w:tcW w:type="dxa" w:w="3408"/>
            <w:vAlign w:val="center"/>
            <w:shd w:fill="F2F5F7"/>
          </w:tcPr>
          <w:p>
            <w:pPr>
              <w:spacing w:after="20"/>
            </w:pPr>
            <w:r>
              <w:rPr>
                <w:rFonts w:ascii="Aptos" w:hAnsi="Aptos"/>
                <w:sz w:val="16"/>
              </w:rPr>
              <w:t>Hagar Atef</w:t>
            </w:r>
          </w:p>
        </w:tc>
        <w:tc>
          <w:tcPr>
            <w:tcW w:type="dxa" w:w="3408"/>
            <w:vAlign w:val="center"/>
            <w:shd w:fill="F2F5F7"/>
          </w:tcPr>
          <w:p>
            <w:pPr>
              <w:spacing w:after="20"/>
            </w:pPr>
            <w:r>
              <w:rPr>
                <w:rFonts w:ascii="Aptos" w:hAnsi="Aptos"/>
                <w:sz w:val="16"/>
              </w:rPr>
              <w:t>Coordinate an assigned feature/screen package and track acceptance criteria</w:t>
            </w:r>
          </w:p>
        </w:tc>
        <w:tc>
          <w:tcPr>
            <w:tcW w:type="dxa" w:w="3408"/>
            <w:vAlign w:val="center"/>
            <w:shd w:fill="F2F5F7"/>
          </w:tcPr>
          <w:p>
            <w:pPr>
              <w:spacing w:after="20"/>
            </w:pPr>
            <w:r>
              <w:rPr>
                <w:rFonts w:ascii="Aptos" w:hAnsi="Aptos"/>
                <w:sz w:val="16"/>
              </w:rPr>
              <w:t>UI/UX, implementation, testing, documentation, integration</w:t>
            </w:r>
          </w:p>
        </w:tc>
      </w:tr>
      <w:tr>
        <w:tc>
          <w:tcPr>
            <w:tcW w:type="dxa" w:w="3408"/>
            <w:vAlign w:val="center"/>
          </w:tcPr>
          <w:p>
            <w:pPr>
              <w:spacing w:after="20"/>
            </w:pPr>
            <w:r>
              <w:rPr>
                <w:rFonts w:ascii="Aptos" w:hAnsi="Aptos"/>
                <w:sz w:val="16"/>
              </w:rPr>
              <w:t>Shahd Mohamed</w:t>
            </w:r>
          </w:p>
        </w:tc>
        <w:tc>
          <w:tcPr>
            <w:tcW w:type="dxa" w:w="3408"/>
            <w:vAlign w:val="center"/>
          </w:tcPr>
          <w:p>
            <w:pPr>
              <w:spacing w:after="20"/>
            </w:pPr>
            <w:r>
              <w:rPr>
                <w:rFonts w:ascii="Aptos" w:hAnsi="Aptos"/>
                <w:sz w:val="16"/>
              </w:rPr>
              <w:t>Coordinate an assigned feature/screen package and track acceptance criteria</w:t>
            </w:r>
          </w:p>
        </w:tc>
        <w:tc>
          <w:tcPr>
            <w:tcW w:type="dxa" w:w="3408"/>
            <w:vAlign w:val="center"/>
          </w:tcPr>
          <w:p>
            <w:pPr>
              <w:spacing w:after="20"/>
            </w:pPr>
            <w:r>
              <w:rPr>
                <w:rFonts w:ascii="Aptos" w:hAnsi="Aptos"/>
                <w:sz w:val="16"/>
              </w:rPr>
              <w:t>UI/UX, implementation, testing, documentation, integration</w:t>
            </w:r>
          </w:p>
        </w:tc>
      </w:tr>
      <w:tr>
        <w:tc>
          <w:tcPr>
            <w:tcW w:type="dxa" w:w="3408"/>
            <w:vAlign w:val="center"/>
            <w:shd w:fill="F2F5F7"/>
          </w:tcPr>
          <w:p>
            <w:pPr>
              <w:spacing w:after="20"/>
            </w:pPr>
            <w:r>
              <w:rPr>
                <w:rFonts w:ascii="Aptos" w:hAnsi="Aptos"/>
                <w:sz w:val="16"/>
              </w:rPr>
              <w:t>Samer Walid</w:t>
            </w:r>
          </w:p>
        </w:tc>
        <w:tc>
          <w:tcPr>
            <w:tcW w:type="dxa" w:w="3408"/>
            <w:vAlign w:val="center"/>
            <w:shd w:fill="F2F5F7"/>
          </w:tcPr>
          <w:p>
            <w:pPr>
              <w:spacing w:after="20"/>
            </w:pPr>
            <w:r>
              <w:rPr>
                <w:rFonts w:ascii="Aptos" w:hAnsi="Aptos"/>
                <w:sz w:val="16"/>
              </w:rPr>
              <w:t>Coordinate an assigned feature/screen package and track acceptance criteria</w:t>
            </w:r>
          </w:p>
        </w:tc>
        <w:tc>
          <w:tcPr>
            <w:tcW w:type="dxa" w:w="3408"/>
            <w:vAlign w:val="center"/>
            <w:shd w:fill="F2F5F7"/>
          </w:tcPr>
          <w:p>
            <w:pPr>
              <w:spacing w:after="20"/>
            </w:pPr>
            <w:r>
              <w:rPr>
                <w:rFonts w:ascii="Aptos" w:hAnsi="Aptos"/>
                <w:sz w:val="16"/>
              </w:rPr>
              <w:t>UI/UX, implementation, testing, documentation, integration</w:t>
            </w:r>
          </w:p>
        </w:tc>
      </w:tr>
      <w:tr>
        <w:tc>
          <w:tcPr>
            <w:tcW w:type="dxa" w:w="3408"/>
            <w:vAlign w:val="center"/>
          </w:tcPr>
          <w:p>
            <w:pPr>
              <w:spacing w:after="20"/>
            </w:pPr>
            <w:r>
              <w:rPr>
                <w:rFonts w:ascii="Aptos" w:hAnsi="Aptos"/>
                <w:sz w:val="16"/>
              </w:rPr>
              <w:t>Mostafa Mohamed</w:t>
            </w:r>
          </w:p>
        </w:tc>
        <w:tc>
          <w:tcPr>
            <w:tcW w:type="dxa" w:w="3408"/>
            <w:vAlign w:val="center"/>
          </w:tcPr>
          <w:p>
            <w:pPr>
              <w:spacing w:after="20"/>
            </w:pPr>
            <w:r>
              <w:rPr>
                <w:rFonts w:ascii="Aptos" w:hAnsi="Aptos"/>
                <w:sz w:val="16"/>
              </w:rPr>
              <w:t>Coordinate an assigned feature/screen package and track acceptance criteria</w:t>
            </w:r>
          </w:p>
        </w:tc>
        <w:tc>
          <w:tcPr>
            <w:tcW w:type="dxa" w:w="3408"/>
            <w:vAlign w:val="center"/>
          </w:tcPr>
          <w:p>
            <w:pPr>
              <w:spacing w:after="20"/>
            </w:pPr>
            <w:r>
              <w:rPr>
                <w:rFonts w:ascii="Aptos" w:hAnsi="Aptos"/>
                <w:sz w:val="16"/>
              </w:rPr>
              <w:t>UI/UX, implementation, testing, documentation, integration</w:t>
            </w:r>
          </w:p>
        </w:tc>
      </w:tr>
      <w:tr>
        <w:tc>
          <w:tcPr>
            <w:tcW w:type="dxa" w:w="3408"/>
            <w:vAlign w:val="center"/>
            <w:shd w:fill="F2F5F7"/>
          </w:tcPr>
          <w:p>
            <w:pPr>
              <w:spacing w:after="20"/>
            </w:pPr>
            <w:r>
              <w:rPr>
                <w:rFonts w:ascii="Aptos" w:hAnsi="Aptos"/>
                <w:sz w:val="16"/>
              </w:rPr>
              <w:t>Mohamed Alaa El-Din Fathallah Nafea</w:t>
            </w:r>
          </w:p>
        </w:tc>
        <w:tc>
          <w:tcPr>
            <w:tcW w:type="dxa" w:w="3408"/>
            <w:vAlign w:val="center"/>
            <w:shd w:fill="F2F5F7"/>
          </w:tcPr>
          <w:p>
            <w:pPr>
              <w:spacing w:after="20"/>
            </w:pPr>
            <w:r>
              <w:rPr>
                <w:rFonts w:ascii="Aptos" w:hAnsi="Aptos"/>
                <w:sz w:val="16"/>
              </w:rPr>
              <w:t>Coordinate an assigned feature/screen package and track acceptance criteria</w:t>
            </w:r>
          </w:p>
        </w:tc>
        <w:tc>
          <w:tcPr>
            <w:tcW w:type="dxa" w:w="3408"/>
            <w:vAlign w:val="center"/>
            <w:shd w:fill="F2F5F7"/>
          </w:tcPr>
          <w:p>
            <w:pPr>
              <w:spacing w:after="20"/>
            </w:pPr>
            <w:r>
              <w:rPr>
                <w:rFonts w:ascii="Aptos" w:hAnsi="Aptos"/>
                <w:sz w:val="16"/>
              </w:rPr>
              <w:t>UI/UX, implementation, testing, documentation, integration</w:t>
            </w:r>
          </w:p>
        </w:tc>
      </w:tr>
    </w:tbl>
    <w:p>
      <w:pPr>
        <w:spacing w:after="0"/>
      </w:pPr>
    </w:p>
    <w:p>
      <w:r>
        <w:t>Important: specific feature/screen ownership for the five non-lead members is intentionally left for team confirmation rather than guessed. Once the UI/screen inventory and module boundaries are finalized, assign a task-level owner, reviewer, due date, and acceptance criteria to each item.</w:t>
      </w:r>
    </w:p>
    <w:p>
      <w:pPr>
        <w:pStyle w:val="Heading2"/>
      </w:pPr>
      <w:r>
        <w:t>5.1 Team Working Rules</w:t>
      </w:r>
    </w:p>
    <w:p>
      <w:pPr>
        <w:pStyle w:val="ListBullet"/>
        <w:spacing w:after="40"/>
      </w:pPr>
      <w:r>
        <w:t>Use one branch per person plus main, as previously chosen; do not introduce a develop branch unless the team explicitly changes this decision.</w:t>
      </w:r>
    </w:p>
    <w:p>
      <w:pPr>
        <w:pStyle w:val="ListBullet"/>
        <w:spacing w:after="40"/>
      </w:pPr>
      <w:r>
        <w:t>Break work into reviewable tasks with an owner, deadline, dependencies, and acceptance criteria.</w:t>
      </w:r>
    </w:p>
    <w:p>
      <w:pPr>
        <w:pStyle w:val="ListBullet"/>
        <w:spacing w:after="40"/>
      </w:pPr>
      <w:r>
        <w:t>Keep main in a reviewable state and use the team’s agreed review process.</w:t>
      </w:r>
    </w:p>
    <w:p>
      <w:pPr>
        <w:pStyle w:val="ListBullet"/>
        <w:spacing w:after="40"/>
      </w:pPr>
      <w:r>
        <w:t>Record material scope, architecture, data, AI-boundary, and business-rule decisions in project documentation.</w:t>
      </w:r>
    </w:p>
    <w:p>
      <w:pPr>
        <w:pStyle w:val="ListBullet"/>
        <w:spacing w:after="40"/>
      </w:pPr>
      <w:r>
        <w:t>Do not mark a task complete until its output has been reviewed and relevant evidence is available.</w:t>
      </w:r>
    </w:p>
    <w:p>
      <w:pPr>
        <w:pStyle w:val="Heading1"/>
      </w:pPr>
      <w:r>
        <w:t>6. Risk Assessment &amp; Mitigation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7384A"/>
          </w:tcPr>
          <w:p>
            <w:pPr>
              <w:spacing w:after="20"/>
            </w:pPr>
            <w:r>
              <w:rPr>
                <w:rFonts w:ascii="Aptos" w:hAnsi="Aptos"/>
                <w:b/>
                <w:color w:val="FFFFFF"/>
                <w:sz w:val="14"/>
              </w:rPr>
              <w:t>ID</w:t>
            </w:r>
          </w:p>
        </w:tc>
        <w:tc>
          <w:tcPr>
            <w:tcW w:type="dxa" w:w="1704"/>
            <w:vAlign w:val="center"/>
            <w:shd w:fill="17384A"/>
          </w:tcPr>
          <w:p>
            <w:pPr>
              <w:spacing w:after="20"/>
            </w:pPr>
            <w:r>
              <w:rPr>
                <w:rFonts w:ascii="Aptos" w:hAnsi="Aptos"/>
                <w:b/>
                <w:color w:val="FFFFFF"/>
                <w:sz w:val="14"/>
              </w:rPr>
              <w:t>Risk</w:t>
            </w:r>
          </w:p>
        </w:tc>
        <w:tc>
          <w:tcPr>
            <w:tcW w:type="dxa" w:w="1704"/>
            <w:vAlign w:val="center"/>
            <w:shd w:fill="17384A"/>
          </w:tcPr>
          <w:p>
            <w:pPr>
              <w:spacing w:after="20"/>
            </w:pPr>
            <w:r>
              <w:rPr>
                <w:rFonts w:ascii="Aptos" w:hAnsi="Aptos"/>
                <w:b/>
                <w:color w:val="FFFFFF"/>
                <w:sz w:val="14"/>
              </w:rPr>
              <w:t>Likelihood</w:t>
            </w:r>
          </w:p>
        </w:tc>
        <w:tc>
          <w:tcPr>
            <w:tcW w:type="dxa" w:w="1704"/>
            <w:vAlign w:val="center"/>
            <w:shd w:fill="17384A"/>
          </w:tcPr>
          <w:p>
            <w:pPr>
              <w:spacing w:after="20"/>
            </w:pPr>
            <w:r>
              <w:rPr>
                <w:rFonts w:ascii="Aptos" w:hAnsi="Aptos"/>
                <w:b/>
                <w:color w:val="FFFFFF"/>
                <w:sz w:val="14"/>
              </w:rPr>
              <w:t>Impact</w:t>
            </w:r>
          </w:p>
        </w:tc>
        <w:tc>
          <w:tcPr>
            <w:tcW w:type="dxa" w:w="1704"/>
            <w:vAlign w:val="center"/>
            <w:shd w:fill="17384A"/>
          </w:tcPr>
          <w:p>
            <w:pPr>
              <w:spacing w:after="20"/>
            </w:pPr>
            <w:r>
              <w:rPr>
                <w:rFonts w:ascii="Aptos" w:hAnsi="Aptos"/>
                <w:b/>
                <w:color w:val="FFFFFF"/>
                <w:sz w:val="14"/>
              </w:rPr>
              <w:t>Mitigation / response</w:t>
            </w:r>
          </w:p>
        </w:tc>
        <w:tc>
          <w:tcPr>
            <w:tcW w:type="dxa" w:w="1704"/>
            <w:vAlign w:val="center"/>
            <w:shd w:fill="17384A"/>
          </w:tcPr>
          <w:p>
            <w:pPr>
              <w:spacing w:after="20"/>
            </w:pPr>
            <w:r>
              <w:rPr>
                <w:rFonts w:ascii="Aptos" w:hAnsi="Aptos"/>
                <w:b/>
                <w:color w:val="FFFFFF"/>
                <w:sz w:val="14"/>
              </w:rPr>
              <w:t>Owner</w:t>
            </w:r>
          </w:p>
        </w:tc>
      </w:tr>
      <w:tr>
        <w:tc>
          <w:tcPr>
            <w:tcW w:type="dxa" w:w="1704"/>
            <w:vAlign w:val="center"/>
          </w:tcPr>
          <w:p>
            <w:pPr>
              <w:spacing w:after="20"/>
            </w:pPr>
            <w:r>
              <w:rPr>
                <w:rFonts w:ascii="Aptos" w:hAnsi="Aptos"/>
                <w:sz w:val="14"/>
              </w:rPr>
              <w:t>R1</w:t>
            </w:r>
          </w:p>
        </w:tc>
        <w:tc>
          <w:tcPr>
            <w:tcW w:type="dxa" w:w="1704"/>
            <w:vAlign w:val="center"/>
          </w:tcPr>
          <w:p>
            <w:pPr>
              <w:spacing w:after="20"/>
            </w:pPr>
            <w:r>
              <w:rPr>
                <w:rFonts w:ascii="Aptos" w:hAnsi="Aptos"/>
                <w:sz w:val="14"/>
              </w:rPr>
              <w:t>Overlapping planning and requirements deadlines reduce review time</w:t>
            </w:r>
          </w:p>
        </w:tc>
        <w:tc>
          <w:tcPr>
            <w:tcW w:type="dxa" w:w="1704"/>
            <w:vAlign w:val="center"/>
          </w:tcPr>
          <w:p>
            <w:pPr>
              <w:spacing w:after="20"/>
            </w:pPr>
            <w:r>
              <w:rPr>
                <w:rFonts w:ascii="Aptos" w:hAnsi="Aptos"/>
                <w:sz w:val="14"/>
              </w:rPr>
              <w:t>High</w:t>
            </w:r>
          </w:p>
        </w:tc>
        <w:tc>
          <w:tcPr>
            <w:tcW w:type="dxa" w:w="1704"/>
            <w:vAlign w:val="center"/>
          </w:tcPr>
          <w:p>
            <w:pPr>
              <w:spacing w:after="20"/>
            </w:pPr>
            <w:r>
              <w:rPr>
                <w:rFonts w:ascii="Aptos" w:hAnsi="Aptos"/>
                <w:sz w:val="14"/>
              </w:rPr>
              <w:t>High</w:t>
            </w:r>
          </w:p>
        </w:tc>
        <w:tc>
          <w:tcPr>
            <w:tcW w:type="dxa" w:w="1704"/>
            <w:vAlign w:val="center"/>
          </w:tcPr>
          <w:p>
            <w:pPr>
              <w:spacing w:after="20"/>
            </w:pPr>
            <w:r>
              <w:rPr>
                <w:rFonts w:ascii="Aptos" w:hAnsi="Aptos"/>
                <w:sz w:val="14"/>
              </w:rPr>
              <w:t>Prioritize deadline-bound documents; short check-ins; set review cutoff before submission</w:t>
            </w:r>
          </w:p>
        </w:tc>
        <w:tc>
          <w:tcPr>
            <w:tcW w:type="dxa" w:w="1704"/>
            <w:vAlign w:val="center"/>
          </w:tcPr>
          <w:p>
            <w:pPr>
              <w:spacing w:after="20"/>
            </w:pPr>
            <w:r>
              <w:rPr>
                <w:rFonts w:ascii="Aptos" w:hAnsi="Aptos"/>
                <w:sz w:val="14"/>
              </w:rPr>
              <w:t>Team Leader + all members</w:t>
            </w:r>
          </w:p>
        </w:tc>
      </w:tr>
      <w:tr>
        <w:tc>
          <w:tcPr>
            <w:tcW w:type="dxa" w:w="1704"/>
            <w:vAlign w:val="center"/>
            <w:shd w:fill="F2F5F7"/>
          </w:tcPr>
          <w:p>
            <w:pPr>
              <w:spacing w:after="20"/>
            </w:pPr>
            <w:r>
              <w:rPr>
                <w:rFonts w:ascii="Aptos" w:hAnsi="Aptos"/>
                <w:sz w:val="14"/>
              </w:rPr>
              <w:t>R2</w:t>
            </w:r>
          </w:p>
        </w:tc>
        <w:tc>
          <w:tcPr>
            <w:tcW w:type="dxa" w:w="1704"/>
            <w:vAlign w:val="center"/>
            <w:shd w:fill="F2F5F7"/>
          </w:tcPr>
          <w:p>
            <w:pPr>
              <w:spacing w:after="20"/>
            </w:pPr>
            <w:r>
              <w:rPr>
                <w:rFonts w:ascii="Aptos" w:hAnsi="Aptos"/>
                <w:sz w:val="14"/>
              </w:rPr>
              <w:t>Scope grows beyond team capacity</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High</w:t>
            </w:r>
          </w:p>
        </w:tc>
        <w:tc>
          <w:tcPr>
            <w:tcW w:type="dxa" w:w="1704"/>
            <w:vAlign w:val="center"/>
            <w:shd w:fill="F2F5F7"/>
          </w:tcPr>
          <w:p>
            <w:pPr>
              <w:spacing w:after="20"/>
            </w:pPr>
            <w:r>
              <w:rPr>
                <w:rFonts w:ascii="Aptos" w:hAnsi="Aptos"/>
                <w:sz w:val="14"/>
              </w:rPr>
              <w:t>Protect six confirmed core features; treat additions as proposals requiring approval</w:t>
            </w:r>
          </w:p>
        </w:tc>
        <w:tc>
          <w:tcPr>
            <w:tcW w:type="dxa" w:w="1704"/>
            <w:vAlign w:val="center"/>
            <w:shd w:fill="F2F5F7"/>
          </w:tcPr>
          <w:p>
            <w:pPr>
              <w:spacing w:after="20"/>
            </w:pPr>
            <w:r>
              <w:rPr>
                <w:rFonts w:ascii="Aptos" w:hAnsi="Aptos"/>
                <w:sz w:val="14"/>
              </w:rPr>
              <w:t>Team Leader</w:t>
            </w:r>
          </w:p>
        </w:tc>
      </w:tr>
      <w:tr>
        <w:tc>
          <w:tcPr>
            <w:tcW w:type="dxa" w:w="1704"/>
            <w:vAlign w:val="center"/>
          </w:tcPr>
          <w:p>
            <w:pPr>
              <w:spacing w:after="20"/>
            </w:pPr>
            <w:r>
              <w:rPr>
                <w:rFonts w:ascii="Aptos" w:hAnsi="Aptos"/>
                <w:sz w:val="14"/>
              </w:rPr>
              <w:t>R3</w:t>
            </w:r>
          </w:p>
        </w:tc>
        <w:tc>
          <w:tcPr>
            <w:tcW w:type="dxa" w:w="1704"/>
            <w:vAlign w:val="center"/>
          </w:tcPr>
          <w:p>
            <w:pPr>
              <w:spacing w:after="20"/>
            </w:pPr>
            <w:r>
              <w:rPr>
                <w:rFonts w:ascii="Aptos" w:hAnsi="Aptos"/>
                <w:sz w:val="14"/>
              </w:rPr>
              <w:t>UI prototypes are mistaken for implemented/integrated features</w:t>
            </w:r>
          </w:p>
        </w:tc>
        <w:tc>
          <w:tcPr>
            <w:tcW w:type="dxa" w:w="1704"/>
            <w:vAlign w:val="center"/>
          </w:tcPr>
          <w:p>
            <w:pPr>
              <w:spacing w:after="20"/>
            </w:pPr>
            <w:r>
              <w:rPr>
                <w:rFonts w:ascii="Aptos" w:hAnsi="Aptos"/>
                <w:sz w:val="14"/>
              </w:rPr>
              <w:t>Medium</w:t>
            </w:r>
          </w:p>
        </w:tc>
        <w:tc>
          <w:tcPr>
            <w:tcW w:type="dxa" w:w="1704"/>
            <w:vAlign w:val="center"/>
          </w:tcPr>
          <w:p>
            <w:pPr>
              <w:spacing w:after="20"/>
            </w:pPr>
            <w:r>
              <w:rPr>
                <w:rFonts w:ascii="Aptos" w:hAnsi="Aptos"/>
                <w:sz w:val="14"/>
              </w:rPr>
              <w:t>High</w:t>
            </w:r>
          </w:p>
        </w:tc>
        <w:tc>
          <w:tcPr>
            <w:tcW w:type="dxa" w:w="1704"/>
            <w:vAlign w:val="center"/>
          </w:tcPr>
          <w:p>
            <w:pPr>
              <w:spacing w:after="20"/>
            </w:pPr>
            <w:r>
              <w:rPr>
                <w:rFonts w:ascii="Aptos" w:hAnsi="Aptos"/>
                <w:sz w:val="14"/>
              </w:rPr>
              <w:t>Track design, implementation, integration, and testing as separate statuses</w:t>
            </w:r>
          </w:p>
        </w:tc>
        <w:tc>
          <w:tcPr>
            <w:tcW w:type="dxa" w:w="1704"/>
            <w:vAlign w:val="center"/>
          </w:tcPr>
          <w:p>
            <w:pPr>
              <w:spacing w:after="20"/>
            </w:pPr>
            <w:r>
              <w:rPr>
                <w:rFonts w:ascii="Aptos" w:hAnsi="Aptos"/>
                <w:sz w:val="14"/>
              </w:rPr>
              <w:t>Feature coordinators</w:t>
            </w:r>
          </w:p>
        </w:tc>
      </w:tr>
      <w:tr>
        <w:tc>
          <w:tcPr>
            <w:tcW w:type="dxa" w:w="1704"/>
            <w:vAlign w:val="center"/>
            <w:shd w:fill="F2F5F7"/>
          </w:tcPr>
          <w:p>
            <w:pPr>
              <w:spacing w:after="20"/>
            </w:pPr>
            <w:r>
              <w:rPr>
                <w:rFonts w:ascii="Aptos" w:hAnsi="Aptos"/>
                <w:sz w:val="14"/>
              </w:rPr>
              <w:t>R4</w:t>
            </w:r>
          </w:p>
        </w:tc>
        <w:tc>
          <w:tcPr>
            <w:tcW w:type="dxa" w:w="1704"/>
            <w:vAlign w:val="center"/>
            <w:shd w:fill="F2F5F7"/>
          </w:tcPr>
          <w:p>
            <w:pPr>
              <w:spacing w:after="20"/>
            </w:pPr>
            <w:r>
              <w:rPr>
                <w:rFonts w:ascii="Aptos" w:hAnsi="Aptos"/>
                <w:sz w:val="14"/>
              </w:rPr>
              <w:t>AI-generated statements are treated as factual product data</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High</w:t>
            </w:r>
          </w:p>
        </w:tc>
        <w:tc>
          <w:tcPr>
            <w:tcW w:type="dxa" w:w="1704"/>
            <w:vAlign w:val="center"/>
            <w:shd w:fill="F2F5F7"/>
          </w:tcPr>
          <w:p>
            <w:pPr>
              <w:spacing w:after="20"/>
            </w:pPr>
            <w:r>
              <w:rPr>
                <w:rFonts w:ascii="Aptos" w:hAnsi="Aptos"/>
                <w:sz w:val="14"/>
              </w:rPr>
              <w:t>Require structured outputs and backend validation; facts come from product records or verified sources</w:t>
            </w:r>
          </w:p>
        </w:tc>
        <w:tc>
          <w:tcPr>
            <w:tcW w:type="dxa" w:w="1704"/>
            <w:vAlign w:val="center"/>
            <w:shd w:fill="F2F5F7"/>
          </w:tcPr>
          <w:p>
            <w:pPr>
              <w:spacing w:after="20"/>
            </w:pPr>
            <w:r>
              <w:rPr>
                <w:rFonts w:ascii="Aptos" w:hAnsi="Aptos"/>
                <w:sz w:val="14"/>
              </w:rPr>
              <w:t>AI Module Owner + backend contributors</w:t>
            </w:r>
          </w:p>
        </w:tc>
      </w:tr>
      <w:tr>
        <w:tc>
          <w:tcPr>
            <w:tcW w:type="dxa" w:w="1704"/>
            <w:vAlign w:val="center"/>
          </w:tcPr>
          <w:p>
            <w:pPr>
              <w:spacing w:after="20"/>
            </w:pPr>
            <w:r>
              <w:rPr>
                <w:rFonts w:ascii="Aptos" w:hAnsi="Aptos"/>
                <w:sz w:val="14"/>
              </w:rPr>
              <w:t>R5</w:t>
            </w:r>
          </w:p>
        </w:tc>
        <w:tc>
          <w:tcPr>
            <w:tcW w:type="dxa" w:w="1704"/>
            <w:vAlign w:val="center"/>
          </w:tcPr>
          <w:p>
            <w:pPr>
              <w:spacing w:after="20"/>
            </w:pPr>
            <w:r>
              <w:rPr>
                <w:rFonts w:ascii="Aptos" w:hAnsi="Aptos"/>
                <w:sz w:val="14"/>
              </w:rPr>
              <w:t>Compatibility or decision logic differs across UI and backend</w:t>
            </w:r>
          </w:p>
        </w:tc>
        <w:tc>
          <w:tcPr>
            <w:tcW w:type="dxa" w:w="1704"/>
            <w:vAlign w:val="center"/>
          </w:tcPr>
          <w:p>
            <w:pPr>
              <w:spacing w:after="20"/>
            </w:pPr>
            <w:r>
              <w:rPr>
                <w:rFonts w:ascii="Aptos" w:hAnsi="Aptos"/>
                <w:sz w:val="14"/>
              </w:rPr>
              <w:t>Medium</w:t>
            </w:r>
          </w:p>
        </w:tc>
        <w:tc>
          <w:tcPr>
            <w:tcW w:type="dxa" w:w="1704"/>
            <w:vAlign w:val="center"/>
          </w:tcPr>
          <w:p>
            <w:pPr>
              <w:spacing w:after="20"/>
            </w:pPr>
            <w:r>
              <w:rPr>
                <w:rFonts w:ascii="Aptos" w:hAnsi="Aptos"/>
                <w:sz w:val="14"/>
              </w:rPr>
              <w:t>High</w:t>
            </w:r>
          </w:p>
        </w:tc>
        <w:tc>
          <w:tcPr>
            <w:tcW w:type="dxa" w:w="1704"/>
            <w:vAlign w:val="center"/>
          </w:tcPr>
          <w:p>
            <w:pPr>
              <w:spacing w:after="20"/>
            </w:pPr>
            <w:r>
              <w:rPr>
                <w:rFonts w:ascii="Aptos" w:hAnsi="Aptos"/>
                <w:sz w:val="14"/>
              </w:rPr>
              <w:t>Keep validation, ranking, compatibility, and calculations in deterministic services; define contracts and tests</w:t>
            </w:r>
          </w:p>
        </w:tc>
        <w:tc>
          <w:tcPr>
            <w:tcW w:type="dxa" w:w="1704"/>
            <w:vAlign w:val="center"/>
          </w:tcPr>
          <w:p>
            <w:pPr>
              <w:spacing w:after="20"/>
            </w:pPr>
            <w:r>
              <w:rPr>
                <w:rFonts w:ascii="Aptos" w:hAnsi="Aptos"/>
                <w:sz w:val="14"/>
              </w:rPr>
              <w:t>Feature coordinators</w:t>
            </w:r>
          </w:p>
        </w:tc>
      </w:tr>
      <w:tr>
        <w:tc>
          <w:tcPr>
            <w:tcW w:type="dxa" w:w="1704"/>
            <w:vAlign w:val="center"/>
            <w:shd w:fill="F2F5F7"/>
          </w:tcPr>
          <w:p>
            <w:pPr>
              <w:spacing w:after="20"/>
            </w:pPr>
            <w:r>
              <w:rPr>
                <w:rFonts w:ascii="Aptos" w:hAnsi="Aptos"/>
                <w:sz w:val="14"/>
              </w:rPr>
              <w:t>R6</w:t>
            </w:r>
          </w:p>
        </w:tc>
        <w:tc>
          <w:tcPr>
            <w:tcW w:type="dxa" w:w="1704"/>
            <w:vAlign w:val="center"/>
            <w:shd w:fill="F2F5F7"/>
          </w:tcPr>
          <w:p>
            <w:pPr>
              <w:spacing w:after="20"/>
            </w:pPr>
            <w:r>
              <w:rPr>
                <w:rFonts w:ascii="Aptos" w:hAnsi="Aptos"/>
                <w:sz w:val="14"/>
              </w:rPr>
              <w:t>Second-life listing bypasses origin/ownership/eligibility checks</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High</w:t>
            </w:r>
          </w:p>
        </w:tc>
        <w:tc>
          <w:tcPr>
            <w:tcW w:type="dxa" w:w="1704"/>
            <w:vAlign w:val="center"/>
            <w:shd w:fill="F2F5F7"/>
          </w:tcPr>
          <w:p>
            <w:pPr>
              <w:spacing w:after="20"/>
            </w:pPr>
            <w:r>
              <w:rPr>
                <w:rFonts w:ascii="Aptos" w:hAnsi="Aptos"/>
                <w:sz w:val="14"/>
              </w:rPr>
              <w:t>Validate platform origin, current ownership, listing state, eligibility, and blocking disputes</w:t>
            </w:r>
          </w:p>
        </w:tc>
        <w:tc>
          <w:tcPr>
            <w:tcW w:type="dxa" w:w="1704"/>
            <w:vAlign w:val="center"/>
            <w:shd w:fill="F2F5F7"/>
          </w:tcPr>
          <w:p>
            <w:pPr>
              <w:spacing w:after="20"/>
            </w:pPr>
            <w:r>
              <w:rPr>
                <w:rFonts w:ascii="Aptos" w:hAnsi="Aptos"/>
                <w:sz w:val="14"/>
              </w:rPr>
              <w:t>Second-Life coordinator (to assign)</w:t>
            </w:r>
          </w:p>
        </w:tc>
      </w:tr>
      <w:tr>
        <w:tc>
          <w:tcPr>
            <w:tcW w:type="dxa" w:w="1704"/>
            <w:vAlign w:val="center"/>
          </w:tcPr>
          <w:p>
            <w:pPr>
              <w:spacing w:after="20"/>
            </w:pPr>
            <w:r>
              <w:rPr>
                <w:rFonts w:ascii="Aptos" w:hAnsi="Aptos"/>
                <w:sz w:val="14"/>
              </w:rPr>
              <w:t>R7</w:t>
            </w:r>
          </w:p>
        </w:tc>
        <w:tc>
          <w:tcPr>
            <w:tcW w:type="dxa" w:w="1704"/>
            <w:vAlign w:val="center"/>
          </w:tcPr>
          <w:p>
            <w:pPr>
              <w:spacing w:after="20"/>
            </w:pPr>
            <w:r>
              <w:rPr>
                <w:rFonts w:ascii="Aptos" w:hAnsi="Aptos"/>
                <w:sz w:val="14"/>
              </w:rPr>
              <w:t>Previous owner’s personal data is exposed after resale</w:t>
            </w:r>
          </w:p>
        </w:tc>
        <w:tc>
          <w:tcPr>
            <w:tcW w:type="dxa" w:w="1704"/>
            <w:vAlign w:val="center"/>
          </w:tcPr>
          <w:p>
            <w:pPr>
              <w:spacing w:after="20"/>
            </w:pPr>
            <w:r>
              <w:rPr>
                <w:rFonts w:ascii="Aptos" w:hAnsi="Aptos"/>
                <w:sz w:val="14"/>
              </w:rPr>
              <w:t>Low–Medium</w:t>
            </w:r>
          </w:p>
        </w:tc>
        <w:tc>
          <w:tcPr>
            <w:tcW w:type="dxa" w:w="1704"/>
            <w:vAlign w:val="center"/>
          </w:tcPr>
          <w:p>
            <w:pPr>
              <w:spacing w:after="20"/>
            </w:pPr>
            <w:r>
              <w:rPr>
                <w:rFonts w:ascii="Aptos" w:hAnsi="Aptos"/>
                <w:sz w:val="14"/>
              </w:rPr>
              <w:t>High</w:t>
            </w:r>
          </w:p>
        </w:tc>
        <w:tc>
          <w:tcPr>
            <w:tcW w:type="dxa" w:w="1704"/>
            <w:vAlign w:val="center"/>
          </w:tcPr>
          <w:p>
            <w:pPr>
              <w:spacing w:after="20"/>
            </w:pPr>
            <w:r>
              <w:rPr>
                <w:rFonts w:ascii="Aptos" w:hAnsi="Aptos"/>
                <w:sz w:val="14"/>
              </w:rPr>
              <w:t>Separate ownership history from personal data; do not expose previous owners’ private information</w:t>
            </w:r>
          </w:p>
        </w:tc>
        <w:tc>
          <w:tcPr>
            <w:tcW w:type="dxa" w:w="1704"/>
            <w:vAlign w:val="center"/>
          </w:tcPr>
          <w:p>
            <w:pPr>
              <w:spacing w:after="20"/>
            </w:pPr>
            <w:r>
              <w:rPr>
                <w:rFonts w:ascii="Aptos" w:hAnsi="Aptos"/>
                <w:sz w:val="14"/>
              </w:rPr>
              <w:t>Team Leader + data/security contributors</w:t>
            </w:r>
          </w:p>
        </w:tc>
      </w:tr>
      <w:tr>
        <w:tc>
          <w:tcPr>
            <w:tcW w:type="dxa" w:w="1704"/>
            <w:vAlign w:val="center"/>
            <w:shd w:fill="F2F5F7"/>
          </w:tcPr>
          <w:p>
            <w:pPr>
              <w:spacing w:after="20"/>
            </w:pPr>
            <w:r>
              <w:rPr>
                <w:rFonts w:ascii="Aptos" w:hAnsi="Aptos"/>
                <w:sz w:val="14"/>
              </w:rPr>
              <w:t>R8</w:t>
            </w:r>
          </w:p>
        </w:tc>
        <w:tc>
          <w:tcPr>
            <w:tcW w:type="dxa" w:w="1704"/>
            <w:vAlign w:val="center"/>
            <w:shd w:fill="F2F5F7"/>
          </w:tcPr>
          <w:p>
            <w:pPr>
              <w:spacing w:after="20"/>
            </w:pPr>
            <w:r>
              <w:rPr>
                <w:rFonts w:ascii="Aptos" w:hAnsi="Aptos"/>
                <w:sz w:val="14"/>
              </w:rPr>
              <w:t>Late integration causes conflicting interfaces or broken flows</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High</w:t>
            </w:r>
          </w:p>
        </w:tc>
        <w:tc>
          <w:tcPr>
            <w:tcW w:type="dxa" w:w="1704"/>
            <w:vAlign w:val="center"/>
            <w:shd w:fill="F2F5F7"/>
          </w:tcPr>
          <w:p>
            <w:pPr>
              <w:spacing w:after="20"/>
            </w:pPr>
            <w:r>
              <w:rPr>
                <w:rFonts w:ascii="Aptos" w:hAnsi="Aptos"/>
                <w:sz w:val="14"/>
              </w:rPr>
              <w:t>Agree contracts early; integrate continuously; maintain blocker list and regression checks</w:t>
            </w:r>
          </w:p>
        </w:tc>
        <w:tc>
          <w:tcPr>
            <w:tcW w:type="dxa" w:w="1704"/>
            <w:vAlign w:val="center"/>
            <w:shd w:fill="F2F5F7"/>
          </w:tcPr>
          <w:p>
            <w:pPr>
              <w:spacing w:after="20"/>
            </w:pPr>
            <w:r>
              <w:rPr>
                <w:rFonts w:ascii="Aptos" w:hAnsi="Aptos"/>
                <w:sz w:val="14"/>
              </w:rPr>
              <w:t>All members</w:t>
            </w:r>
          </w:p>
        </w:tc>
      </w:tr>
      <w:tr>
        <w:tc>
          <w:tcPr>
            <w:tcW w:type="dxa" w:w="1704"/>
            <w:vAlign w:val="center"/>
          </w:tcPr>
          <w:p>
            <w:pPr>
              <w:spacing w:after="20"/>
            </w:pPr>
            <w:r>
              <w:rPr>
                <w:rFonts w:ascii="Aptos" w:hAnsi="Aptos"/>
                <w:sz w:val="14"/>
              </w:rPr>
              <w:t>R9</w:t>
            </w:r>
          </w:p>
        </w:tc>
        <w:tc>
          <w:tcPr>
            <w:tcW w:type="dxa" w:w="1704"/>
            <w:vAlign w:val="center"/>
          </w:tcPr>
          <w:p>
            <w:pPr>
              <w:spacing w:after="20"/>
            </w:pPr>
            <w:r>
              <w:rPr>
                <w:rFonts w:ascii="Aptos" w:hAnsi="Aptos"/>
                <w:sz w:val="14"/>
              </w:rPr>
              <w:t>Unconfirmed technologies are documented as final decisions</w:t>
            </w:r>
          </w:p>
        </w:tc>
        <w:tc>
          <w:tcPr>
            <w:tcW w:type="dxa" w:w="1704"/>
            <w:vAlign w:val="center"/>
          </w:tcPr>
          <w:p>
            <w:pPr>
              <w:spacing w:after="20"/>
            </w:pPr>
            <w:r>
              <w:rPr>
                <w:rFonts w:ascii="Aptos" w:hAnsi="Aptos"/>
                <w:sz w:val="14"/>
              </w:rPr>
              <w:t>Medium</w:t>
            </w:r>
          </w:p>
        </w:tc>
        <w:tc>
          <w:tcPr>
            <w:tcW w:type="dxa" w:w="1704"/>
            <w:vAlign w:val="center"/>
          </w:tcPr>
          <w:p>
            <w:pPr>
              <w:spacing w:after="20"/>
            </w:pPr>
            <w:r>
              <w:rPr>
                <w:rFonts w:ascii="Aptos" w:hAnsi="Aptos"/>
                <w:sz w:val="14"/>
              </w:rPr>
              <w:t>Medium</w:t>
            </w:r>
          </w:p>
        </w:tc>
        <w:tc>
          <w:tcPr>
            <w:tcW w:type="dxa" w:w="1704"/>
            <w:vAlign w:val="center"/>
          </w:tcPr>
          <w:p>
            <w:pPr>
              <w:spacing w:after="20"/>
            </w:pPr>
            <w:r>
              <w:rPr>
                <w:rFonts w:ascii="Aptos" w:hAnsi="Aptos"/>
                <w:sz w:val="14"/>
              </w:rPr>
              <w:t>Label undecided choices pending; approve stack/service decisions before marking final</w:t>
            </w:r>
          </w:p>
        </w:tc>
        <w:tc>
          <w:tcPr>
            <w:tcW w:type="dxa" w:w="1704"/>
            <w:vAlign w:val="center"/>
          </w:tcPr>
          <w:p>
            <w:pPr>
              <w:spacing w:after="20"/>
            </w:pPr>
            <w:r>
              <w:rPr>
                <w:rFonts w:ascii="Aptos" w:hAnsi="Aptos"/>
                <w:sz w:val="14"/>
              </w:rPr>
              <w:t>Team Leader + team</w:t>
            </w:r>
          </w:p>
        </w:tc>
      </w:tr>
      <w:tr>
        <w:tc>
          <w:tcPr>
            <w:tcW w:type="dxa" w:w="1704"/>
            <w:vAlign w:val="center"/>
            <w:shd w:fill="F2F5F7"/>
          </w:tcPr>
          <w:p>
            <w:pPr>
              <w:spacing w:after="20"/>
            </w:pPr>
            <w:r>
              <w:rPr>
                <w:rFonts w:ascii="Aptos" w:hAnsi="Aptos"/>
                <w:sz w:val="14"/>
              </w:rPr>
              <w:t>R10</w:t>
            </w:r>
          </w:p>
        </w:tc>
        <w:tc>
          <w:tcPr>
            <w:tcW w:type="dxa" w:w="1704"/>
            <w:vAlign w:val="center"/>
            <w:shd w:fill="F2F5F7"/>
          </w:tcPr>
          <w:p>
            <w:pPr>
              <w:spacing w:after="20"/>
            </w:pPr>
            <w:r>
              <w:rPr>
                <w:rFonts w:ascii="Aptos" w:hAnsi="Aptos"/>
                <w:sz w:val="14"/>
              </w:rPr>
              <w:t>GitHub documentation is stale or missing</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Medium</w:t>
            </w:r>
          </w:p>
        </w:tc>
        <w:tc>
          <w:tcPr>
            <w:tcW w:type="dxa" w:w="1704"/>
            <w:vAlign w:val="center"/>
            <w:shd w:fill="F2F5F7"/>
          </w:tcPr>
          <w:p>
            <w:pPr>
              <w:spacing w:after="20"/>
            </w:pPr>
            <w:r>
              <w:rPr>
                <w:rFonts w:ascii="Aptos" w:hAnsi="Aptos"/>
                <w:sz w:val="14"/>
              </w:rPr>
              <w:t>Keep one source of truth; check file links and dates before each milestone</w:t>
            </w:r>
          </w:p>
        </w:tc>
        <w:tc>
          <w:tcPr>
            <w:tcW w:type="dxa" w:w="1704"/>
            <w:vAlign w:val="center"/>
            <w:shd w:fill="F2F5F7"/>
          </w:tcPr>
          <w:p>
            <w:pPr>
              <w:spacing w:after="20"/>
            </w:pPr>
            <w:r>
              <w:rPr>
                <w:rFonts w:ascii="Aptos" w:hAnsi="Aptos"/>
                <w:sz w:val="14"/>
              </w:rPr>
              <w:t>Documentation coordinator (to assign)</w:t>
            </w:r>
          </w:p>
        </w:tc>
      </w:tr>
    </w:tbl>
    <w:p>
      <w:pPr>
        <w:spacing w:after="0"/>
      </w:pPr>
    </w:p>
    <w:p>
      <w:pPr>
        <w:pStyle w:val="Heading1"/>
      </w:pPr>
      <w:r>
        <w:t>7. Key Performance Indicators (KPIs)</w:t>
      </w:r>
    </w:p>
    <w:p>
      <w:r>
        <w:t>The following are proposed project-management and product-quality KPIs. Numerical targets are draft targets for team approval, not DEPI-mandated values.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84A"/>
          </w:tcPr>
          <w:p>
            <w:pPr>
              <w:spacing w:after="20"/>
            </w:pPr>
            <w:r>
              <w:rPr>
                <w:rFonts w:ascii="Aptos" w:hAnsi="Aptos"/>
                <w:b/>
                <w:color w:val="FFFFFF"/>
                <w:sz w:val="16"/>
              </w:rPr>
              <w:t>KPI</w:t>
            </w:r>
          </w:p>
        </w:tc>
        <w:tc>
          <w:tcPr>
            <w:tcW w:type="dxa" w:w="2556"/>
            <w:vAlign w:val="center"/>
            <w:shd w:fill="17384A"/>
          </w:tcPr>
          <w:p>
            <w:pPr>
              <w:spacing w:after="20"/>
            </w:pPr>
            <w:r>
              <w:rPr>
                <w:rFonts w:ascii="Aptos" w:hAnsi="Aptos"/>
                <w:b/>
                <w:color w:val="FFFFFF"/>
                <w:sz w:val="16"/>
              </w:rPr>
              <w:t>Proposed target</w:t>
            </w:r>
          </w:p>
        </w:tc>
        <w:tc>
          <w:tcPr>
            <w:tcW w:type="dxa" w:w="2556"/>
            <w:vAlign w:val="center"/>
            <w:shd w:fill="17384A"/>
          </w:tcPr>
          <w:p>
            <w:pPr>
              <w:spacing w:after="20"/>
            </w:pPr>
            <w:r>
              <w:rPr>
                <w:rFonts w:ascii="Aptos" w:hAnsi="Aptos"/>
                <w:b/>
                <w:color w:val="FFFFFF"/>
                <w:sz w:val="16"/>
              </w:rPr>
              <w:t>Measurement</w:t>
            </w:r>
          </w:p>
        </w:tc>
        <w:tc>
          <w:tcPr>
            <w:tcW w:type="dxa" w:w="2556"/>
            <w:vAlign w:val="center"/>
            <w:shd w:fill="17384A"/>
          </w:tcPr>
          <w:p>
            <w:pPr>
              <w:spacing w:after="20"/>
            </w:pPr>
            <w:r>
              <w:rPr>
                <w:rFonts w:ascii="Aptos" w:hAnsi="Aptos"/>
                <w:b/>
                <w:color w:val="FFFFFF"/>
                <w:sz w:val="16"/>
              </w:rPr>
              <w:t>Review point</w:t>
            </w:r>
          </w:p>
        </w:tc>
      </w:tr>
      <w:tr>
        <w:tc>
          <w:tcPr>
            <w:tcW w:type="dxa" w:w="2556"/>
            <w:vAlign w:val="center"/>
          </w:tcPr>
          <w:p>
            <w:pPr>
              <w:spacing w:after="20"/>
            </w:pPr>
            <w:r>
              <w:rPr>
                <w:rFonts w:ascii="Aptos" w:hAnsi="Aptos"/>
                <w:sz w:val="16"/>
              </w:rPr>
              <w:t>Planning deliverable completion</w:t>
            </w:r>
          </w:p>
        </w:tc>
        <w:tc>
          <w:tcPr>
            <w:tcW w:type="dxa" w:w="2556"/>
            <w:vAlign w:val="center"/>
          </w:tcPr>
          <w:p>
            <w:pPr>
              <w:spacing w:after="20"/>
            </w:pPr>
            <w:r>
              <w:rPr>
                <w:rFonts w:ascii="Aptos" w:hAnsi="Aptos"/>
                <w:sz w:val="16"/>
              </w:rPr>
              <w:t>100% of planning artifacts reviewed by 15 Oct</w:t>
            </w:r>
          </w:p>
        </w:tc>
        <w:tc>
          <w:tcPr>
            <w:tcW w:type="dxa" w:w="2556"/>
            <w:vAlign w:val="center"/>
          </w:tcPr>
          <w:p>
            <w:pPr>
              <w:spacing w:after="20"/>
            </w:pPr>
            <w:r>
              <w:rPr>
                <w:rFonts w:ascii="Aptos" w:hAnsi="Aptos"/>
                <w:sz w:val="16"/>
              </w:rPr>
              <w:t>Checklist: proposal, plan, roles, risks, KPIs</w:t>
            </w:r>
          </w:p>
        </w:tc>
        <w:tc>
          <w:tcPr>
            <w:tcW w:type="dxa" w:w="2556"/>
            <w:vAlign w:val="center"/>
          </w:tcPr>
          <w:p>
            <w:pPr>
              <w:spacing w:after="20"/>
            </w:pPr>
            <w:r>
              <w:rPr>
                <w:rFonts w:ascii="Aptos" w:hAnsi="Aptos"/>
                <w:sz w:val="16"/>
              </w:rPr>
              <w:t>Before submission</w:t>
            </w:r>
          </w:p>
        </w:tc>
      </w:tr>
      <w:tr>
        <w:tc>
          <w:tcPr>
            <w:tcW w:type="dxa" w:w="2556"/>
            <w:vAlign w:val="center"/>
            <w:shd w:fill="F2F5F7"/>
          </w:tcPr>
          <w:p>
            <w:pPr>
              <w:spacing w:after="20"/>
            </w:pPr>
            <w:r>
              <w:rPr>
                <w:rFonts w:ascii="Aptos" w:hAnsi="Aptos"/>
                <w:sz w:val="16"/>
              </w:rPr>
              <w:t>Milestone adherence</w:t>
            </w:r>
          </w:p>
        </w:tc>
        <w:tc>
          <w:tcPr>
            <w:tcW w:type="dxa" w:w="2556"/>
            <w:vAlign w:val="center"/>
            <w:shd w:fill="F2F5F7"/>
          </w:tcPr>
          <w:p>
            <w:pPr>
              <w:spacing w:after="20"/>
            </w:pPr>
            <w:r>
              <w:rPr>
                <w:rFonts w:ascii="Aptos" w:hAnsi="Aptos"/>
                <w:sz w:val="16"/>
              </w:rPr>
              <w:t>At least 90% of planned tasks completed by due date</w:t>
            </w:r>
          </w:p>
        </w:tc>
        <w:tc>
          <w:tcPr>
            <w:tcW w:type="dxa" w:w="2556"/>
            <w:vAlign w:val="center"/>
            <w:shd w:fill="F2F5F7"/>
          </w:tcPr>
          <w:p>
            <w:pPr>
              <w:spacing w:after="20"/>
            </w:pPr>
            <w:r>
              <w:rPr>
                <w:rFonts w:ascii="Aptos" w:hAnsi="Aptos"/>
                <w:sz w:val="16"/>
              </w:rPr>
              <w:t>Tasks completed on time ÷ tasks due</w:t>
            </w:r>
          </w:p>
        </w:tc>
        <w:tc>
          <w:tcPr>
            <w:tcW w:type="dxa" w:w="2556"/>
            <w:vAlign w:val="center"/>
            <w:shd w:fill="F2F5F7"/>
          </w:tcPr>
          <w:p>
            <w:pPr>
              <w:spacing w:after="20"/>
            </w:pPr>
            <w:r>
              <w:rPr>
                <w:rFonts w:ascii="Aptos" w:hAnsi="Aptos"/>
                <w:sz w:val="16"/>
              </w:rPr>
              <w:t>Weekly</w:t>
            </w:r>
          </w:p>
        </w:tc>
      </w:tr>
      <w:tr>
        <w:tc>
          <w:tcPr>
            <w:tcW w:type="dxa" w:w="2556"/>
            <w:vAlign w:val="center"/>
          </w:tcPr>
          <w:p>
            <w:pPr>
              <w:spacing w:after="20"/>
            </w:pPr>
            <w:r>
              <w:rPr>
                <w:rFonts w:ascii="Aptos" w:hAnsi="Aptos"/>
                <w:sz w:val="16"/>
              </w:rPr>
              <w:t>Task traceability</w:t>
            </w:r>
          </w:p>
        </w:tc>
        <w:tc>
          <w:tcPr>
            <w:tcW w:type="dxa" w:w="2556"/>
            <w:vAlign w:val="center"/>
          </w:tcPr>
          <w:p>
            <w:pPr>
              <w:spacing w:after="20"/>
            </w:pPr>
            <w:r>
              <w:rPr>
                <w:rFonts w:ascii="Aptos" w:hAnsi="Aptos"/>
                <w:sz w:val="16"/>
              </w:rPr>
              <w:t>100% of active tasks have owner, due date, acceptance criteria</w:t>
            </w:r>
          </w:p>
        </w:tc>
        <w:tc>
          <w:tcPr>
            <w:tcW w:type="dxa" w:w="2556"/>
            <w:vAlign w:val="center"/>
          </w:tcPr>
          <w:p>
            <w:pPr>
              <w:spacing w:after="20"/>
            </w:pPr>
            <w:r>
              <w:rPr>
                <w:rFonts w:ascii="Aptos" w:hAnsi="Aptos"/>
                <w:sz w:val="16"/>
              </w:rPr>
              <w:t>Review task list/repository issues</w:t>
            </w:r>
          </w:p>
        </w:tc>
        <w:tc>
          <w:tcPr>
            <w:tcW w:type="dxa" w:w="2556"/>
            <w:vAlign w:val="center"/>
          </w:tcPr>
          <w:p>
            <w:pPr>
              <w:spacing w:after="20"/>
            </w:pPr>
            <w:r>
              <w:rPr>
                <w:rFonts w:ascii="Aptos" w:hAnsi="Aptos"/>
                <w:sz w:val="16"/>
              </w:rPr>
              <w:t>Weekly</w:t>
            </w:r>
          </w:p>
        </w:tc>
      </w:tr>
      <w:tr>
        <w:tc>
          <w:tcPr>
            <w:tcW w:type="dxa" w:w="2556"/>
            <w:vAlign w:val="center"/>
            <w:shd w:fill="F2F5F7"/>
          </w:tcPr>
          <w:p>
            <w:pPr>
              <w:spacing w:after="20"/>
            </w:pPr>
            <w:r>
              <w:rPr>
                <w:rFonts w:ascii="Aptos" w:hAnsi="Aptos"/>
                <w:sz w:val="16"/>
              </w:rPr>
              <w:t>Integration health</w:t>
            </w:r>
          </w:p>
        </w:tc>
        <w:tc>
          <w:tcPr>
            <w:tcW w:type="dxa" w:w="2556"/>
            <w:vAlign w:val="center"/>
            <w:shd w:fill="F2F5F7"/>
          </w:tcPr>
          <w:p>
            <w:pPr>
              <w:spacing w:after="20"/>
            </w:pPr>
            <w:r>
              <w:rPr>
                <w:rFonts w:ascii="Aptos" w:hAnsi="Aptos"/>
                <w:sz w:val="16"/>
              </w:rPr>
              <w:t>No known release-blocking issue unresolved at milestone review</w:t>
            </w:r>
          </w:p>
        </w:tc>
        <w:tc>
          <w:tcPr>
            <w:tcW w:type="dxa" w:w="2556"/>
            <w:vAlign w:val="center"/>
            <w:shd w:fill="F2F5F7"/>
          </w:tcPr>
          <w:p>
            <w:pPr>
              <w:spacing w:after="20"/>
            </w:pPr>
            <w:r>
              <w:rPr>
                <w:rFonts w:ascii="Aptos" w:hAnsi="Aptos"/>
                <w:sz w:val="16"/>
              </w:rPr>
              <w:t>Blocker list and integration test results</w:t>
            </w:r>
          </w:p>
        </w:tc>
        <w:tc>
          <w:tcPr>
            <w:tcW w:type="dxa" w:w="2556"/>
            <w:vAlign w:val="center"/>
            <w:shd w:fill="F2F5F7"/>
          </w:tcPr>
          <w:p>
            <w:pPr>
              <w:spacing w:after="20"/>
            </w:pPr>
            <w:r>
              <w:rPr>
                <w:rFonts w:ascii="Aptos" w:hAnsi="Aptos"/>
                <w:sz w:val="16"/>
              </w:rPr>
              <w:t>Milestone reviews</w:t>
            </w:r>
          </w:p>
        </w:tc>
      </w:tr>
      <w:tr>
        <w:tc>
          <w:tcPr>
            <w:tcW w:type="dxa" w:w="2556"/>
            <w:vAlign w:val="center"/>
          </w:tcPr>
          <w:p>
            <w:pPr>
              <w:spacing w:after="20"/>
            </w:pPr>
            <w:r>
              <w:rPr>
                <w:rFonts w:ascii="Aptos" w:hAnsi="Aptos"/>
                <w:sz w:val="16"/>
              </w:rPr>
              <w:t>Core-flow test coverage</w:t>
            </w:r>
          </w:p>
        </w:tc>
        <w:tc>
          <w:tcPr>
            <w:tcW w:type="dxa" w:w="2556"/>
            <w:vAlign w:val="center"/>
          </w:tcPr>
          <w:p>
            <w:pPr>
              <w:spacing w:after="20"/>
            </w:pPr>
            <w:r>
              <w:rPr>
                <w:rFonts w:ascii="Aptos" w:hAnsi="Aptos"/>
                <w:sz w:val="16"/>
              </w:rPr>
              <w:t>All agreed critical journeys have documented test cases before final testing closes</w:t>
            </w:r>
          </w:p>
        </w:tc>
        <w:tc>
          <w:tcPr>
            <w:tcW w:type="dxa" w:w="2556"/>
            <w:vAlign w:val="center"/>
          </w:tcPr>
          <w:p>
            <w:pPr>
              <w:spacing w:after="20"/>
            </w:pPr>
            <w:r>
              <w:rPr>
                <w:rFonts w:ascii="Aptos" w:hAnsi="Aptos"/>
                <w:sz w:val="16"/>
              </w:rPr>
              <w:t>Test plan mapped to core features</w:t>
            </w:r>
          </w:p>
        </w:tc>
        <w:tc>
          <w:tcPr>
            <w:tcW w:type="dxa" w:w="2556"/>
            <w:vAlign w:val="center"/>
          </w:tcPr>
          <w:p>
            <w:pPr>
              <w:spacing w:after="20"/>
            </w:pPr>
            <w:r>
              <w:rPr>
                <w:rFonts w:ascii="Aptos" w:hAnsi="Aptos"/>
                <w:sz w:val="16"/>
              </w:rPr>
              <w:t>Implementation/testing</w:t>
            </w:r>
          </w:p>
        </w:tc>
      </w:tr>
      <w:tr>
        <w:tc>
          <w:tcPr>
            <w:tcW w:type="dxa" w:w="2556"/>
            <w:vAlign w:val="center"/>
            <w:shd w:fill="F2F5F7"/>
          </w:tcPr>
          <w:p>
            <w:pPr>
              <w:spacing w:after="20"/>
            </w:pPr>
            <w:r>
              <w:rPr>
                <w:rFonts w:ascii="Aptos" w:hAnsi="Aptos"/>
                <w:sz w:val="16"/>
              </w:rPr>
              <w:t>AI factual-boundary compliance</w:t>
            </w:r>
          </w:p>
        </w:tc>
        <w:tc>
          <w:tcPr>
            <w:tcW w:type="dxa" w:w="2556"/>
            <w:vAlign w:val="center"/>
            <w:shd w:fill="F2F5F7"/>
          </w:tcPr>
          <w:p>
            <w:pPr>
              <w:spacing w:after="20"/>
            </w:pPr>
            <w:r>
              <w:rPr>
                <w:rFonts w:ascii="Aptos" w:hAnsi="Aptos"/>
                <w:sz w:val="16"/>
              </w:rPr>
              <w:t>All AI-dependent flows define validation/source-of-truth rules before acceptance</w:t>
            </w:r>
          </w:p>
        </w:tc>
        <w:tc>
          <w:tcPr>
            <w:tcW w:type="dxa" w:w="2556"/>
            <w:vAlign w:val="center"/>
            <w:shd w:fill="F2F5F7"/>
          </w:tcPr>
          <w:p>
            <w:pPr>
              <w:spacing w:after="20"/>
            </w:pPr>
            <w:r>
              <w:rPr>
                <w:rFonts w:ascii="Aptos" w:hAnsi="Aptos"/>
                <w:sz w:val="16"/>
              </w:rPr>
              <w:t>Review AI contracts and tests</w:t>
            </w:r>
          </w:p>
        </w:tc>
        <w:tc>
          <w:tcPr>
            <w:tcW w:type="dxa" w:w="2556"/>
            <w:vAlign w:val="center"/>
            <w:shd w:fill="F2F5F7"/>
          </w:tcPr>
          <w:p>
            <w:pPr>
              <w:spacing w:after="20"/>
            </w:pPr>
            <w:r>
              <w:rPr>
                <w:rFonts w:ascii="Aptos" w:hAnsi="Aptos"/>
                <w:sz w:val="16"/>
              </w:rPr>
              <w:t>Design/integration</w:t>
            </w:r>
          </w:p>
        </w:tc>
      </w:tr>
      <w:tr>
        <w:tc>
          <w:tcPr>
            <w:tcW w:type="dxa" w:w="2556"/>
            <w:vAlign w:val="center"/>
          </w:tcPr>
          <w:p>
            <w:pPr>
              <w:spacing w:after="20"/>
            </w:pPr>
            <w:r>
              <w:rPr>
                <w:rFonts w:ascii="Aptos" w:hAnsi="Aptos"/>
                <w:sz w:val="16"/>
              </w:rPr>
              <w:t>Second-life eligibility</w:t>
            </w:r>
          </w:p>
        </w:tc>
        <w:tc>
          <w:tcPr>
            <w:tcW w:type="dxa" w:w="2556"/>
            <w:vAlign w:val="center"/>
          </w:tcPr>
          <w:p>
            <w:pPr>
              <w:spacing w:after="20"/>
            </w:pPr>
            <w:r>
              <w:rPr>
                <w:rFonts w:ascii="Aptos" w:hAnsi="Aptos"/>
                <w:sz w:val="16"/>
              </w:rPr>
              <w:t>All listing acceptance tests cover origin, current ownership, listing state, eligibility, disputes</w:t>
            </w:r>
          </w:p>
        </w:tc>
        <w:tc>
          <w:tcPr>
            <w:tcW w:type="dxa" w:w="2556"/>
            <w:vAlign w:val="center"/>
          </w:tcPr>
          <w:p>
            <w:pPr>
              <w:spacing w:after="20"/>
            </w:pPr>
            <w:r>
              <w:rPr>
                <w:rFonts w:ascii="Aptos" w:hAnsi="Aptos"/>
                <w:sz w:val="16"/>
              </w:rPr>
              <w:t>Requirements-to-test traceability</w:t>
            </w:r>
          </w:p>
        </w:tc>
        <w:tc>
          <w:tcPr>
            <w:tcW w:type="dxa" w:w="2556"/>
            <w:vAlign w:val="center"/>
          </w:tcPr>
          <w:p>
            <w:pPr>
              <w:spacing w:after="20"/>
            </w:pPr>
            <w:r>
              <w:rPr>
                <w:rFonts w:ascii="Aptos" w:hAnsi="Aptos"/>
                <w:sz w:val="16"/>
              </w:rPr>
              <w:t>Feature acceptance</w:t>
            </w:r>
          </w:p>
        </w:tc>
      </w:tr>
      <w:tr>
        <w:tc>
          <w:tcPr>
            <w:tcW w:type="dxa" w:w="2556"/>
            <w:vAlign w:val="center"/>
            <w:shd w:fill="F2F5F7"/>
          </w:tcPr>
          <w:p>
            <w:pPr>
              <w:spacing w:after="20"/>
            </w:pPr>
            <w:r>
              <w:rPr>
                <w:rFonts w:ascii="Aptos" w:hAnsi="Aptos"/>
                <w:sz w:val="16"/>
              </w:rPr>
              <w:t>Responsive design coverage</w:t>
            </w:r>
          </w:p>
        </w:tc>
        <w:tc>
          <w:tcPr>
            <w:tcW w:type="dxa" w:w="2556"/>
            <w:vAlign w:val="center"/>
            <w:shd w:fill="F2F5F7"/>
          </w:tcPr>
          <w:p>
            <w:pPr>
              <w:spacing w:after="20"/>
            </w:pPr>
            <w:r>
              <w:rPr>
                <w:rFonts w:ascii="Aptos" w:hAnsi="Aptos"/>
                <w:sz w:val="16"/>
              </w:rPr>
              <w:t>Every approved screen has desktop/mobile counterpart except explicitly mobile-only screens</w:t>
            </w:r>
          </w:p>
        </w:tc>
        <w:tc>
          <w:tcPr>
            <w:tcW w:type="dxa" w:w="2556"/>
            <w:vAlign w:val="center"/>
            <w:shd w:fill="F2F5F7"/>
          </w:tcPr>
          <w:p>
            <w:pPr>
              <w:spacing w:after="20"/>
            </w:pPr>
            <w:r>
              <w:rPr>
                <w:rFonts w:ascii="Aptos" w:hAnsi="Aptos"/>
                <w:sz w:val="16"/>
              </w:rPr>
              <w:t>Compare screen inventory with prototypes</w:t>
            </w:r>
          </w:p>
        </w:tc>
        <w:tc>
          <w:tcPr>
            <w:tcW w:type="dxa" w:w="2556"/>
            <w:vAlign w:val="center"/>
            <w:shd w:fill="F2F5F7"/>
          </w:tcPr>
          <w:p>
            <w:pPr>
              <w:spacing w:after="20"/>
            </w:pPr>
            <w:r>
              <w:rPr>
                <w:rFonts w:ascii="Aptos" w:hAnsi="Aptos"/>
                <w:sz w:val="16"/>
              </w:rPr>
              <w:t>Design review</w:t>
            </w:r>
          </w:p>
        </w:tc>
      </w:tr>
      <w:tr>
        <w:tc>
          <w:tcPr>
            <w:tcW w:type="dxa" w:w="2556"/>
            <w:vAlign w:val="center"/>
          </w:tcPr>
          <w:p>
            <w:pPr>
              <w:spacing w:after="20"/>
            </w:pPr>
            <w:r>
              <w:rPr>
                <w:rFonts w:ascii="Aptos" w:hAnsi="Aptos"/>
                <w:sz w:val="16"/>
              </w:rPr>
              <w:t>Documentation freshness</w:t>
            </w:r>
          </w:p>
        </w:tc>
        <w:tc>
          <w:tcPr>
            <w:tcW w:type="dxa" w:w="2556"/>
            <w:vAlign w:val="center"/>
          </w:tcPr>
          <w:p>
            <w:pPr>
              <w:spacing w:after="20"/>
            </w:pPr>
            <w:r>
              <w:rPr>
                <w:rFonts w:ascii="Aptos" w:hAnsi="Aptos"/>
                <w:sz w:val="16"/>
              </w:rPr>
              <w:t>All milestone documents updated before related submission</w:t>
            </w:r>
          </w:p>
        </w:tc>
        <w:tc>
          <w:tcPr>
            <w:tcW w:type="dxa" w:w="2556"/>
            <w:vAlign w:val="center"/>
          </w:tcPr>
          <w:p>
            <w:pPr>
              <w:spacing w:after="20"/>
            </w:pPr>
            <w:r>
              <w:rPr>
                <w:rFonts w:ascii="Aptos" w:hAnsi="Aptos"/>
                <w:sz w:val="16"/>
              </w:rPr>
              <w:t>Repository and commit review</w:t>
            </w:r>
          </w:p>
        </w:tc>
        <w:tc>
          <w:tcPr>
            <w:tcW w:type="dxa" w:w="2556"/>
            <w:vAlign w:val="center"/>
          </w:tcPr>
          <w:p>
            <w:pPr>
              <w:spacing w:after="20"/>
            </w:pPr>
            <w:r>
              <w:rPr>
                <w:rFonts w:ascii="Aptos" w:hAnsi="Aptos"/>
                <w:sz w:val="16"/>
              </w:rPr>
              <w:t>Every milestone</w:t>
            </w:r>
          </w:p>
        </w:tc>
      </w:tr>
    </w:tbl>
    <w:p>
      <w:pPr>
        <w:spacing w:after="0"/>
      </w:pPr>
    </w:p>
    <w:p>
      <w:pPr>
        <w:pStyle w:val="Heading1"/>
      </w:pPr>
      <w:r>
        <w:t>8. Monitoring, Communication &amp; Change Control</w:t>
      </w:r>
    </w:p>
    <w:p>
      <w:pPr>
        <w:pStyle w:val="Heading2"/>
      </w:pPr>
      <w:r>
        <w:t>8.1 Progress Monitoring</w:t>
      </w:r>
    </w:p>
    <w:p>
      <w:pPr>
        <w:pStyle w:val="ListBullet"/>
        <w:spacing w:after="40"/>
      </w:pPr>
      <w:r>
        <w:t>Maintain a shared task list with statuses: Not Started, In Progress, Blocked, In Review, Done.</w:t>
      </w:r>
    </w:p>
    <w:p>
      <w:pPr>
        <w:pStyle w:val="ListBullet"/>
        <w:spacing w:after="40"/>
      </w:pPr>
      <w:r>
        <w:t>Review progress, blockers, dependencies, and deadlines at least twice per week during the planning window.</w:t>
      </w:r>
    </w:p>
    <w:p>
      <w:pPr>
        <w:pStyle w:val="ListBullet"/>
        <w:spacing w:after="40"/>
      </w:pPr>
      <w:r>
        <w:t>Use evidence-based status: a design is not implementation; local implementation is not integration; a passing test applies only to tested scope.</w:t>
      </w:r>
    </w:p>
    <w:p>
      <w:pPr>
        <w:pStyle w:val="Heading2"/>
      </w:pPr>
      <w:r>
        <w:t>8.2 Change Control</w:t>
      </w:r>
    </w:p>
    <w:p>
      <w:pPr>
        <w:pStyle w:val="ListBullet"/>
        <w:spacing w:after="40"/>
      </w:pPr>
      <w:r>
        <w:t>Record proposed changes to scope, deadlines, responsibilities, data rules, AI boundaries, and architecture.</w:t>
      </w:r>
    </w:p>
    <w:p>
      <w:pPr>
        <w:pStyle w:val="ListBullet"/>
        <w:spacing w:after="40"/>
      </w:pPr>
      <w:r>
        <w:t>Assess impact on schedule, dependencies, testing, and documentation before accepting a change.</w:t>
      </w:r>
    </w:p>
    <w:p>
      <w:pPr>
        <w:pStyle w:val="ListBullet"/>
        <w:spacing w:after="40"/>
      </w:pPr>
      <w:r>
        <w:t>Only explicit team decisions convert a proposal into a confirmed decision.</w:t>
      </w:r>
    </w:p>
    <w:p>
      <w:pPr>
        <w:pStyle w:val="ListBullet"/>
        <w:spacing w:after="40"/>
      </w:pPr>
      <w:r>
        <w:t>Update affected documents and the decision log after approval.</w:t>
      </w:r>
    </w:p>
    <w:p>
      <w:pPr>
        <w:pStyle w:val="Heading2"/>
      </w:pPr>
      <w:r>
        <w:t>8.3 Communication and Repository</w:t>
      </w:r>
    </w:p>
    <w:p>
      <w:pPr>
        <w:pStyle w:val="ListBullet"/>
        <w:spacing w:after="40"/>
      </w:pPr>
      <w:r>
        <w:t>GitHub is the shared destination for project documents, as required by the supplied DEPI guidance.</w:t>
      </w:r>
    </w:p>
    <w:p>
      <w:pPr>
        <w:pStyle w:val="ListBullet"/>
        <w:spacing w:after="40"/>
      </w:pPr>
      <w:r>
        <w:t>Use meaningful commit messages and keep document versions identifiable.</w:t>
      </w:r>
    </w:p>
    <w:p>
      <w:pPr>
        <w:pStyle w:val="ListBullet"/>
        <w:spacing w:after="40"/>
      </w:pPr>
      <w:r>
        <w:t>At each submission, verify repository URL, file paths, readability, and latest commit.</w:t>
      </w:r>
    </w:p>
    <w:p>
      <w:pPr>
        <w:pStyle w:val="ListBullet"/>
        <w:spacing w:after="40"/>
      </w:pPr>
      <w:r>
        <w:t>Repository URL: insert the actual URL; it was not available in the context used for this draft.</w:t>
      </w:r>
    </w:p>
    <w:p>
      <w:pPr>
        <w:pStyle w:val="Heading1"/>
      </w:pPr>
      <w:r>
        <w:t>9. Acceptance Checklist</w:t>
      </w:r>
    </w:p>
    <w:p>
      <w:pPr>
        <w:pStyle w:val="ListBullet"/>
        <w:spacing w:after="40"/>
      </w:pPr>
      <w:r>
        <w:t>Project Proposal: overview, objectives, and scope are explicit.</w:t>
      </w:r>
    </w:p>
    <w:p>
      <w:pPr>
        <w:pStyle w:val="ListBullet"/>
        <w:spacing w:after="40"/>
      </w:pPr>
      <w:r>
        <w:t>Project Plan: timeline/Gantt representation, milestones, deliverables, and resource allocation are included.</w:t>
      </w:r>
    </w:p>
    <w:p>
      <w:pPr>
        <w:pStyle w:val="ListBullet"/>
        <w:spacing w:after="40"/>
      </w:pPr>
      <w:r>
        <w:t>Task Assignment &amp; Roles: all six members are named; proposed coordination assignments are confirmed.</w:t>
      </w:r>
    </w:p>
    <w:p>
      <w:pPr>
        <w:pStyle w:val="ListBullet"/>
        <w:spacing w:after="40"/>
      </w:pPr>
      <w:r>
        <w:t>Risk Assessment: risks include likelihood, impact, mitigation, and owner.</w:t>
      </w:r>
    </w:p>
    <w:p>
      <w:pPr>
        <w:pStyle w:val="ListBullet"/>
        <w:spacing w:after="40"/>
      </w:pPr>
      <w:r>
        <w:t>KPIs: each KPI has a definition, target, measurement method, and review point.</w:t>
      </w:r>
    </w:p>
    <w:p>
      <w:pPr>
        <w:pStyle w:val="ListBullet"/>
        <w:spacing w:after="40"/>
      </w:pPr>
      <w:r>
        <w:t>Cross-document consistency: dates, feature names, ownership rules, AI boundaries, and scope agree.</w:t>
      </w:r>
    </w:p>
    <w:p>
      <w:pPr>
        <w:pStyle w:val="ListBullet"/>
        <w:spacing w:after="40"/>
      </w:pPr>
      <w:r>
        <w:t>Repository: required files are uploaded to GitHub and the link is verified.</w:t>
      </w:r>
    </w:p>
    <w:p>
      <w:pPr>
        <w:pStyle w:val="ListBullet"/>
        <w:spacing w:after="40"/>
      </w:pPr>
      <w:r>
        <w:t>Team review: placeholders and proposed targets are approved or explicitly marked pending.</w:t>
      </w:r>
    </w:p>
    <w:p>
      <w:pPr>
        <w:pStyle w:val="Heading1"/>
      </w:pPr>
      <w:r>
        <w:t>10. Open Items Requiring Team Confirmation</w:t>
      </w:r>
    </w:p>
    <w:p>
      <w:pPr>
        <w:pStyle w:val="ListBullet"/>
        <w:spacing w:after="40"/>
      </w:pPr>
      <w:r>
        <w:t>Confirm the exact DEPI track name and any instructor template/rubric.</w:t>
      </w:r>
    </w:p>
    <w:p>
      <w:pPr>
        <w:pStyle w:val="ListBullet"/>
        <w:spacing w:after="40"/>
      </w:pPr>
      <w:r>
        <w:t>Insert the actual GitHub repository URL and folder structure.</w:t>
      </w:r>
    </w:p>
    <w:p>
      <w:pPr>
        <w:pStyle w:val="ListBullet"/>
        <w:spacing w:after="40"/>
      </w:pPr>
      <w:r>
        <w:t>Approve task-coordination assignments for the five non-lead members.</w:t>
      </w:r>
    </w:p>
    <w:p>
      <w:pPr>
        <w:pStyle w:val="ListBullet"/>
        <w:spacing w:after="40"/>
      </w:pPr>
      <w:r>
        <w:t>Approve or revise proposed KPI targets.</w:t>
      </w:r>
    </w:p>
    <w:p>
      <w:pPr>
        <w:pStyle w:val="ListBullet"/>
        <w:spacing w:after="40"/>
      </w:pPr>
      <w:r>
        <w:t>Confirm formally approved technology-stack decisions; do not infer them from prototypes.</w:t>
      </w:r>
    </w:p>
    <w:p>
      <w:pPr>
        <w:pStyle w:val="ListBullet"/>
        <w:spacing w:after="40"/>
      </w:pPr>
      <w:r>
        <w:t>Confirm whether the instructor expects one combined document or separate files for each planning artifact.</w:t>
      </w:r>
    </w:p>
    <w:p>
      <w:pPr>
        <w:pStyle w:val="Heading1"/>
      </w:pPr>
      <w:r>
        <w:t>Appendix A — Planning Dates Source</w:t>
      </w:r>
    </w:p>
    <w:p>
      <w:r>
        <w:t>The schedule follows the DEPI Project Documentation Guidelines supplied in the project context: Project Planning &amp; Management (2–16 Oct 2026); Literature Review (9–16 Oct 2026); Requirements Gathering (9–16 Oct 2026); System Analysis &amp; Design (9 Oct–6 Nov 2026); Implementation (16 Oct–30 Nov 2026); Final Presentation, Testing &amp; Reports (16 Oct–4 Dec 2026). The guidance states that all documents should be uploaded to GitHub.</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TechWise • Working Draft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73"/>
        <w:sz w:val="16"/>
      </w:rPr>
      <w:t>TECHWISE  /  FALCON TEAM                                      PROJECT PLANNING &amp;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8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8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1E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