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3A5F"/>
          <w:sz w:val="96"/>
        </w:rPr>
        <w:t>SARA</w:t>
      </w:r>
    </w:p>
    <w:p>
      <w:pPr>
        <w:jc w:val="center"/>
      </w:pPr>
      <w:r>
        <w:rPr>
          <w:color w:val="2D6A9F"/>
          <w:sz w:val="36"/>
        </w:rPr>
        <w:t>Sistema de Alerta de Riesgo Académico</w:t>
      </w:r>
    </w:p>
    <w:p/>
    <w:p>
      <w:pPr>
        <w:jc w:val="center"/>
      </w:pPr>
      <w:r>
        <w:rPr>
          <w:i/>
          <w:color w:val="556575"/>
          <w:sz w:val="26"/>
        </w:rPr>
        <w:t>Resumen General de Documentación Técnica</w:t>
      </w:r>
    </w:p>
    <w:p/>
    <w:p>
      <w:pPr>
        <w:jc w:val="center"/>
      </w:pPr>
      <w:r>
        <w:rPr>
          <w:color w:val="778899"/>
          <w:sz w:val="21"/>
        </w:rPr>
        <w:t>Proyecto P20261012  ·  UPC — Ingeniería de Sistemas de Información</w:t>
        <w:br/>
        <w:t>Lima, Mayo 2026</w:t>
      </w:r>
    </w:p>
    <w:p/>
    <w:p>
      <w:pPr>
        <w:spacing w:before="80" w:after="80"/>
        <w:pBdr>
          <w:bottom w:val="single" w:sz="6" w:space="1" w:color="2d6a9f"/>
        </w:pBdr>
      </w:pPr>
    </w:p>
    <w:p/>
    <w:p>
      <w:pPr>
        <w:spacing w:before="360" w:after="120"/>
      </w:pPr>
      <w:r>
        <w:rPr>
          <w:b/>
          <w:color w:val="1E3A5F"/>
          <w:sz w:val="34"/>
        </w:rPr>
        <w:t>¿Qué es este documento?</w:t>
      </w:r>
    </w:p>
    <w:p>
      <w:pPr>
        <w:spacing w:after="80"/>
      </w:pPr>
      <w:r>
        <w:rPr>
          <w:b w:val="0"/>
          <w:i w:val="0"/>
          <w:sz w:val="21"/>
        </w:rPr>
        <w:t>Este documento compila en un solo lugar los 5 archivos de documentación técnica del proyecto SARA. Cada sección corresponde a un archivo .md del repositorio y presenta un resumen claro de su propósito, contenido principal y relevancia para la tesis. No es necesario leer los archivos originales para entender el alcance del proyecto; este Word sirve como punto de entrada unificado.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Qué contiene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PLAN_SPRINTS_P20261012.md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Hoja de ruta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Sprints, HUs, arquitectura, KPIs del proyecto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IMPLEMENTACION_HUS_CASOS.md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Cobertura técnica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Mapeo épicas → capas del sistema + casos de prueba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JUSTIFICACION_MODELO_PREDICTIVO.md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Fundamento ML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Por qué SARA es un modelo predictivo riguroso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MODEL_CARD.md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Ficha del modelo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Métricas, fairness, calibración, limitaciones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ANALISIS_ERRORES.md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Análisis de fallos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Por qué y cómo se equivoca el modelo</w:t>
            </w:r>
          </w:p>
        </w:tc>
      </w:tr>
    </w:tbl>
    <w:p/>
    <w:p>
      <w:pPr>
        <w:spacing w:before="80" w:after="80"/>
        <w:pBdr>
          <w:bottom w:val="single" w:sz="6" w:space="1" w:color="2d6a9f"/>
        </w:pBdr>
      </w:pPr>
    </w:p>
    <w:p>
      <w:r>
        <w:br w:type="page"/>
      </w:r>
    </w:p>
    <w:p>
      <w:pPr>
        <w:spacing w:before="360" w:after="120"/>
      </w:pPr>
      <w:r>
        <w:rPr>
          <w:b/>
          <w:color w:val="1E3A5F"/>
          <w:sz w:val="34"/>
        </w:rPr>
        <w:t>1 · PLAN_SPRINTS_P20261012.md</w:t>
      </w:r>
    </w:p>
    <w:p>
      <w:pPr>
        <w:spacing w:after="80"/>
      </w:pPr>
      <w:r>
        <w:rPr>
          <w:b w:val="0"/>
          <w:i/>
          <w:color w:val="888888"/>
          <w:sz w:val="21"/>
        </w:rPr>
        <w:t>Archivo: docs/PLAN_SPRINTS_P20261012.md</w:t>
      </w:r>
    </w:p>
    <w:p>
      <w:pPr>
        <w:spacing w:after="80"/>
      </w:pPr>
      <w:r>
        <w:rPr>
          <w:b w:val="0"/>
          <w:i w:val="0"/>
          <w:sz w:val="21"/>
        </w:rPr>
        <w:t>Es la hoja de ruta completa del proyecto. Define cómo se organiza el trabajo en 4 sprints, qué se construye en cada uno, quién es responsable, y cómo se mide el éxito al final. Es el documento que respondería la pregunta: '¿cómo planificaste tu tesis?'</w:t>
      </w:r>
    </w:p>
    <w:p/>
    <w:p>
      <w:pPr>
        <w:spacing w:before="240" w:after="120"/>
      </w:pPr>
      <w:r>
        <w:rPr>
          <w:b/>
          <w:color w:val="2D6A9F"/>
          <w:sz w:val="26"/>
        </w:rPr>
        <w:t>Contenido principal</w:t>
      </w:r>
    </w:p>
    <w:p>
      <w:pPr>
        <w:spacing w:before="240" w:after="120"/>
      </w:pPr>
      <w:r>
        <w:rPr>
          <w:b/>
          <w:color w:val="D96B00"/>
          <w:sz w:val="22"/>
        </w:rPr>
        <w:t>Equipo y estructura</w:t>
      </w:r>
    </w:p>
    <w:p>
      <w:pPr>
        <w:pStyle w:val="ListBullet"/>
        <w:spacing w:after="40"/>
        <w:ind w:left="283"/>
      </w:pPr>
      <w:r>
        <w:rPr>
          <w:sz w:val="20"/>
        </w:rPr>
        <w:t>Proyecto: P20261012 — Curso Taller de Proyectos I, UPC</w:t>
      </w:r>
    </w:p>
    <w:p>
      <w:pPr>
        <w:pStyle w:val="ListBullet"/>
        <w:spacing w:after="40"/>
        <w:ind w:left="283"/>
      </w:pPr>
      <w:r>
        <w:rPr>
          <w:sz w:val="20"/>
        </w:rPr>
        <w:t>PM: Torres Saldaña, Gabriel Alonso · Scrum Manager: Tong Barahona, Dylan</w:t>
      </w:r>
    </w:p>
    <w:p>
      <w:pPr>
        <w:pStyle w:val="ListBullet"/>
        <w:spacing w:after="40"/>
        <w:ind w:left="283"/>
      </w:pPr>
      <w:r>
        <w:rPr>
          <w:sz w:val="20"/>
        </w:rPr>
        <w:t>35 Historias de Usuario (HUs) · 73 escenarios de prueba · 7 Épicas</w:t>
      </w:r>
    </w:p>
    <w:p>
      <w:pPr>
        <w:spacing w:before="240" w:after="120"/>
      </w:pPr>
      <w:r>
        <w:rPr>
          <w:b/>
          <w:color w:val="D96B00"/>
          <w:sz w:val="22"/>
        </w:rPr>
        <w:t>Sprints (4 en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Semanas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Foco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Sprint 1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Sem 4–6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Modelo ML, dataset EM 2022, calibración, SHAP, métricas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Sprint 2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Sem 7–9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Backend FastAPI (ML) + Backend principal (Supabase + Auth)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Sprint 3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Sem 10–12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Frontend Next.js: dashboard, predicciones, intervenciones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Sprint 4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Sem 13–15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Features avanzadas, despliegue cloud, sustentación final</w:t>
            </w:r>
          </w:p>
        </w:tc>
      </w:tr>
    </w:tbl>
    <w:p/>
    <w:p>
      <w:pPr>
        <w:spacing w:before="240" w:after="120"/>
      </w:pPr>
      <w:r>
        <w:rPr>
          <w:b/>
          <w:color w:val="D96B00"/>
          <w:sz w:val="22"/>
        </w:rPr>
        <w:t>Arquitectura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Next.js 14 + TypeScript + Tailwind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Vistas del Director y Administrador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Backend ML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FastAPI (Python)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/predecir, /metricas, /diagnostico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Backend Data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Supabase (Postgres + Auth + Storage)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7 tablas, RLS, roles, audit log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Capa ML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LightGBM · XGBoost · SHAP · Optuna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Pipeline predictivo completo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Cloud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Vercel · Railway · GitHub Actions · Sentry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CI/CD, monitoreo, despliegue</w:t>
            </w:r>
          </w:p>
        </w:tc>
      </w:tr>
    </w:tbl>
    <w:p/>
    <w:p>
      <w:pPr>
        <w:spacing w:before="240" w:after="120"/>
      </w:pPr>
      <w:r>
        <w:rPr>
          <w:b/>
          <w:color w:val="D96B00"/>
          <w:sz w:val="22"/>
        </w:rPr>
        <w:t>KPIs del proyecto (metas alcanzadas)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Métrica / Entregable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AUC-ROC test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≥ 0.80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0.843 ✅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Recall (ALTO)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≥ 0.70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0.779 ✅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Brier Score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≤ 0.18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0.157 ✅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ECE calibración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≤ 0.08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0.048 ✅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MCC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≥ 0.45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0.521 ✅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HUs completadas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35/35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35/35 ✅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Cobertura tests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≥ 80%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88% ✅</w:t>
            </w:r>
          </w:p>
        </w:tc>
      </w:tr>
    </w:tbl>
    <w:p/>
    <w:p>
      <w:pPr>
        <w:spacing w:before="80" w:after="80"/>
        <w:pBdr>
          <w:bottom w:val="single" w:sz="6" w:space="1" w:color="2d6a9f"/>
        </w:pBdr>
      </w:pPr>
    </w:p>
    <w:p>
      <w:r>
        <w:br w:type="page"/>
      </w:r>
    </w:p>
    <w:p>
      <w:pPr>
        <w:spacing w:before="360" w:after="120"/>
      </w:pPr>
      <w:r>
        <w:rPr>
          <w:b/>
          <w:color w:val="1E3A5F"/>
          <w:sz w:val="34"/>
        </w:rPr>
        <w:t>2 · IMPLEMENTACION_HUS_CASOS.md</w:t>
      </w:r>
    </w:p>
    <w:p>
      <w:pPr>
        <w:spacing w:after="80"/>
      </w:pPr>
      <w:r>
        <w:rPr>
          <w:b w:val="0"/>
          <w:i/>
          <w:color w:val="888888"/>
          <w:sz w:val="21"/>
        </w:rPr>
        <w:t>Archivo: docs/IMPLEMENTACION_HUS_CASOS.md</w:t>
      </w:r>
    </w:p>
    <w:p>
      <w:pPr>
        <w:spacing w:after="80"/>
      </w:pPr>
      <w:r>
        <w:rPr>
          <w:b w:val="0"/>
          <w:i w:val="0"/>
          <w:sz w:val="21"/>
        </w:rPr>
        <w:t>Es el puente entre el papel (las HUs del backlog) y el código real. Muestra qué épica del Product Backlog fue implementada en qué carpeta del repositorio, y qué casos de prueba validan cada funcionalidad. Es la respuesta técnica a '¿cómo se verifica que todo funciona?'</w:t>
      </w:r>
    </w:p>
    <w:p/>
    <w:p>
      <w:pPr>
        <w:spacing w:before="240" w:after="120"/>
      </w:pPr>
      <w:r>
        <w:rPr>
          <w:b/>
          <w:color w:val="2D6A9F"/>
          <w:sz w:val="26"/>
        </w:rPr>
        <w:t>Contenido principal</w:t>
      </w:r>
    </w:p>
    <w:p>
      <w:pPr>
        <w:spacing w:before="240" w:after="120"/>
      </w:pPr>
      <w:r>
        <w:rPr>
          <w:b/>
          <w:color w:val="D96B00"/>
          <w:sz w:val="22"/>
        </w:rPr>
        <w:t>Cobertura por épica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Épica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Implementación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Casos de prueba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EP01 — Acceso y Seguridad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Supabase Auth, roles, RLS, frontend login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CP001–CP010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EP02 — Predicción y Clasificación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FastAPI /predecir, /predecir-dataset, niveles riesgo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CP011–CP020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EP03 — Análisis y Visualización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Dashboard Next.js, KPIs, gráficos, heatmap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CP021–CP040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EP04 — Priorización e Intervención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Tabla intervenciones, relación estudiante/predicción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CP041–CP060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EP05 — Histórico y Reportes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Predicciones versionadas, tablas por periodo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CP061–CP065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EP06 — Gestión de Datos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Tablas académicas, Storage, dataset EM 2022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CP066–CP070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EP07 — Mantenimiento ML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/metricas, /importancia, /reentrenar, artefactos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CP071–CP077</w:t>
            </w:r>
          </w:p>
        </w:tc>
      </w:tr>
    </w:tbl>
    <w:p/>
    <w:p>
      <w:pPr>
        <w:spacing w:before="240" w:after="120"/>
      </w:pPr>
      <w:r>
        <w:rPr>
          <w:b/>
          <w:color w:val="D96B00"/>
          <w:sz w:val="22"/>
        </w:rPr>
        <w:t>Criterio de aceptación del primer incremento</w:t>
      </w:r>
    </w:p>
    <w:p>
      <w:pPr>
        <w:pStyle w:val="ListBullet"/>
        <w:spacing w:after="40"/>
        <w:ind w:left="283"/>
      </w:pPr>
      <w:r>
        <w:rPr>
          <w:sz w:val="20"/>
        </w:rPr>
        <w:t>legacy-streamlit corre como demo funcional</w:t>
      </w:r>
    </w:p>
    <w:p>
      <w:pPr>
        <w:pStyle w:val="ListBullet"/>
        <w:spacing w:after="40"/>
        <w:ind w:left="283"/>
      </w:pPr>
      <w:r>
        <w:rPr>
          <w:sz w:val="20"/>
        </w:rPr>
        <w:t>backend-ml responde health, métricas, importancia y predicciones</w:t>
      </w:r>
    </w:p>
    <w:p>
      <w:pPr>
        <w:pStyle w:val="ListBullet"/>
        <w:spacing w:after="40"/>
        <w:ind w:left="283"/>
      </w:pPr>
      <w:r>
        <w:rPr>
          <w:sz w:val="20"/>
        </w:rPr>
        <w:t>supabase/migrations/0001_init.sql crea las 7 tablas base con RLS activo</w:t>
      </w:r>
    </w:p>
    <w:p>
      <w:pPr>
        <w:pStyle w:val="ListBullet"/>
        <w:spacing w:after="40"/>
        <w:ind w:left="283"/>
      </w:pPr>
      <w:r>
        <w:rPr>
          <w:sz w:val="20"/>
        </w:rPr>
        <w:t>frontend compila y muestra la matriz de cumplimiento HU001–HU035 y CP001–CP077</w:t>
      </w:r>
    </w:p>
    <w:p>
      <w:pPr>
        <w:spacing w:before="80" w:after="80"/>
        <w:pBdr>
          <w:bottom w:val="single" w:sz="6" w:space="1" w:color="2d6a9f"/>
        </w:pBdr>
      </w:pPr>
    </w:p>
    <w:p>
      <w:r>
        <w:br w:type="page"/>
      </w:r>
    </w:p>
    <w:p>
      <w:pPr>
        <w:spacing w:before="360" w:after="120"/>
      </w:pPr>
      <w:r>
        <w:rPr>
          <w:b/>
          <w:color w:val="1E3A5F"/>
          <w:sz w:val="34"/>
        </w:rPr>
        <w:t>3 · JUSTIFICACION_MODELO_PREDICTIVO.md</w:t>
      </w:r>
    </w:p>
    <w:p>
      <w:pPr>
        <w:spacing w:after="80"/>
      </w:pPr>
      <w:r>
        <w:rPr>
          <w:b w:val="0"/>
          <w:i/>
          <w:color w:val="888888"/>
          <w:sz w:val="21"/>
        </w:rPr>
        <w:t>Archivo: docs/JUSTIFICACION_MODELO_PREDICTIVO.md</w:t>
      </w:r>
    </w:p>
    <w:p>
      <w:pPr>
        <w:spacing w:after="80"/>
      </w:pPr>
      <w:r>
        <w:rPr>
          <w:b w:val="0"/>
          <w:i w:val="0"/>
          <w:sz w:val="21"/>
        </w:rPr>
        <w:t>Es el documento más académico. Su propósito es demostrar, con rigor teórico y evidencia empírica, por qué SARA califica como un modelo predictivo de investigación. Incluye comparativa de algoritmos, descripción de todas las features, pipeline completo y respuestas preparadas para el jurado. Es la respuesta a '¿por qué esto es ciencia y no solo un script?'</w:t>
      </w:r>
    </w:p>
    <w:p/>
    <w:p>
      <w:pPr>
        <w:spacing w:before="240" w:after="120"/>
      </w:pPr>
      <w:r>
        <w:rPr>
          <w:b/>
          <w:color w:val="2D6A9F"/>
          <w:sz w:val="26"/>
        </w:rPr>
        <w:t>Contenido principal</w:t>
      </w:r>
    </w:p>
    <w:p>
      <w:pPr>
        <w:spacing w:before="240" w:after="120"/>
      </w:pPr>
      <w:r>
        <w:rPr>
          <w:b/>
          <w:color w:val="D96B00"/>
          <w:sz w:val="22"/>
        </w:rPr>
        <w:t>¿Por qué SARA es un modelo predictivo?</w:t>
      </w:r>
    </w:p>
    <w:p>
      <w:pPr>
        <w:spacing w:after="80"/>
      </w:pPr>
      <w:r>
        <w:rPr>
          <w:b w:val="0"/>
          <w:i w:val="0"/>
          <w:sz w:val="21"/>
        </w:rPr>
        <w:t>SARA satisface las 3 condiciones formales de la literatura (Bishop, 2006; Hastie et al., 2009):</w:t>
      </w:r>
    </w:p>
    <w:p>
      <w:pPr>
        <w:pStyle w:val="ListBullet"/>
        <w:spacing w:after="40"/>
        <w:ind w:left="283"/>
      </w:pPr>
      <w:r>
        <w:rPr>
          <w:sz w:val="20"/>
        </w:rPr>
        <w:t>Generalización real: evaluado en IEs completamente nuevas (GroupShuffleSplit por ID_IE), AUC 0.843 en ~820 estudiantes de ~30 colegios nunca vistos</w:t>
      </w:r>
    </w:p>
    <w:p>
      <w:pPr>
        <w:pStyle w:val="ListBullet"/>
        <w:spacing w:after="40"/>
        <w:ind w:left="283"/>
      </w:pPr>
      <w:r>
        <w:rPr>
          <w:sz w:val="20"/>
        </w:rPr>
        <w:t>Variable objetivo no disponible al momento de decidir: el modelo infiere el riesgo en Matemática antes de que el puntaje M500_M exista en el sistema</w:t>
      </w:r>
    </w:p>
    <w:p>
      <w:pPr>
        <w:pStyle w:val="ListBullet"/>
        <w:spacing w:after="40"/>
        <w:ind w:left="283"/>
      </w:pPr>
      <w:r>
        <w:rPr>
          <w:sz w:val="20"/>
        </w:rPr>
        <w:t>Superación estadísticamente significativa de baselines (McNemar p&lt;0.05, DeLong p&lt;0.01): +63 pp en F1 respecto a la mejor heurística trivial</w:t>
      </w:r>
    </w:p>
    <w:p>
      <w:pPr>
        <w:spacing w:before="240" w:after="120"/>
      </w:pPr>
      <w:r>
        <w:rPr>
          <w:b/>
          <w:color w:val="D96B00"/>
          <w:sz w:val="22"/>
        </w:rPr>
        <w:t>Comparativa de algoritmos (GroupKFold-5)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Algoritmo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AUC-CV (media ± std)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Logistic Regression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0.865 ± 0.016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Ganador por AUC-CV, modelo final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LightGBM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0.855 ± 0.018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Restricciones monotónicas, monotone_constraints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Random Forest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0.855 ± 0.022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n_estimators=300, monotonic_cst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XGBoost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0.855 ± 0.017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scale_pos_weight, monotone_constraints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VotingClassifier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0.861 ± 0.014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Soft-voting top-2, menor varianza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Optuna (40 trials)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0.862 ± 0.015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Bayesian tuning TPESampler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FLAML AutoML (90s)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0.847 ± —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Cota superior de referencia</w:t>
            </w:r>
          </w:p>
        </w:tc>
      </w:tr>
    </w:tbl>
    <w:p/>
    <w:p>
      <w:pPr>
        <w:spacing w:before="240" w:after="120"/>
      </w:pPr>
      <w:r>
        <w:rPr>
          <w:b/>
          <w:color w:val="D96B00"/>
          <w:sz w:val="22"/>
        </w:rPr>
        <w:t>12 features del modelo con restricciones monotónicas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Restricción</w:t>
            </w:r>
          </w:p>
        </w:tc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Sexo (F/M)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Categórica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Ninguna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Factor demográfico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Nivel modalidad IE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Categórica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Ninguna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Pública / privada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M500_L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−1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Puntaje Lectura: mayor → menos riesgo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M500_CN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Puntaje Ciencias: mayor → menos riesgo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M500_M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−1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Puntaje Matemática (variable objetivo proxy)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Numérica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Índice socioeconómico: mayor → menos riesgo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M500_L_iemean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Numérica IE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−1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Media de Lectura en la IE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M500_CN_iemean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Numérica IE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Media de Ciencias en la IE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ISE_iemean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Numérica IE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−1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ISE medio de la IE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M500_L_relativa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Derivada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Diferencia vs. media Lectura de la IE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M500_CN_relativa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Derivada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Diferencia vs. media Ciencias de la IE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ISE_relativo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Derivada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Diferencia vs. ISE medio de la IE</w:t>
            </w:r>
          </w:p>
        </w:tc>
      </w:tr>
    </w:tbl>
    <w:p/>
    <w:p>
      <w:pPr>
        <w:spacing w:before="240" w:after="120"/>
      </w:pPr>
      <w:r>
        <w:rPr>
          <w:b/>
          <w:color w:val="D96B00"/>
          <w:sz w:val="22"/>
        </w:rPr>
        <w:t>Pipeline técnico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703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Preprocesamiento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OrdinalEncoder + StandardScaler vía ColumnTransformer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Validación cruzada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GroupKFold(5) + GroupShuffleSplit — respeta separación por IE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Calibración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CalibratedClassifierCV(method='isotonic', cv=5)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Interpretabilidad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SHAP (global + local + interacciones), PDP top-3, permutación (20 rep.)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Pruebas estadísticas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McNemar, DeLong bootstrap, Hosmer-Lemeshow (χ²), Nested CV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Estabilidad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10 semillas × GroupShuffleSplit → AUC media/std/min/max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Equidad (Fairness)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Bootstrap IC95% por subgrupo (sexo, ISE tercil) + ECE por subgrupo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AutoML comparación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FLAML 90s budget como cota superior de referencia</w:t>
            </w:r>
          </w:p>
        </w:tc>
      </w:tr>
    </w:tbl>
    <w:p/>
    <w:p>
      <w:pPr>
        <w:spacing w:before="80" w:after="80"/>
        <w:pBdr>
          <w:bottom w:val="single" w:sz="6" w:space="1" w:color="2d6a9f"/>
        </w:pBdr>
      </w:pPr>
    </w:p>
    <w:p>
      <w:r>
        <w:br w:type="page"/>
      </w:r>
    </w:p>
    <w:p>
      <w:pPr>
        <w:spacing w:before="360" w:after="120"/>
      </w:pPr>
      <w:r>
        <w:rPr>
          <w:b/>
          <w:color w:val="1E3A5F"/>
          <w:sz w:val="34"/>
        </w:rPr>
        <w:t>4 · MODEL_CARD.md</w:t>
      </w:r>
    </w:p>
    <w:p>
      <w:pPr>
        <w:spacing w:after="80"/>
      </w:pPr>
      <w:r>
        <w:rPr>
          <w:b w:val="0"/>
          <w:i/>
          <w:color w:val="888888"/>
          <w:sz w:val="21"/>
        </w:rPr>
        <w:t>Archivo: docs/MODEL_CARD.md</w:t>
      </w:r>
    </w:p>
    <w:p>
      <w:pPr>
        <w:spacing w:after="80"/>
      </w:pPr>
      <w:r>
        <w:rPr>
          <w:b w:val="0"/>
          <w:i w:val="0"/>
          <w:sz w:val="21"/>
        </w:rPr>
        <w:t>Es el DNI o pasaporte del modelo. Sigue el estándar internacional Mitchell et al. (2019) — Model Cards for Model Reporting, ACM FAccT. Documenta todo lo que alguien necesita saber antes de usar o confiar en el modelo: qué hace, con qué datos fue entrenado, qué tan bueno es, si es justo con todos los grupos, y cuándo se debería reentrenar.</w:t>
      </w:r>
    </w:p>
    <w:p/>
    <w:p>
      <w:pPr>
        <w:spacing w:before="240" w:after="120"/>
      </w:pPr>
      <w:r>
        <w:rPr>
          <w:b/>
          <w:color w:val="2D6A9F"/>
          <w:sz w:val="26"/>
        </w:rPr>
        <w:t>Contenido principal</w:t>
      </w:r>
    </w:p>
    <w:p>
      <w:pPr>
        <w:spacing w:before="240" w:after="120"/>
      </w:pPr>
      <w:r>
        <w:rPr>
          <w:b/>
          <w:color w:val="D96B00"/>
          <w:sz w:val="22"/>
        </w:rPr>
        <w:t>Detalles técnicos del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703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Nombre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SARA-EM-v1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Tipo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Clasificador binario supervisado (riesgo académico Matemática)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Algoritmo final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Logistic Regression calibrado (CalibratedClassifierCV isotonic)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Features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12 variables (2 categóricas + 7 numéricas + 3 derivadas relativas)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Datos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Evaluación Muestral EM 2022, Lima Metropolitana, gestión privada, 2.° grado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Tamaño dataset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7,429 estudiantes — 5,921 entrenamiento / 1,508 prueba (~80/20)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Distribución clase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39.4% ALTO riesgo / 60.6% sin riesgo (desbalance moderado)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Artefactos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model/modelo_em.pkl · model/metricas_em.pkl</w:t>
            </w:r>
          </w:p>
        </w:tc>
      </w:tr>
    </w:tbl>
    <w:p/>
    <w:p>
      <w:pPr>
        <w:spacing w:before="240" w:after="120"/>
      </w:pPr>
      <w:r>
        <w:rPr>
          <w:b/>
          <w:color w:val="D96B00"/>
          <w:sz w:val="22"/>
        </w:rPr>
        <w:t>Métricas de rendimiento (test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IC95% / Std</w:t>
            </w:r>
          </w:p>
        </w:tc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Qué mide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AUC-ROC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0.843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[0.811–0.874]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Discriminación global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PR-AUC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0.782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[0.741–0.822]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Rendimiento en clase minoritaria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Recall ALTO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0.779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[0.738–0.818]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Detección de estudiantes en riesgo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Precision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0.623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Exactitud de las alertas emitidas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F1-Score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0.693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Balance Precision-Recall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Accuracy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0.773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Exactitud global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Brier Score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0.157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Error probabilístico (↓ mejor)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Log-Loss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0.481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Entropía cruzada (↓ mejor)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MCC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0.521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Correlación Matthews (robusto al desbalance)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Specificity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0.769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Tasa de verdaderos negativos (TN rate)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ECE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0.048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Error de calibración esperado (↓ mejor)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MCE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0.094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Error de calibración máximo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AUC imparcial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0.831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± 0.019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Nested CV — sin sesgo de selección</w:t>
            </w:r>
          </w:p>
        </w:tc>
      </w:tr>
    </w:tbl>
    <w:p/>
    <w:p>
      <w:pPr>
        <w:spacing w:before="240" w:after="120"/>
      </w:pPr>
      <w:r>
        <w:rPr>
          <w:b/>
          <w:color w:val="D96B00"/>
          <w:sz w:val="22"/>
        </w:rPr>
        <w:t>Auditoría de equidad (Fairness)</w:t>
      </w:r>
    </w:p>
    <w:p>
      <w:pPr>
        <w:spacing w:after="80"/>
      </w:pPr>
      <w:r>
        <w:rPr>
          <w:b w:val="0"/>
          <w:i w:val="0"/>
          <w:sz w:val="21"/>
        </w:rPr>
        <w:t>Se evalúa que el modelo no discrimine entre grupos. Los intervalos de confianza bootstrap (500 iteraciones) se solapan entre grupos, indicando que no hay sesgo estadísticamente significativo: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Subgrupo</w:t>
            </w:r>
          </w:p>
        </w:tc>
        <w:tc>
          <w:tcPr>
            <w:tcW w:type="dxa" w:w="188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188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IC95% AUC</w:t>
            </w:r>
          </w:p>
        </w:tc>
        <w:tc>
          <w:tcPr>
            <w:tcW w:type="dxa" w:w="188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88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ECE</w:t>
            </w:r>
          </w:p>
        </w:tc>
      </w:tr>
      <w:tr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Mujeres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0.847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[0.806–0.887]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0.781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0.051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Hombres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0.839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[0.796–0.881]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0.776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0.049</w:t>
            </w:r>
          </w:p>
        </w:tc>
      </w:tr>
      <w:tr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 Tercil 1 (bajo)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0.831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[0.788–0.874]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0.772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0.053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 Tercil 2 (medio)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0.844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[0.801–0.886]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0.779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0.047</w:t>
            </w:r>
          </w:p>
        </w:tc>
      </w:tr>
      <w:tr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 Tercil 3 (alto)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0.852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[0.811–0.893]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0.784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0.044</w:t>
            </w:r>
          </w:p>
        </w:tc>
      </w:tr>
    </w:tbl>
    <w:p/>
    <w:p>
      <w:pPr>
        <w:spacing w:before="240" w:after="120"/>
      </w:pPr>
      <w:r>
        <w:rPr>
          <w:b/>
          <w:color w:val="D96B00"/>
          <w:sz w:val="22"/>
        </w:rPr>
        <w:t>Umbrales de monitoreo (cuándo reentrenar)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Alerta si...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AUC-ROC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&lt; 0.80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Degradación significativa de discriminación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Recall ALTO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&lt; 0.72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Pérdida de sensibilidad a casos de riesgo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ECE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&gt; 0.08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Descalibración de probabilidades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Brier Score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&gt; 0.20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Error probabilístico inaceptable</w:t>
            </w:r>
          </w:p>
        </w:tc>
      </w:tr>
    </w:tbl>
    <w:p/>
    <w:p>
      <w:pPr>
        <w:spacing w:before="80" w:after="80"/>
        <w:pBdr>
          <w:bottom w:val="single" w:sz="6" w:space="1" w:color="2d6a9f"/>
        </w:pBdr>
      </w:pPr>
    </w:p>
    <w:p>
      <w:r>
        <w:br w:type="page"/>
      </w:r>
    </w:p>
    <w:p>
      <w:pPr>
        <w:spacing w:before="360" w:after="120"/>
      </w:pPr>
      <w:r>
        <w:rPr>
          <w:b/>
          <w:color w:val="1E3A5F"/>
          <w:sz w:val="34"/>
        </w:rPr>
        <w:t>5 · ANALISIS_ERRORES.md</w:t>
      </w:r>
    </w:p>
    <w:p>
      <w:pPr>
        <w:spacing w:after="80"/>
      </w:pPr>
      <w:r>
        <w:rPr>
          <w:b w:val="0"/>
          <w:i/>
          <w:color w:val="888888"/>
          <w:sz w:val="21"/>
        </w:rPr>
        <w:t>Archivo: docs/ANALISIS_ERRORES.md</w:t>
      </w:r>
    </w:p>
    <w:p>
      <w:pPr>
        <w:spacing w:after="80"/>
      </w:pPr>
      <w:r>
        <w:rPr>
          <w:b w:val="0"/>
          <w:i w:val="0"/>
          <w:sz w:val="21"/>
        </w:rPr>
        <w:t>Responde la pregunta más incómoda del comité: '¿cuándo y por qué falla tu modelo?' No basta con que las métricas sean buenas en promedio — hay que entender los casos específicos donde el modelo se equivoca, qué perfil tienen esos estudiantes y qué se puede hacer para mejorar. Es el documento que prueba que el análisis fue honesto y profundo.</w:t>
      </w:r>
    </w:p>
    <w:p/>
    <w:p>
      <w:pPr>
        <w:spacing w:before="240" w:after="120"/>
      </w:pPr>
      <w:r>
        <w:rPr>
          <w:b/>
          <w:color w:val="2D6A9F"/>
          <w:sz w:val="26"/>
        </w:rPr>
        <w:t>Contenido principal</w:t>
      </w:r>
    </w:p>
    <w:p>
      <w:pPr>
        <w:spacing w:before="240" w:after="120"/>
      </w:pPr>
      <w:r>
        <w:rPr>
          <w:b/>
          <w:color w:val="D96B00"/>
          <w:sz w:val="22"/>
        </w:rPr>
        <w:t>Tipos de error y su costo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Qué significa</w:t>
            </w:r>
          </w:p>
        </w:tc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235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Costo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Falso Negativo (FN)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Estudiante en riesgo no detectado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CRÍTICO: no recibe apoyo oportuno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5×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Falso Positivo (FP)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Estudiante sin riesgo marcado incorrectamente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Moderado: intervención innecesaria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1×</w:t>
            </w:r>
          </w:p>
        </w:tc>
      </w:tr>
    </w:tbl>
    <w:p/>
    <w:p>
      <w:pPr>
        <w:spacing w:after="80"/>
      </w:pPr>
      <w:r>
        <w:rPr>
          <w:b w:val="0"/>
          <w:i/>
          <w:color w:val="556677"/>
          <w:sz w:val="21"/>
        </w:rPr>
        <w:t>Función de costo del pipeline: Costo_total = 5 × |FN| + 1 × |FP|. Esta asimetría justifica el umbral min_cost que privilegia Recall sobre Precision.</w:t>
      </w:r>
    </w:p>
    <w:p>
      <w:pPr>
        <w:spacing w:before="240" w:after="120"/>
      </w:pPr>
      <w:r>
        <w:rPr>
          <w:b/>
          <w:color w:val="D96B00"/>
          <w:sz w:val="22"/>
        </w:rPr>
        <w:t>Perfil del error más común</w:t>
      </w:r>
    </w:p>
    <w:p>
      <w:pPr>
        <w:pStyle w:val="ListBullet"/>
        <w:spacing w:after="40"/>
        <w:ind w:left="283"/>
      </w:pPr>
      <w:r>
        <w:rPr>
          <w:sz w:val="20"/>
        </w:rPr>
        <w:t>FN típico: estudiante con M500_L entre 440–470 (zona gris), IE con ISE medio que 'nivela hacia abajo' las métricas relativas</w:t>
      </w:r>
    </w:p>
    <w:p>
      <w:pPr>
        <w:pStyle w:val="ListBullet"/>
        <w:spacing w:after="40"/>
        <w:ind w:left="283"/>
      </w:pPr>
      <w:r>
        <w:rPr>
          <w:sz w:val="20"/>
        </w:rPr>
        <w:t>FP típico: estudiante con puntaje alto en Lectura/Ciencias pero ISE muy bajo (el modelo sobreestima el riesgo socioeconómico)</w:t>
      </w:r>
    </w:p>
    <w:p>
      <w:pPr>
        <w:pStyle w:val="ListBullet"/>
        <w:spacing w:after="40"/>
        <w:ind w:left="283"/>
      </w:pPr>
      <w:r>
        <w:rPr>
          <w:sz w:val="20"/>
        </w:rPr>
        <w:t>El efecto de nivelación institucional (IEs con muchos estudiantes de riesgo similar) reduce la señal diferencial de las features relativas</w:t>
      </w:r>
    </w:p>
    <w:p>
      <w:pPr>
        <w:spacing w:before="240" w:after="120"/>
      </w:pPr>
      <w:r>
        <w:rPr>
          <w:b/>
          <w:color w:val="D96B00"/>
          <w:sz w:val="22"/>
        </w:rPr>
        <w:t>Hallazgos del estudio de ablación (cuál feature reduce más los errores)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 eliminada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Delta AUC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M500_L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−0.061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La más importante — sin ella el AUC cae 6 puntos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−0.038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Segunda en importancia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M500_CN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−0.029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Tercera en importancia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M500_L_relativa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−0.018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Nueva feature derivada — impacto relevante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M500_CN_relativa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−0.012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Nueva feature derivada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ISE_relativo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−0.008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Nueva feature derivada — menor pero significativa</w:t>
            </w:r>
          </w:p>
        </w:tc>
      </w:tr>
    </w:tbl>
    <w:p/>
    <w:p>
      <w:pPr>
        <w:spacing w:after="80"/>
      </w:pPr>
      <w:r>
        <w:rPr>
          <w:b w:val="0"/>
          <w:i/>
          <w:color w:val="1A7A4A"/>
          <w:sz w:val="21"/>
        </w:rPr>
        <w:t>Las 3 variables relativas (rendimiento del estudiante vs. su propio colegio) redujeron los FN en aproximadamente 12% frente al modelo sin ellas.</w:t>
      </w:r>
    </w:p>
    <w:p>
      <w:pPr>
        <w:spacing w:before="240" w:after="120"/>
      </w:pPr>
      <w:r>
        <w:rPr>
          <w:b/>
          <w:color w:val="D96B00"/>
          <w:sz w:val="22"/>
        </w:rPr>
        <w:t>Distribución de errores por sexo (con bootstrap IC95%)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Grupo</w:t>
            </w:r>
          </w:p>
        </w:tc>
        <w:tc>
          <w:tcPr>
            <w:tcW w:type="dxa" w:w="188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Tasa FN</w:t>
            </w:r>
          </w:p>
        </w:tc>
        <w:tc>
          <w:tcPr>
            <w:tcW w:type="dxa" w:w="188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IC95% FN</w:t>
            </w:r>
          </w:p>
        </w:tc>
        <w:tc>
          <w:tcPr>
            <w:tcW w:type="dxa" w:w="188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Tasa FP</w:t>
            </w:r>
          </w:p>
        </w:tc>
        <w:tc>
          <w:tcPr>
            <w:tcW w:type="dxa" w:w="1881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IC95% FP</w:t>
            </w:r>
          </w:p>
        </w:tc>
      </w:tr>
      <w:tr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Mujeres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18.8%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[15.2%–22.4%]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21.0%</w:t>
            </w:r>
          </w:p>
        </w:tc>
        <w:tc>
          <w:tcPr>
            <w:tcW w:type="dxa" w:w="1881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[17.3%–24.7%]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Hombres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19.4%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[15.8%–23.0%]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20.5%</w:t>
            </w:r>
          </w:p>
        </w:tc>
        <w:tc>
          <w:tcPr>
            <w:tcW w:type="dxa" w:w="1881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[16.9%–24.1%]</w:t>
            </w:r>
          </w:p>
        </w:tc>
      </w:tr>
    </w:tbl>
    <w:p/>
    <w:p>
      <w:pPr>
        <w:spacing w:after="80"/>
      </w:pPr>
      <w:r>
        <w:rPr>
          <w:b w:val="0"/>
          <w:i/>
          <w:color w:val="1A7A4A"/>
          <w:sz w:val="21"/>
        </w:rPr>
        <w:t>Los intervalos de confianza se solapan → no existe diferencia estadísticamente significativa en la tasa de error entre hombres y mujeres.</w:t>
      </w:r>
    </w:p>
    <w:p>
      <w:pPr>
        <w:spacing w:before="240" w:after="120"/>
      </w:pPr>
      <w:r>
        <w:rPr>
          <w:b/>
          <w:color w:val="D96B00"/>
          <w:sz w:val="22"/>
        </w:rPr>
        <w:t>Calibración por subgrupo (equidad probabilística)</w:t>
      </w:r>
    </w:p>
    <w:p>
      <w:pPr>
        <w:spacing w:after="80"/>
      </w:pPr>
      <w:r>
        <w:rPr>
          <w:b w:val="0"/>
          <w:i w:val="0"/>
          <w:sz w:val="21"/>
        </w:rPr>
        <w:t>El ECE mide si las probabilidades del modelo son honestas para cada grupo. Un ECE bajo y similar entre grupos indica que el modelo no sobreestima ni subestima sistemáticamente el riesgo de ningún colectivo: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Subgrupo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ECE (calibración)</w:t>
            </w:r>
          </w:p>
        </w:tc>
        <w:tc>
          <w:tcPr>
            <w:tcW w:type="dxa" w:w="3135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MCE (peor bin)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Mujeres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0.051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0.098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Hombres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0.049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0.091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 Tercil 1 bajo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0.053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0.104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 Tercil 2 medio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0.047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0.089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ISE Tercil 3 alto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0.044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0.086</w:t>
            </w:r>
          </w:p>
        </w:tc>
      </w:tr>
    </w:tbl>
    <w:p/>
    <w:p>
      <w:pPr>
        <w:spacing w:before="240" w:after="120"/>
      </w:pPr>
      <w:r>
        <w:rPr>
          <w:b/>
          <w:color w:val="D96B00"/>
          <w:sz w:val="22"/>
        </w:rPr>
        <w:t>Checklist de mejoras</w:t>
      </w:r>
    </w:p>
    <w:p>
      <w:pPr>
        <w:pStyle w:val="ListBullet"/>
        <w:spacing w:after="40"/>
        <w:ind w:left="283"/>
      </w:pPr>
      <w:r>
        <w:rPr>
          <w:sz w:val="20"/>
        </w:rPr>
        <w:t>✅ Feature engineering relativo (M500_L_relativa, M500_CN_relativa, ISE_relativo)</w:t>
      </w:r>
    </w:p>
    <w:p>
      <w:pPr>
        <w:pStyle w:val="ListBullet"/>
        <w:spacing w:after="40"/>
        <w:ind w:left="283"/>
      </w:pPr>
      <w:r>
        <w:rPr>
          <w:sz w:val="20"/>
        </w:rPr>
        <w:t>✅ Monotonicity constraints en 6 features</w:t>
      </w:r>
    </w:p>
    <w:p>
      <w:pPr>
        <w:pStyle w:val="ListBullet"/>
        <w:spacing w:after="40"/>
        <w:ind w:left="283"/>
      </w:pPr>
      <w:r>
        <w:rPr>
          <w:sz w:val="20"/>
        </w:rPr>
        <w:t>✅ Bootstrap IC95% global y por subgrupo</w:t>
      </w:r>
    </w:p>
    <w:p>
      <w:pPr>
        <w:pStyle w:val="ListBullet"/>
        <w:spacing w:after="40"/>
        <w:ind w:left="283"/>
      </w:pPr>
      <w:r>
        <w:rPr>
          <w:sz w:val="20"/>
        </w:rPr>
        <w:t>✅ ECE por subgrupo (equidad de calibración)</w:t>
      </w:r>
    </w:p>
    <w:p>
      <w:pPr>
        <w:pStyle w:val="ListBullet"/>
        <w:spacing w:after="40"/>
        <w:ind w:left="283"/>
      </w:pPr>
      <w:r>
        <w:rPr>
          <w:sz w:val="20"/>
        </w:rPr>
        <w:t>✅ Ablación de features (estudio completo 12 features)</w:t>
      </w:r>
    </w:p>
    <w:p>
      <w:pPr>
        <w:pStyle w:val="ListBullet"/>
        <w:spacing w:after="40"/>
        <w:ind w:left="283"/>
      </w:pPr>
      <w:r>
        <w:rPr>
          <w:sz w:val="20"/>
        </w:rPr>
        <w:t>✅ Hosmer-Lemeshow test (χ² goodness-of-fit)</w:t>
      </w:r>
    </w:p>
    <w:p>
      <w:pPr>
        <w:pStyle w:val="ListBullet"/>
        <w:spacing w:after="40"/>
        <w:ind w:left="283"/>
      </w:pPr>
      <w:r>
        <w:rPr>
          <w:sz w:val="20"/>
        </w:rPr>
        <w:t>✅ Nested CV (AUC imparcial sin sesgo de selección)</w:t>
      </w:r>
    </w:p>
    <w:p>
      <w:pPr>
        <w:pStyle w:val="ListBullet"/>
        <w:spacing w:after="40"/>
        <w:ind w:left="283"/>
      </w:pPr>
      <w:r>
        <w:rPr>
          <w:sz w:val="20"/>
        </w:rPr>
        <w:t>✅ Stability analysis (10 semillas, AUC mean/std/min/max)</w:t>
      </w:r>
    </w:p>
    <w:p>
      <w:pPr>
        <w:pStyle w:val="ListBullet"/>
        <w:spacing w:after="40"/>
        <w:ind w:left="283"/>
      </w:pPr>
      <w:r>
        <w:rPr>
          <w:sz w:val="20"/>
        </w:rPr>
        <w:t>⏳ Incorporar datos EM 2023 para validación longitudinal</w:t>
      </w:r>
    </w:p>
    <w:p>
      <w:pPr>
        <w:pStyle w:val="ListBullet"/>
        <w:spacing w:after="40"/>
        <w:ind w:left="283"/>
      </w:pPr>
      <w:r>
        <w:rPr>
          <w:sz w:val="20"/>
        </w:rPr>
        <w:t>⏳ Variables conductuales (asistencia, participación) — no disponibles aún</w:t>
      </w:r>
    </w:p>
    <w:p>
      <w:pPr>
        <w:pStyle w:val="ListBullet"/>
        <w:spacing w:after="40"/>
        <w:ind w:left="283"/>
      </w:pPr>
      <w:r>
        <w:rPr>
          <w:sz w:val="20"/>
        </w:rPr>
        <w:t>⏳ Extensión a colegios de gestión pública</w:t>
      </w:r>
    </w:p>
    <w:p>
      <w:pPr>
        <w:pStyle w:val="ListBullet"/>
        <w:spacing w:after="40"/>
        <w:ind w:left="283"/>
      </w:pPr>
      <w:r>
        <w:rPr>
          <w:sz w:val="20"/>
        </w:rPr>
        <w:t>⏳ Modelo de supervivencia para proyección temporal real</w:t>
      </w:r>
    </w:p>
    <w:p>
      <w:pPr>
        <w:spacing w:before="80" w:after="80"/>
        <w:pBdr>
          <w:bottom w:val="single" w:sz="6" w:space="1" w:color="2d6a9f"/>
        </w:pBdr>
      </w:pPr>
    </w:p>
    <w:p>
      <w:r>
        <w:br w:type="page"/>
      </w:r>
    </w:p>
    <w:p>
      <w:pPr>
        <w:spacing w:before="360" w:after="120"/>
      </w:pPr>
      <w:r>
        <w:rPr>
          <w:b/>
          <w:color w:val="1E3A5F"/>
          <w:sz w:val="34"/>
        </w:rPr>
        <w:t>Resumen final</w:t>
      </w:r>
    </w:p>
    <w:p>
      <w:pPr>
        <w:spacing w:after="80"/>
      </w:pPr>
      <w:r>
        <w:rPr>
          <w:b w:val="0"/>
          <w:i w:val="0"/>
          <w:sz w:val="21"/>
        </w:rPr>
        <w:t>SARA es un sistema de alerta temprana de riesgo académico que cubre el ciclo completo de un proyecto de Machine Learning aplicado a educación: desde la planificación ágil en sprints hasta la auditoría ética del modelo, pasando por comparativa de algoritmos, calibración probabilística, interpretabilidad multicapa y pruebas estadísticas formales.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4703"/>
            <w:shd w:val="clear" w:color="auto" w:fill="1e3a5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Pipeline ML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12 features · 7 algoritmos comparados · calibración isotónica · 20+ métricas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Validación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GroupKFold-5 · GroupShuffleSplit · Nested CV · Hosmer-Lemeshow · McNemar · DeLong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Interpretabilidad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SHAP global + local + interacciones · PDP · Permutation importance · Ablación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Fairness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Bootstrap IC95% por subgrupo · ECE por subgrupo · sin sesgo sexo / ISE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left"/>
            </w:pPr>
            <w:r>
              <w:rPr>
                <w:sz w:val="19"/>
              </w:rPr>
              <w:t>Sistema completo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ADDE2"/>
              <w:left w:val="single" w:sz="4" w:space="0" w:color="DADDE2"/>
              <w:bottom w:val="single" w:sz="4" w:space="0" w:color="DADDE2"/>
              <w:right w:val="single" w:sz="4" w:space="0" w:color="DADDE2"/>
            </w:tcBorders>
          </w:tcPr>
          <w:p>
            <w:pPr>
              <w:jc w:val="center"/>
            </w:pPr>
            <w:r>
              <w:rPr>
                <w:sz w:val="19"/>
              </w:rPr>
              <w:t>FastAPI + Next.js 14 + Supabase + Leaflet heatmap Lima · 35 HUs · 73 CPs</w:t>
            </w:r>
          </w:p>
        </w:tc>
      </w:tr>
    </w:tbl>
    <w:p/>
    <w:p/>
    <w:p>
      <w:pPr>
        <w:spacing w:after="80"/>
      </w:pPr>
      <w:r>
        <w:rPr>
          <w:b w:val="0"/>
          <w:i/>
          <w:color w:val="888888"/>
          <w:sz w:val="21"/>
        </w:rPr>
        <w:t>Documento generado automáticamente el 17 de May de 2026. Para detalles completos, consultar los archivos .md individuales en docs/.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