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jc w:val="center"/>
      </w:pPr>
      <w:r>
        <w:rPr>
          <w:b/>
          <w:bCs/>
          <w:color w:val="0F1F3D"/>
          <w:sz w:val="64"/>
          <w:szCs w:val="64"/>
        </w:rPr>
        <w:t xml:space="preserve">SATRA</w:t>
      </w:r>
    </w:p>
    <w:p>
      <w:pPr>
        <w:spacing w:after="40"/>
        <w:jc w:val="center"/>
      </w:pPr>
      <w:r>
        <w:rPr>
          <w:b/>
          <w:bCs/>
          <w:color w:val="2563EB"/>
          <w:sz w:val="26"/>
          <w:szCs w:val="26"/>
        </w:rPr>
        <w:t xml:space="preserve">Sistema de Alerta Temprana de Riesgo Académico</w:t>
      </w:r>
    </w:p>
    <w:p>
      <w:pPr>
        <w:spacing w:after="400"/>
        <w:jc w:val="center"/>
      </w:pPr>
      <w:r>
        <w:rPr>
          <w:color w:val="667085"/>
          <w:sz w:val="22"/>
          <w:szCs w:val="22"/>
        </w:rPr>
        <w:t xml:space="preserve">Desarrollo del Sistema</w:t>
      </w:r>
    </w:p>
    <w:p>
      <w:pPr>
        <w:spacing w:after="40"/>
        <w:jc w:val="center"/>
      </w:pPr>
      <w:r>
        <w:rPr>
          <w:color w:val="667085"/>
          <w:sz w:val="20"/>
          <w:szCs w:val="20"/>
        </w:rPr>
        <w:t xml:space="preserve">Proyecto P20261012 · UPC · Ingeniería de Sistemas de Información</w:t>
      </w:r>
    </w:p>
    <w:p>
      <w:pPr>
        <w:jc w:val="center"/>
      </w:pPr>
      <w:r>
        <w:rPr>
          <w:color w:val="667085"/>
          <w:sz w:val="20"/>
          <w:szCs w:val="20"/>
        </w:rPr>
        <w:t xml:space="preserve">Taller de Proyectos I</w:t>
      </w:r>
    </w:p>
    <w:p>
      <w:r>
        <w:br w:type="page"/>
      </w:r>
    </w:p>
    <w:p>
      <w:pPr>
        <w:pStyle w:val="Heading1"/>
        <w:jc w:val="center"/>
      </w:pPr>
      <w:r>
        <w:rPr>
          <w:color w:val="C00000"/>
        </w:rPr>
        <w:t xml:space="preserve">Índice</w:t>
      </w:r>
    </w:p>
    <w:sdt>
      <w:sdtPr>
        <w:alias w:val="Índice"/>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Introducción</w:t>
      </w:r>
    </w:p>
    <w:p>
      <w:pPr>
        <w:spacing w:after="160"/>
      </w:pPr>
      <w:r>
        <w:t xml:space="preserve">En el Perú, los resultados de la Evaluación Muestral (EM) 2022 del MINEDU muestran que </w:t>
      </w:r>
      <w:r>
        <w:rPr>
          <w:b/>
          <w:bCs/>
        </w:rPr>
        <w:t xml:space="preserve">más del 40% de los estudiantes de 2.° de secundaria en colegios privados de Lima Metropolitana</w:t>
      </w:r>
      <w:r>
        <w:t xml:space="preserve"> se encuentran en el nivel “Previo al inicio” o “En inicio” en el área de Matemática, es decir, en riesgo académico severo. En la práctica, este riesgo suele identificarse recién al cierre de un periodo académico, cuando el margen real para intervenir ya es muy limitado.</w:t>
      </w:r>
    </w:p>
    <w:p>
      <w:pPr>
        <w:spacing w:after="160"/>
      </w:pPr>
      <w:r>
        <w:t xml:space="preserve">Los directores y coordinadores académicos no cuentan, en general, con una herramienta sistemática para identificar a tiempo qué estudiantes están en riesgo, priorizar las intervenciones según la urgencia real (y no solo la intuición), documentar el seguimiento de las acciones tomadas, y entender qué factores concretos explican el riesgo de cada estudiante.</w:t>
      </w:r>
    </w:p>
    <w:p>
      <w:pPr>
        <w:spacing w:after="160"/>
      </w:pPr>
      <w:r>
        <w:rPr>
          <w:b/>
          <w:bCs/>
        </w:rPr>
        <w:t xml:space="preserve">SATRA (Sistema de Alerta Temprana de Riesgo Académico) </w:t>
      </w:r>
      <w:r>
        <w:t xml:space="preserve">responde a esa necesidad: es una plataforma web que utiliza Machine Learning para predecir, con anticipación, el riesgo académico de cada estudiante, y que acompaña al equipo directivo en la toma de decisiones de intervención, su seguimiento y su trazabilidad.</w:t>
      </w:r>
    </w:p>
    <w:p>
      <w:pPr>
        <w:spacing w:after="160"/>
      </w:pPr>
      <w:r>
        <w:t xml:space="preserve">Una particularidad central del proyecto es que el </w:t>
      </w:r>
      <w:r>
        <w:rPr>
          <w:b/>
          <w:bCs/>
        </w:rPr>
        <w:t xml:space="preserve">mismo modelo predictivo</w:t>
      </w:r>
      <w:r>
        <w:t xml:space="preserve"> se aplica a dos contextos de datos distintos, sin cambiar su arquitectura, solo las variables de entrada: </w:t>
      </w:r>
      <w:r>
        <w:rPr>
          <w:b/>
          <w:bCs/>
        </w:rPr>
        <w:t xml:space="preserve">(1)</w:t>
      </w:r>
      <w:r>
        <w:t xml:space="preserve"> el dataset nacional de la EM 2022 (3,629 estudiantes, 84 instituciones educativas, Lima Metropolitana, gestión privada), utilizable por cualquier institución incluida en ese dataset; y </w:t>
      </w:r>
      <w:r>
        <w:rPr>
          <w:b/>
          <w:bCs/>
        </w:rPr>
        <w:t xml:space="preserve">(2)</w:t>
      </w:r>
      <w:r>
        <w:t xml:space="preserve"> los datos internos de notas por bimestre de un colegio piloto (Joseph And Mary, IE 0249), donde el sistema predice el rendimiento del cuarto bimestre a partir de los tres primeros, habilitando una alerta verdaderamente temprana y accionable.</w:t>
      </w:r>
    </w:p>
    <w:p>
      <w:pPr>
        <w:spacing w:after="160"/>
      </w:pPr>
      <w:r>
        <w:t xml:space="preserve">El sistema diferencia el acceso según el rol del usuario: </w:t>
      </w:r>
      <w:r>
        <w:rPr>
          <w:i/>
          <w:iCs/>
        </w:rPr>
        <w:t xml:space="preserve">Superadministrador</w:t>
      </w:r>
      <w:r>
        <w:t xml:space="preserve"> (visión global y gestión del modelo), </w:t>
      </w:r>
      <w:r>
        <w:rPr>
          <w:i/>
          <w:iCs/>
        </w:rPr>
        <w:t xml:space="preserve">Administrador de colegio</w:t>
      </w:r>
      <w:r>
        <w:t xml:space="preserve"> (gestión de usuarios y datos de su institución), y </w:t>
      </w:r>
      <w:r>
        <w:rPr>
          <w:i/>
          <w:iCs/>
        </w:rPr>
        <w:t xml:space="preserve">Director / Coordinador Académico</w:t>
      </w:r>
      <w:r>
        <w:t xml:space="preserve"> (dashboard, ficha de estudiante, intervenciones y reportes, acotados a su institución o distrito).</w:t>
      </w:r>
    </w:p>
    <w:p>
      <w:pPr>
        <w:spacing w:after="160"/>
      </w:pPr>
      <w:r>
        <w:t xml:space="preserve">El presente documento describe el desarrollo del sistema: la metodología de trabajo adoptada, el proceso seguido a lo largo de los sprints, el análisis de la problemática y las soluciones propuestas, el detalle de los componentes técnicos construidos, y el estado de la aplicación desplegada.</w:t>
      </w:r>
    </w:p>
    <w:p>
      <w:pPr>
        <w:pStyle w:val="Heading1"/>
      </w:pPr>
      <w:r>
        <w:t xml:space="preserve">2. Desarrollo del Sistema</w:t>
      </w:r>
    </w:p>
    <w:p>
      <w:pPr>
        <w:pStyle w:val="Heading2"/>
      </w:pPr>
      <w:r>
        <w:t xml:space="preserve">2.1. Metodología de Desarrollo</w:t>
      </w:r>
    </w:p>
    <w:p>
      <w:pPr>
        <w:spacing w:after="160"/>
      </w:pPr>
      <w:r>
        <w:t xml:space="preserve">El proyecto se desarrolló bajo la metodología ágil </w:t>
      </w:r>
      <w:r>
        <w:rPr>
          <w:b/>
          <w:bCs/>
        </w:rPr>
        <w:t xml:space="preserve">Scrum</w:t>
      </w:r>
      <w:r>
        <w:t xml:space="preserve">, en el marco del curso Taller de Proyectos I de la carrera de Ingeniería de Sistemas de Información (UPC). El equipo asumió los roles propios del marco de trabajo: </w:t>
      </w:r>
      <w:r>
        <w:rPr>
          <w:b/>
          <w:bCs/>
        </w:rPr>
        <w:t xml:space="preserve">Project Manager</w:t>
      </w:r>
      <w:r>
        <w:t xml:space="preserve"> (Gabriel Torres Saldaña), </w:t>
      </w:r>
      <w:r>
        <w:rPr>
          <w:b/>
          <w:bCs/>
        </w:rPr>
        <w:t xml:space="preserve">Scrum Manager</w:t>
      </w:r>
      <w:r>
        <w:t xml:space="preserve"> (Dylan Tong Barahona), y </w:t>
      </w:r>
      <w:r>
        <w:rPr>
          <w:b/>
          <w:bCs/>
        </w:rPr>
        <w:t xml:space="preserve">Product Owner</w:t>
      </w:r>
      <w:r>
        <w:t xml:space="preserve"> (Jose Luis Santisteban Pazos), responsable de validar el alcance funcional frente a las necesidades reales de los colegios.</w:t>
      </w:r>
    </w:p>
    <w:p>
      <w:pPr>
        <w:spacing w:after="160"/>
      </w:pPr>
      <w:r>
        <w:t xml:space="preserve">El trabajo se organizó en un </w:t>
      </w:r>
      <w:r>
        <w:rPr>
          <w:b/>
          <w:bCs/>
        </w:rPr>
        <w:t xml:space="preserve">backlog de 35 historias de usuario (HU)</w:t>
      </w:r>
      <w:r>
        <w:t xml:space="preserve">, desglosadas en 73 escenarios de prueba y agrupadas en 7 épicas funcionales: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D0D5DD" w:sz="1"/>
              <w:left w:val="single" w:color="D0D5DD" w:sz="1"/>
              <w:bottom w:val="single" w:color="D0D5DD" w:sz="1"/>
              <w:right w:val="single" w:color="D0D5DD" w:sz="1"/>
            </w:tcBorders>
            <w:shd w:fill="0F1F3D" w:val="clear"/>
            <w:tcMar>
              <w:top w:type="dxa" w:w="70"/>
              <w:left w:type="dxa" w:w="120"/>
              <w:bottom w:type="dxa" w:w="70"/>
              <w:right w:type="dxa" w:w="120"/>
            </w:tcMar>
          </w:tcPr>
          <w:p>
            <w:r>
              <w:rPr>
                <w:b/>
                <w:bCs/>
                <w:color w:val="FFFFFF"/>
                <w:sz w:val="20"/>
                <w:szCs w:val="20"/>
              </w:rPr>
              <w:t xml:space="preserve">Épica</w:t>
            </w:r>
          </w:p>
        </w:tc>
        <w:tc>
          <w:tcPr>
            <w:tcW w:type="dxa" w:w="7560"/>
            <w:tcBorders>
              <w:top w:val="single" w:color="D0D5DD" w:sz="1"/>
              <w:left w:val="single" w:color="D0D5DD" w:sz="1"/>
              <w:bottom w:val="single" w:color="D0D5DD" w:sz="1"/>
              <w:right w:val="single" w:color="D0D5DD" w:sz="1"/>
            </w:tcBorders>
            <w:shd w:fill="0F1F3D" w:val="clear"/>
            <w:tcMar>
              <w:top w:type="dxa" w:w="70"/>
              <w:left w:type="dxa" w:w="120"/>
              <w:bottom w:type="dxa" w:w="70"/>
              <w:right w:type="dxa" w:w="120"/>
            </w:tcMar>
          </w:tcPr>
          <w:p>
            <w:r>
              <w:rPr>
                <w:b/>
                <w:bCs/>
                <w:color w:val="FFFFFF"/>
                <w:sz w:val="20"/>
                <w:szCs w:val="20"/>
              </w:rPr>
              <w:t xml:space="preserve">Nombre</w:t>
            </w:r>
          </w:p>
        </w:tc>
      </w:tr>
      <w:tr>
        <w:tc>
          <w:tcPr>
            <w:tcW w:type="dxa" w:w="18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sz w:val="20"/>
                <w:szCs w:val="20"/>
              </w:rPr>
              <w:t xml:space="preserve">EP01</w:t>
            </w:r>
          </w:p>
        </w:tc>
        <w:tc>
          <w:tcPr>
            <w:tcW w:type="dxa" w:w="75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sz w:val="20"/>
                <w:szCs w:val="20"/>
              </w:rPr>
              <w:t xml:space="preserve">Acceso y Seguridad</w:t>
            </w:r>
          </w:p>
        </w:tc>
      </w:tr>
      <w:tr>
        <w:tc>
          <w:tcPr>
            <w:tcW w:type="dxa" w:w="1800"/>
            <w:tcBorders>
              <w:top w:val="single" w:color="D0D5DD" w:sz="1"/>
              <w:left w:val="single" w:color="D0D5DD" w:sz="1"/>
              <w:bottom w:val="single" w:color="D0D5DD" w:sz="1"/>
              <w:right w:val="single" w:color="D0D5DD" w:sz="1"/>
            </w:tcBorders>
            <w:shd w:fill="F7F9FB" w:val="clear"/>
            <w:tcMar>
              <w:top w:type="dxa" w:w="70"/>
              <w:left w:type="dxa" w:w="120"/>
              <w:bottom w:type="dxa" w:w="70"/>
              <w:right w:type="dxa" w:w="120"/>
            </w:tcMar>
          </w:tcPr>
          <w:p>
            <w:r>
              <w:rPr>
                <w:sz w:val="20"/>
                <w:szCs w:val="20"/>
              </w:rPr>
              <w:t xml:space="preserve">EP02</w:t>
            </w:r>
          </w:p>
        </w:tc>
        <w:tc>
          <w:tcPr>
            <w:tcW w:type="dxa" w:w="7560"/>
            <w:tcBorders>
              <w:top w:val="single" w:color="D0D5DD" w:sz="1"/>
              <w:left w:val="single" w:color="D0D5DD" w:sz="1"/>
              <w:bottom w:val="single" w:color="D0D5DD" w:sz="1"/>
              <w:right w:val="single" w:color="D0D5DD" w:sz="1"/>
            </w:tcBorders>
            <w:shd w:fill="F7F9FB" w:val="clear"/>
            <w:tcMar>
              <w:top w:type="dxa" w:w="70"/>
              <w:left w:type="dxa" w:w="120"/>
              <w:bottom w:type="dxa" w:w="70"/>
              <w:right w:type="dxa" w:w="120"/>
            </w:tcMar>
          </w:tcPr>
          <w:p>
            <w:r>
              <w:rPr>
                <w:sz w:val="20"/>
                <w:szCs w:val="20"/>
              </w:rPr>
              <w:t xml:space="preserve">Predicción y Clasificación de Riesgo</w:t>
            </w:r>
          </w:p>
        </w:tc>
      </w:tr>
      <w:tr>
        <w:tc>
          <w:tcPr>
            <w:tcW w:type="dxa" w:w="18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sz w:val="20"/>
                <w:szCs w:val="20"/>
              </w:rPr>
              <w:t xml:space="preserve">EP03</w:t>
            </w:r>
          </w:p>
        </w:tc>
        <w:tc>
          <w:tcPr>
            <w:tcW w:type="dxa" w:w="75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sz w:val="20"/>
                <w:szCs w:val="20"/>
              </w:rPr>
              <w:t xml:space="preserve">Análisis y Visualización de Estudiantes</w:t>
            </w:r>
          </w:p>
        </w:tc>
      </w:tr>
      <w:tr>
        <w:tc>
          <w:tcPr>
            <w:tcW w:type="dxa" w:w="1800"/>
            <w:tcBorders>
              <w:top w:val="single" w:color="D0D5DD" w:sz="1"/>
              <w:left w:val="single" w:color="D0D5DD" w:sz="1"/>
              <w:bottom w:val="single" w:color="D0D5DD" w:sz="1"/>
              <w:right w:val="single" w:color="D0D5DD" w:sz="1"/>
            </w:tcBorders>
            <w:shd w:fill="F7F9FB" w:val="clear"/>
            <w:tcMar>
              <w:top w:type="dxa" w:w="70"/>
              <w:left w:type="dxa" w:w="120"/>
              <w:bottom w:type="dxa" w:w="70"/>
              <w:right w:type="dxa" w:w="120"/>
            </w:tcMar>
          </w:tcPr>
          <w:p>
            <w:r>
              <w:rPr>
                <w:sz w:val="20"/>
                <w:szCs w:val="20"/>
              </w:rPr>
              <w:t xml:space="preserve">EP04</w:t>
            </w:r>
          </w:p>
        </w:tc>
        <w:tc>
          <w:tcPr>
            <w:tcW w:type="dxa" w:w="7560"/>
            <w:tcBorders>
              <w:top w:val="single" w:color="D0D5DD" w:sz="1"/>
              <w:left w:val="single" w:color="D0D5DD" w:sz="1"/>
              <w:bottom w:val="single" w:color="D0D5DD" w:sz="1"/>
              <w:right w:val="single" w:color="D0D5DD" w:sz="1"/>
            </w:tcBorders>
            <w:shd w:fill="F7F9FB" w:val="clear"/>
            <w:tcMar>
              <w:top w:type="dxa" w:w="70"/>
              <w:left w:type="dxa" w:w="120"/>
              <w:bottom w:type="dxa" w:w="70"/>
              <w:right w:type="dxa" w:w="120"/>
            </w:tcMar>
          </w:tcPr>
          <w:p>
            <w:r>
              <w:rPr>
                <w:sz w:val="20"/>
                <w:szCs w:val="20"/>
              </w:rPr>
              <w:t xml:space="preserve">Priorización e Intervención</w:t>
            </w:r>
          </w:p>
        </w:tc>
      </w:tr>
      <w:tr>
        <w:tc>
          <w:tcPr>
            <w:tcW w:type="dxa" w:w="18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sz w:val="20"/>
                <w:szCs w:val="20"/>
              </w:rPr>
              <w:t xml:space="preserve">EP05</w:t>
            </w:r>
          </w:p>
        </w:tc>
        <w:tc>
          <w:tcPr>
            <w:tcW w:type="dxa" w:w="75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sz w:val="20"/>
                <w:szCs w:val="20"/>
              </w:rPr>
              <w:t xml:space="preserve">Seguimiento Histórico y Reportes</w:t>
            </w:r>
          </w:p>
        </w:tc>
      </w:tr>
      <w:tr>
        <w:tc>
          <w:tcPr>
            <w:tcW w:type="dxa" w:w="1800"/>
            <w:tcBorders>
              <w:top w:val="single" w:color="D0D5DD" w:sz="1"/>
              <w:left w:val="single" w:color="D0D5DD" w:sz="1"/>
              <w:bottom w:val="single" w:color="D0D5DD" w:sz="1"/>
              <w:right w:val="single" w:color="D0D5DD" w:sz="1"/>
            </w:tcBorders>
            <w:shd w:fill="F7F9FB" w:val="clear"/>
            <w:tcMar>
              <w:top w:type="dxa" w:w="70"/>
              <w:left w:type="dxa" w:w="120"/>
              <w:bottom w:type="dxa" w:w="70"/>
              <w:right w:type="dxa" w:w="120"/>
            </w:tcMar>
          </w:tcPr>
          <w:p>
            <w:r>
              <w:rPr>
                <w:sz w:val="20"/>
                <w:szCs w:val="20"/>
              </w:rPr>
              <w:t xml:space="preserve">EP06</w:t>
            </w:r>
          </w:p>
        </w:tc>
        <w:tc>
          <w:tcPr>
            <w:tcW w:type="dxa" w:w="7560"/>
            <w:tcBorders>
              <w:top w:val="single" w:color="D0D5DD" w:sz="1"/>
              <w:left w:val="single" w:color="D0D5DD" w:sz="1"/>
              <w:bottom w:val="single" w:color="D0D5DD" w:sz="1"/>
              <w:right w:val="single" w:color="D0D5DD" w:sz="1"/>
            </w:tcBorders>
            <w:shd w:fill="F7F9FB" w:val="clear"/>
            <w:tcMar>
              <w:top w:type="dxa" w:w="70"/>
              <w:left w:type="dxa" w:w="120"/>
              <w:bottom w:type="dxa" w:w="70"/>
              <w:right w:type="dxa" w:w="120"/>
            </w:tcMar>
          </w:tcPr>
          <w:p>
            <w:r>
              <w:rPr>
                <w:sz w:val="20"/>
                <w:szCs w:val="20"/>
              </w:rPr>
              <w:t xml:space="preserve">Gestión de Datos</w:t>
            </w:r>
          </w:p>
        </w:tc>
      </w:tr>
      <w:tr>
        <w:tc>
          <w:tcPr>
            <w:tcW w:type="dxa" w:w="18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sz w:val="20"/>
                <w:szCs w:val="20"/>
              </w:rPr>
              <w:t xml:space="preserve">EP07</w:t>
            </w:r>
          </w:p>
        </w:tc>
        <w:tc>
          <w:tcPr>
            <w:tcW w:type="dxa" w:w="75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sz w:val="20"/>
                <w:szCs w:val="20"/>
              </w:rPr>
              <w:t xml:space="preserve">Mantenimiento del Modelo ML</w:t>
            </w:r>
          </w:p>
        </w:tc>
      </w:tr>
    </w:tbl>
    <w:p>
      <w:pPr>
        <w:spacing w:after="160"/>
      </w:pPr>
      <w:r>
        <w:t xml:space="preserve">La planificación se distribuyó en </w:t>
      </w:r>
      <w:r>
        <w:rPr>
          <w:b/>
          <w:bCs/>
        </w:rPr>
        <w:t xml:space="preserve">4 sprints de 3 semanas cada uno</w:t>
      </w:r>
      <w:r>
        <w:t xml:space="preserve">, con 9 reuniones diarias (dailies) por sprint (3 por semana), alineados al calendario académico del ciclo.</w:t>
      </w:r>
    </w:p>
    <w:p>
      <w:pPr>
        <w:pStyle w:val="Heading2"/>
      </w:pPr>
      <w:r>
        <w:t xml:space="preserve">2.2. Proceso de Desarrollo</w:t>
      </w:r>
    </w:p>
    <w:p>
      <w:pPr>
        <w:spacing w:after="160"/>
      </w:pPr>
      <w:r>
        <w:t xml:space="preserve">El desarrollo avanzó de forma incremental, dedicando cada sprint a una capa distinta del sistema, de modo que cada incremento fuera verificable de punta a punta antes de continuar: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D0D5DD" w:sz="1"/>
              <w:left w:val="single" w:color="D0D5DD" w:sz="1"/>
              <w:bottom w:val="single" w:color="D0D5DD" w:sz="1"/>
              <w:right w:val="single" w:color="D0D5DD" w:sz="1"/>
            </w:tcBorders>
            <w:shd w:fill="0F1F3D" w:val="clear"/>
            <w:tcMar>
              <w:top w:type="dxa" w:w="70"/>
              <w:left w:type="dxa" w:w="120"/>
              <w:bottom w:type="dxa" w:w="70"/>
              <w:right w:type="dxa" w:w="120"/>
            </w:tcMar>
          </w:tcPr>
          <w:p>
            <w:r>
              <w:rPr>
                <w:b/>
                <w:bCs/>
                <w:color w:val="FFFFFF"/>
                <w:sz w:val="20"/>
                <w:szCs w:val="20"/>
              </w:rPr>
              <w:t xml:space="preserve">Sprint</w:t>
            </w:r>
          </w:p>
        </w:tc>
        <w:tc>
          <w:tcPr>
            <w:tcW w:type="dxa" w:w="7560"/>
            <w:tcBorders>
              <w:top w:val="single" w:color="D0D5DD" w:sz="1"/>
              <w:left w:val="single" w:color="D0D5DD" w:sz="1"/>
              <w:bottom w:val="single" w:color="D0D5DD" w:sz="1"/>
              <w:right w:val="single" w:color="D0D5DD" w:sz="1"/>
            </w:tcBorders>
            <w:shd w:fill="0F1F3D" w:val="clear"/>
            <w:tcMar>
              <w:top w:type="dxa" w:w="70"/>
              <w:left w:type="dxa" w:w="120"/>
              <w:bottom w:type="dxa" w:w="70"/>
              <w:right w:type="dxa" w:w="120"/>
            </w:tcMar>
          </w:tcPr>
          <w:p>
            <w:r>
              <w:rPr>
                <w:b/>
                <w:bCs/>
                <w:color w:val="FFFFFF"/>
                <w:sz w:val="20"/>
                <w:szCs w:val="20"/>
              </w:rPr>
              <w:t xml:space="preserve">Foco</w:t>
            </w:r>
          </w:p>
        </w:tc>
      </w:tr>
      <w:tr>
        <w:tc>
          <w:tcPr>
            <w:tcW w:type="dxa" w:w="18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sz w:val="20"/>
                <w:szCs w:val="20"/>
              </w:rPr>
              <w:t xml:space="preserve">Sprint 1</w:t>
            </w:r>
          </w:p>
        </w:tc>
        <w:tc>
          <w:tcPr>
            <w:tcW w:type="dxa" w:w="75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sz w:val="20"/>
                <w:szCs w:val="20"/>
              </w:rPr>
              <w:t xml:space="preserve">Fundamentos del modelo predictivo: análisis exploratorio, feature engineering, comparativa de algoritmos, calibración y documentación técnica del modelo (justificación, tarjeta de modelo).</w:t>
            </w:r>
          </w:p>
        </w:tc>
      </w:tr>
      <w:tr>
        <w:tc>
          <w:tcPr>
            <w:tcW w:type="dxa" w:w="1800"/>
            <w:tcBorders>
              <w:top w:val="single" w:color="D0D5DD" w:sz="1"/>
              <w:left w:val="single" w:color="D0D5DD" w:sz="1"/>
              <w:bottom w:val="single" w:color="D0D5DD" w:sz="1"/>
              <w:right w:val="single" w:color="D0D5DD" w:sz="1"/>
            </w:tcBorders>
            <w:shd w:fill="F7F9FB" w:val="clear"/>
            <w:tcMar>
              <w:top w:type="dxa" w:w="70"/>
              <w:left w:type="dxa" w:w="120"/>
              <w:bottom w:type="dxa" w:w="70"/>
              <w:right w:type="dxa" w:w="120"/>
            </w:tcMar>
          </w:tcPr>
          <w:p>
            <w:r>
              <w:rPr>
                <w:sz w:val="20"/>
                <w:szCs w:val="20"/>
              </w:rPr>
              <w:t xml:space="preserve">Sprint 2</w:t>
            </w:r>
          </w:p>
        </w:tc>
        <w:tc>
          <w:tcPr>
            <w:tcW w:type="dxa" w:w="7560"/>
            <w:tcBorders>
              <w:top w:val="single" w:color="D0D5DD" w:sz="1"/>
              <w:left w:val="single" w:color="D0D5DD" w:sz="1"/>
              <w:bottom w:val="single" w:color="D0D5DD" w:sz="1"/>
              <w:right w:val="single" w:color="D0D5DD" w:sz="1"/>
            </w:tcBorders>
            <w:shd w:fill="F7F9FB" w:val="clear"/>
            <w:tcMar>
              <w:top w:type="dxa" w:w="70"/>
              <w:left w:type="dxa" w:w="120"/>
              <w:bottom w:type="dxa" w:w="70"/>
              <w:right w:type="dxa" w:w="120"/>
            </w:tcMar>
          </w:tcPr>
          <w:p>
            <w:r>
              <w:rPr>
                <w:sz w:val="20"/>
                <w:szCs w:val="20"/>
              </w:rPr>
              <w:t xml:space="preserve">Backend ML (FastAPI) y backend principal (Supabase: autenticación, base de datos, políticas de seguridad).</w:t>
            </w:r>
          </w:p>
        </w:tc>
      </w:tr>
      <w:tr>
        <w:tc>
          <w:tcPr>
            <w:tcW w:type="dxa" w:w="18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sz w:val="20"/>
                <w:szCs w:val="20"/>
              </w:rPr>
              <w:t xml:space="preserve">Sprint 3</w:t>
            </w:r>
          </w:p>
        </w:tc>
        <w:tc>
          <w:tcPr>
            <w:tcW w:type="dxa" w:w="75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sz w:val="20"/>
                <w:szCs w:val="20"/>
              </w:rPr>
              <w:t xml:space="preserve">Frontend (Next.js) y vistas core para Director/Coordinador y Administrador.</w:t>
            </w:r>
          </w:p>
        </w:tc>
      </w:tr>
      <w:tr>
        <w:tc>
          <w:tcPr>
            <w:tcW w:type="dxa" w:w="1800"/>
            <w:tcBorders>
              <w:top w:val="single" w:color="D0D5DD" w:sz="1"/>
              <w:left w:val="single" w:color="D0D5DD" w:sz="1"/>
              <w:bottom w:val="single" w:color="D0D5DD" w:sz="1"/>
              <w:right w:val="single" w:color="D0D5DD" w:sz="1"/>
            </w:tcBorders>
            <w:shd w:fill="F7F9FB" w:val="clear"/>
            <w:tcMar>
              <w:top w:type="dxa" w:w="70"/>
              <w:left w:type="dxa" w:w="120"/>
              <w:bottom w:type="dxa" w:w="70"/>
              <w:right w:type="dxa" w:w="120"/>
            </w:tcMar>
          </w:tcPr>
          <w:p>
            <w:r>
              <w:rPr>
                <w:sz w:val="20"/>
                <w:szCs w:val="20"/>
              </w:rPr>
              <w:t xml:space="preserve">Sprint 4</w:t>
            </w:r>
          </w:p>
        </w:tc>
        <w:tc>
          <w:tcPr>
            <w:tcW w:type="dxa" w:w="7560"/>
            <w:tcBorders>
              <w:top w:val="single" w:color="D0D5DD" w:sz="1"/>
              <w:left w:val="single" w:color="D0D5DD" w:sz="1"/>
              <w:bottom w:val="single" w:color="D0D5DD" w:sz="1"/>
              <w:right w:val="single" w:color="D0D5DD" w:sz="1"/>
            </w:tcBorders>
            <w:shd w:fill="F7F9FB" w:val="clear"/>
            <w:tcMar>
              <w:top w:type="dxa" w:w="70"/>
              <w:left w:type="dxa" w:w="120"/>
              <w:bottom w:type="dxa" w:w="70"/>
              <w:right w:type="dxa" w:w="120"/>
            </w:tcMar>
          </w:tcPr>
          <w:p>
            <w:r>
              <w:rPr>
                <w:sz w:val="20"/>
                <w:szCs w:val="20"/>
              </w:rPr>
              <w:t xml:space="preserve">Funcionalidades avanzadas (modelo del colegio piloto, segregación de datos por rol, explicabilidad), despliegue y preparación de la sustentación.</w:t>
            </w:r>
          </w:p>
        </w:tc>
      </w:tr>
    </w:tbl>
    <w:p>
      <w:pPr>
        <w:spacing w:after="160"/>
      </w:pPr>
      <w:r>
        <w:t xml:space="preserve">El control de versiones se realizó con Git/GitHub, con revisión continua de código y validación funcional de cada incremento. La documentación técnica (justificación del modelo, tarjeta de modelo, análisis de errores) se generó </w:t>
      </w:r>
      <w:r>
        <w:rPr>
          <w:i/>
          <w:iCs/>
        </w:rPr>
        <w:t xml:space="preserve">en paralelo</w:t>
      </w:r>
      <w:r>
        <w:t xml:space="preserve"> a cada sprint y no al final, lo que permitió mantener trazabilidad de las decisiones de diseño — por ejemplo, por qué se eligió un ensemble híbrido, por qué calibrar las probabilidades, o por qué validar agrupando por institución educativa.</w:t>
      </w:r>
    </w:p>
    <w:p>
      <w:pPr>
        <w:pStyle w:val="Heading2"/>
      </w:pPr>
      <w:r>
        <w:t xml:space="preserve">2.3. Análisis de la Problemática y Soluciones</w:t>
      </w:r>
    </w:p>
    <w:p>
      <w:pPr>
        <w:spacing w:after="160"/>
      </w:pPr>
      <w:r>
        <w:rPr>
          <w:b/>
          <w:bCs/>
        </w:rPr>
        <w:t xml:space="preserve">Problemática identificada</w:t>
      </w:r>
    </w:p>
    <w:p>
      <w:pPr>
        <w:pStyle w:val="ListParagraph"/>
        <w:numPr>
          <w:ilvl w:val="0"/>
          <w:numId w:val="2"/>
        </w:numPr>
        <w:spacing w:after="70"/>
      </w:pPr>
      <w:r>
        <w:t xml:space="preserve">Un porcentaje elevado de estudiantes (más del 40% en Matemática, según la EM 2022) se encuentra en riesgo académico severo.</w:t>
      </w:r>
    </w:p>
    <w:p>
      <w:pPr>
        <w:pStyle w:val="ListParagraph"/>
        <w:numPr>
          <w:ilvl w:val="0"/>
          <w:numId w:val="2"/>
        </w:numPr>
        <w:spacing w:after="70"/>
      </w:pPr>
      <w:r>
        <w:t xml:space="preserve">El riesgo suele detectarse de forma tardía (al cierre del periodo), reduciendo el margen real de intervención.</w:t>
      </w:r>
    </w:p>
    <w:p>
      <w:pPr>
        <w:pStyle w:val="ListParagraph"/>
        <w:numPr>
          <w:ilvl w:val="0"/>
          <w:numId w:val="2"/>
        </w:numPr>
        <w:spacing w:after="70"/>
      </w:pPr>
      <w:r>
        <w:t xml:space="preserve">No existe una herramienta sistemática que priorice a qué estudiantes intervenir primero según urgencia real.</w:t>
      </w:r>
    </w:p>
    <w:p>
      <w:pPr>
        <w:pStyle w:val="ListParagraph"/>
        <w:numPr>
          <w:ilvl w:val="0"/>
          <w:numId w:val="2"/>
        </w:numPr>
        <w:spacing w:after="70"/>
      </w:pPr>
      <w:r>
        <w:t xml:space="preserve">Las decisiones de intervención dependen mayormente de la intuición del docente, sin un criterio cuantitativo de respaldo.</w:t>
      </w:r>
    </w:p>
    <w:p>
      <w:pPr>
        <w:pStyle w:val="ListParagraph"/>
        <w:numPr>
          <w:ilvl w:val="0"/>
          <w:numId w:val="2"/>
        </w:numPr>
        <w:spacing w:after="70"/>
      </w:pPr>
      <w:r>
        <w:t xml:space="preserve">No hay trazabilidad de las intervenciones realizadas ni de su efectividad en el tiempo.</w:t>
      </w:r>
    </w:p>
    <w:p>
      <w:pPr>
        <w:pStyle w:val="ListParagraph"/>
        <w:numPr>
          <w:ilvl w:val="0"/>
          <w:numId w:val="2"/>
        </w:numPr>
        <w:spacing w:after="70"/>
      </w:pPr>
      <w:r>
        <w:t xml:space="preserve">Es difícil explicar, de forma comprensible para el personal no técnico, por qué un estudiante en particular está en riesgo.</w:t>
      </w:r>
    </w:p>
    <w:p>
      <w:pPr>
        <w:spacing w:after="160"/>
      </w:pPr>
      <w:r>
        <w:rPr>
          <w:b/>
          <w:bCs/>
        </w:rPr>
        <w:t xml:space="preserve">Soluciones implementadas</w:t>
      </w:r>
    </w:p>
    <w:p>
      <w:pPr>
        <w:pStyle w:val="ListParagraph"/>
        <w:numPr>
          <w:ilvl w:val="0"/>
          <w:numId w:val="2"/>
        </w:numPr>
        <w:spacing w:after="70"/>
      </w:pPr>
      <w:r>
        <w:t xml:space="preserve">Un modelo predictivo que calcula, para cada estudiante, una probabilidad de riesgo y un nivel (ALTO/MEDIO/BAJO), permitiendo un ranking objetivo por urgencia.</w:t>
      </w:r>
    </w:p>
    <w:p>
      <w:pPr>
        <w:pStyle w:val="ListParagraph"/>
        <w:numPr>
          <w:ilvl w:val="0"/>
          <w:numId w:val="2"/>
        </w:numPr>
        <w:spacing w:after="70"/>
      </w:pPr>
      <w:r>
        <w:t xml:space="preserve">Un módulo de explicabilidad (SHAP) que traduce la predicción en los factores concretos que más influyen en el riesgo de cada estudiante.</w:t>
      </w:r>
    </w:p>
    <w:p>
      <w:pPr>
        <w:pStyle w:val="ListParagraph"/>
        <w:numPr>
          <w:ilvl w:val="0"/>
          <w:numId w:val="2"/>
        </w:numPr>
        <w:spacing w:after="70"/>
      </w:pPr>
      <w:r>
        <w:t xml:space="preserve">Un módulo de intervenciones con bitácora, estados de seguimiento y alertas al equipo docente.</w:t>
      </w:r>
    </w:p>
    <w:p>
      <w:pPr>
        <w:pStyle w:val="ListParagraph"/>
        <w:numPr>
          <w:ilvl w:val="0"/>
          <w:numId w:val="2"/>
        </w:numPr>
        <w:spacing w:after="70"/>
      </w:pPr>
      <w:r>
        <w:t xml:space="preserve">Reportes exportables (CSV, Excel, PDF) y un panel de métricas del modelo para el administrador.</w:t>
      </w:r>
    </w:p>
    <w:p>
      <w:pPr>
        <w:pStyle w:val="ListParagraph"/>
        <w:numPr>
          <w:ilvl w:val="0"/>
          <w:numId w:val="2"/>
        </w:numPr>
        <w:spacing w:after="70"/>
      </w:pPr>
      <w:r>
        <w:t xml:space="preserve">Una </w:t>
      </w:r>
      <w:r>
        <w:rPr>
          <w:b/>
          <w:bCs/>
        </w:rPr>
        <w:t xml:space="preserve">arquitectura de modelo reutilizable</w:t>
      </w:r>
      <w:r>
        <w:t xml:space="preserve">: el mismo ensemble híbrido se reentrena con las variables propias de cada contexto — el dataset nacional EM 2022, o las notas internas por bimestre de un colegio piloto —, demostrando que la solución no es un modelo ad-hoc para un único caso, sino un enfoque adaptable a distintas instituciones educativas.</w:t>
      </w:r>
    </w:p>
    <w:p>
      <w:pPr>
        <w:pStyle w:val="Heading2"/>
      </w:pPr>
      <w:r>
        <w:t xml:space="preserve">2.4. Desarrollo de Componentes</w:t>
      </w:r>
    </w:p>
    <w:p>
      <w:pPr>
        <w:pStyle w:val="Heading3"/>
      </w:pPr>
      <w:r>
        <w:t xml:space="preserve">2.4.1. Tecnologías utilizadas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0D5DD" w:sz="1"/>
              <w:left w:val="single" w:color="D0D5DD" w:sz="1"/>
              <w:bottom w:val="single" w:color="D0D5DD" w:sz="1"/>
              <w:right w:val="single" w:color="D0D5DD" w:sz="1"/>
            </w:tcBorders>
            <w:shd w:fill="0F1F3D" w:val="clear"/>
            <w:tcMar>
              <w:top w:type="dxa" w:w="70"/>
              <w:left w:type="dxa" w:w="120"/>
              <w:bottom w:type="dxa" w:w="70"/>
              <w:right w:type="dxa" w:w="120"/>
            </w:tcMar>
          </w:tcPr>
          <w:p>
            <w:r>
              <w:rPr>
                <w:b/>
                <w:bCs/>
                <w:color w:val="FFFFFF"/>
                <w:sz w:val="20"/>
                <w:szCs w:val="20"/>
              </w:rPr>
              <w:t xml:space="preserve">Capa</w:t>
            </w:r>
          </w:p>
        </w:tc>
        <w:tc>
          <w:tcPr>
            <w:tcW w:type="dxa" w:w="6760"/>
            <w:tcBorders>
              <w:top w:val="single" w:color="D0D5DD" w:sz="1"/>
              <w:left w:val="single" w:color="D0D5DD" w:sz="1"/>
              <w:bottom w:val="single" w:color="D0D5DD" w:sz="1"/>
              <w:right w:val="single" w:color="D0D5DD" w:sz="1"/>
            </w:tcBorders>
            <w:shd w:fill="0F1F3D" w:val="clear"/>
            <w:tcMar>
              <w:top w:type="dxa" w:w="70"/>
              <w:left w:type="dxa" w:w="120"/>
              <w:bottom w:type="dxa" w:w="70"/>
              <w:right w:type="dxa" w:w="120"/>
            </w:tcMar>
          </w:tcPr>
          <w:p>
            <w:r>
              <w:rPr>
                <w:b/>
                <w:bCs/>
                <w:color w:val="FFFFFF"/>
                <w:sz w:val="20"/>
                <w:szCs w:val="20"/>
              </w:rPr>
              <w:t xml:space="preserve">Tecnologías</w:t>
            </w:r>
          </w:p>
        </w:tc>
      </w:tr>
      <w:tr>
        <w:tc>
          <w:tcPr>
            <w:tcW w:type="dxa" w:w="26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sz w:val="20"/>
                <w:szCs w:val="20"/>
              </w:rPr>
              <w:t xml:space="preserve">Frontend</w:t>
            </w:r>
          </w:p>
        </w:tc>
        <w:tc>
          <w:tcPr>
            <w:tcW w:type="dxa" w:w="67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sz w:val="20"/>
                <w:szCs w:val="20"/>
              </w:rPr>
              <w:t xml:space="preserve">Next.js 14 (App Router), React 18, TypeScript, Recharts (visualizaciones), sistema de diseño propio.</w:t>
            </w:r>
          </w:p>
        </w:tc>
      </w:tr>
      <w:tr>
        <w:tc>
          <w:tcPr>
            <w:tcW w:type="dxa" w:w="2600"/>
            <w:tcBorders>
              <w:top w:val="single" w:color="D0D5DD" w:sz="1"/>
              <w:left w:val="single" w:color="D0D5DD" w:sz="1"/>
              <w:bottom w:val="single" w:color="D0D5DD" w:sz="1"/>
              <w:right w:val="single" w:color="D0D5DD" w:sz="1"/>
            </w:tcBorders>
            <w:shd w:fill="F7F9FB" w:val="clear"/>
            <w:tcMar>
              <w:top w:type="dxa" w:w="70"/>
              <w:left w:type="dxa" w:w="120"/>
              <w:bottom w:type="dxa" w:w="70"/>
              <w:right w:type="dxa" w:w="120"/>
            </w:tcMar>
          </w:tcPr>
          <w:p>
            <w:r>
              <w:rPr>
                <w:sz w:val="20"/>
                <w:szCs w:val="20"/>
              </w:rPr>
              <w:t xml:space="preserve">Backend ML</w:t>
            </w:r>
          </w:p>
        </w:tc>
        <w:tc>
          <w:tcPr>
            <w:tcW w:type="dxa" w:w="6760"/>
            <w:tcBorders>
              <w:top w:val="single" w:color="D0D5DD" w:sz="1"/>
              <w:left w:val="single" w:color="D0D5DD" w:sz="1"/>
              <w:bottom w:val="single" w:color="D0D5DD" w:sz="1"/>
              <w:right w:val="single" w:color="D0D5DD" w:sz="1"/>
            </w:tcBorders>
            <w:shd w:fill="F7F9FB" w:val="clear"/>
            <w:tcMar>
              <w:top w:type="dxa" w:w="70"/>
              <w:left w:type="dxa" w:w="120"/>
              <w:bottom w:type="dxa" w:w="70"/>
              <w:right w:type="dxa" w:w="120"/>
            </w:tcMar>
          </w:tcPr>
          <w:p>
            <w:r>
              <w:rPr>
                <w:sz w:val="20"/>
                <w:szCs w:val="20"/>
              </w:rPr>
              <w:t xml:space="preserve">Python, FastAPI, Uvicorn (servidor ASGI), Pydantic.</w:t>
            </w:r>
          </w:p>
        </w:tc>
      </w:tr>
      <w:tr>
        <w:tc>
          <w:tcPr>
            <w:tcW w:type="dxa" w:w="26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sz w:val="20"/>
                <w:szCs w:val="20"/>
              </w:rPr>
              <w:t xml:space="preserve">Modelado / Data Science</w:t>
            </w:r>
          </w:p>
        </w:tc>
        <w:tc>
          <w:tcPr>
            <w:tcW w:type="dxa" w:w="67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sz w:val="20"/>
                <w:szCs w:val="20"/>
              </w:rPr>
              <w:t xml:space="preserve">scikit-learn (Regresión Logística, Random Forest, VotingClassifier, CalibratedClassifierCV), pandas, numpy, joblib, SHAP, XGBoost, LightGBM, imbalanced-learn.</w:t>
            </w:r>
          </w:p>
        </w:tc>
      </w:tr>
      <w:tr>
        <w:tc>
          <w:tcPr>
            <w:tcW w:type="dxa" w:w="2600"/>
            <w:tcBorders>
              <w:top w:val="single" w:color="D0D5DD" w:sz="1"/>
              <w:left w:val="single" w:color="D0D5DD" w:sz="1"/>
              <w:bottom w:val="single" w:color="D0D5DD" w:sz="1"/>
              <w:right w:val="single" w:color="D0D5DD" w:sz="1"/>
            </w:tcBorders>
            <w:shd w:fill="F7F9FB" w:val="clear"/>
            <w:tcMar>
              <w:top w:type="dxa" w:w="70"/>
              <w:left w:type="dxa" w:w="120"/>
              <w:bottom w:type="dxa" w:w="70"/>
              <w:right w:type="dxa" w:w="120"/>
            </w:tcMar>
          </w:tcPr>
          <w:p>
            <w:r>
              <w:rPr>
                <w:sz w:val="20"/>
                <w:szCs w:val="20"/>
              </w:rPr>
              <w:t xml:space="preserve">Autenticación y datos</w:t>
            </w:r>
          </w:p>
        </w:tc>
        <w:tc>
          <w:tcPr>
            <w:tcW w:type="dxa" w:w="6760"/>
            <w:tcBorders>
              <w:top w:val="single" w:color="D0D5DD" w:sz="1"/>
              <w:left w:val="single" w:color="D0D5DD" w:sz="1"/>
              <w:bottom w:val="single" w:color="D0D5DD" w:sz="1"/>
              <w:right w:val="single" w:color="D0D5DD" w:sz="1"/>
            </w:tcBorders>
            <w:shd w:fill="F7F9FB" w:val="clear"/>
            <w:tcMar>
              <w:top w:type="dxa" w:w="70"/>
              <w:left w:type="dxa" w:w="120"/>
              <w:bottom w:type="dxa" w:w="70"/>
              <w:right w:type="dxa" w:w="120"/>
            </w:tcMar>
          </w:tcPr>
          <w:p>
            <w:r>
              <w:rPr>
                <w:sz w:val="20"/>
                <w:szCs w:val="20"/>
              </w:rPr>
              <w:t xml:space="preserve">Supabase (PostgreSQL administrado, Auth con JWT, Row Level Security).</w:t>
            </w:r>
          </w:p>
        </w:tc>
      </w:tr>
      <w:tr>
        <w:tc>
          <w:tcPr>
            <w:tcW w:type="dxa" w:w="26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sz w:val="20"/>
                <w:szCs w:val="20"/>
              </w:rPr>
              <w:t xml:space="preserve">Control de versiones / Despliegue</w:t>
            </w:r>
          </w:p>
        </w:tc>
        <w:tc>
          <w:tcPr>
            <w:tcW w:type="dxa" w:w="67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sz w:val="20"/>
                <w:szCs w:val="20"/>
              </w:rPr>
              <w:t xml:space="preserve">Git, GitHub, Docker, Vercel (frontend), Railway (backend).</w:t>
            </w:r>
          </w:p>
        </w:tc>
      </w:tr>
    </w:tbl>
    <w:p>
      <w:pPr>
        <w:pStyle w:val="Heading3"/>
      </w:pPr>
      <w:r>
        <w:t xml:space="preserve">2.4.2. Base de Datos</w:t>
      </w:r>
    </w:p>
    <w:p>
      <w:pPr>
        <w:spacing w:after="160"/>
      </w:pPr>
      <w:r>
        <w:t xml:space="preserve">La base de datos utiliza </w:t>
      </w:r>
      <w:r>
        <w:rPr>
          <w:b/>
          <w:bCs/>
        </w:rPr>
        <w:t xml:space="preserve">PostgreSQL</w:t>
      </w:r>
      <w:r>
        <w:t xml:space="preserve"> administrado por </w:t>
      </w:r>
      <w:r>
        <w:rPr>
          <w:b/>
          <w:bCs/>
        </w:rPr>
        <w:t xml:space="preserve">Supabase</w:t>
      </w:r>
      <w:r>
        <w:t xml:space="preserve">. Las tablas principales son:</w:t>
      </w:r>
    </w:p>
    <w:p>
      <w:pPr>
        <w:pStyle w:val="ListParagraph"/>
        <w:numPr>
          <w:ilvl w:val="0"/>
          <w:numId w:val="2"/>
        </w:numPr>
        <w:spacing w:after="70"/>
      </w:pPr>
      <w:r>
        <w:rPr>
          <w:rFonts w:ascii="Consolas" w:cs="Consolas" w:eastAsia="Consolas" w:hAnsi="Consolas"/>
          <w:sz w:val="19"/>
          <w:szCs w:val="19"/>
        </w:rPr>
        <w:t xml:space="preserve">profiles</w:t>
      </w:r>
      <w:r>
        <w:t xml:space="preserve"> — usuarios y roles (superadmin, admin, director, coordinador), con su colegio (codigo_ie) y/o distrito asociados.</w:t>
      </w:r>
    </w:p>
    <w:p>
      <w:pPr>
        <w:pStyle w:val="ListParagraph"/>
        <w:numPr>
          <w:ilvl w:val="0"/>
          <w:numId w:val="2"/>
        </w:numPr>
        <w:spacing w:after="70"/>
      </w:pPr>
      <w:r>
        <w:rPr>
          <w:rFonts w:ascii="Consolas" w:cs="Consolas" w:eastAsia="Consolas" w:hAnsi="Consolas"/>
          <w:sz w:val="19"/>
          <w:szCs w:val="19"/>
        </w:rPr>
        <w:t xml:space="preserve">audit_log</w:t>
      </w:r>
      <w:r>
        <w:t xml:space="preserve"> — auditoría de acciones relevantes del sistema.</w:t>
      </w:r>
    </w:p>
    <w:p>
      <w:pPr>
        <w:pStyle w:val="ListParagraph"/>
        <w:numPr>
          <w:ilvl w:val="0"/>
          <w:numId w:val="2"/>
        </w:numPr>
        <w:spacing w:after="70"/>
      </w:pPr>
      <w:r>
        <w:rPr>
          <w:rFonts w:ascii="Consolas" w:cs="Consolas" w:eastAsia="Consolas" w:hAnsi="Consolas"/>
          <w:sz w:val="19"/>
          <w:szCs w:val="19"/>
        </w:rPr>
        <w:t xml:space="preserve">intervenciones</w:t>
      </w:r>
      <w:r>
        <w:t xml:space="preserve"> — registro de intervenciones por estudiante, con tipo, descripción y estado.</w:t>
      </w:r>
    </w:p>
    <w:p>
      <w:pPr>
        <w:pStyle w:val="ListParagraph"/>
        <w:numPr>
          <w:ilvl w:val="0"/>
          <w:numId w:val="2"/>
        </w:numPr>
        <w:spacing w:after="70"/>
      </w:pPr>
      <w:r>
        <w:rPr>
          <w:rFonts w:ascii="Consolas" w:cs="Consolas" w:eastAsia="Consolas" w:hAnsi="Consolas"/>
          <w:sz w:val="19"/>
          <w:szCs w:val="19"/>
        </w:rPr>
        <w:t xml:space="preserve">anotaciones</w:t>
      </w:r>
      <w:r>
        <w:t xml:space="preserve"> — observaciones libres asociadas a un estudiante.</w:t>
      </w:r>
    </w:p>
    <w:p>
      <w:pPr>
        <w:pStyle w:val="ListParagraph"/>
        <w:numPr>
          <w:ilvl w:val="0"/>
          <w:numId w:val="2"/>
        </w:numPr>
        <w:spacing w:after="70"/>
      </w:pPr>
      <w:r>
        <w:rPr>
          <w:rFonts w:ascii="Consolas" w:cs="Consolas" w:eastAsia="Consolas" w:hAnsi="Consolas"/>
          <w:sz w:val="19"/>
          <w:szCs w:val="19"/>
        </w:rPr>
        <w:t xml:space="preserve">plan_hitos</w:t>
      </w:r>
      <w:r>
        <w:t xml:space="preserve"> — hitos de seguimiento académico con fecha objetivo.</w:t>
      </w:r>
    </w:p>
    <w:p>
      <w:pPr>
        <w:pStyle w:val="ListParagraph"/>
        <w:numPr>
          <w:ilvl w:val="0"/>
          <w:numId w:val="2"/>
        </w:numPr>
        <w:spacing w:after="70"/>
      </w:pPr>
      <w:r>
        <w:rPr>
          <w:rFonts w:ascii="Consolas" w:cs="Consolas" w:eastAsia="Consolas" w:hAnsi="Consolas"/>
          <w:sz w:val="19"/>
          <w:szCs w:val="19"/>
        </w:rPr>
        <w:t xml:space="preserve">predicciones</w:t>
      </w:r>
      <w:r>
        <w:t xml:space="preserve"> y </w:t>
      </w:r>
      <w:r>
        <w:rPr>
          <w:rFonts w:ascii="Consolas" w:cs="Consolas" w:eastAsia="Consolas" w:hAnsi="Consolas"/>
          <w:sz w:val="19"/>
          <w:szCs w:val="19"/>
        </w:rPr>
        <w:t xml:space="preserve">modelos_versiones</w:t>
      </w:r>
      <w:r>
        <w:t xml:space="preserve"> — historial de predicciones y versiones del modelo entrenado.</w:t>
      </w:r>
    </w:p>
    <w:p>
      <w:pPr>
        <w:spacing w:after="160"/>
      </w:pPr>
      <w:r>
        <w:t xml:space="preserve">La seguridad de los datos se implementa mediante políticas de </w:t>
      </w:r>
      <w:r>
        <w:rPr>
          <w:b/>
          <w:bCs/>
        </w:rPr>
        <w:t xml:space="preserve">Row Level Security (RLS)</w:t>
      </w:r>
      <w:r>
        <w:t xml:space="preserve">, que garantizan que cada usuario solo pueda leer información de su propio colegio o distrito — excepto el superadministrador, con visión global. Estas políticas se apoyan en funciones </w:t>
      </w:r>
      <w:r>
        <w:rPr>
          <w:rFonts w:ascii="Consolas" w:cs="Consolas" w:eastAsia="Consolas" w:hAnsi="Consolas"/>
          <w:sz w:val="19"/>
          <w:szCs w:val="19"/>
        </w:rPr>
        <w:t xml:space="preserve">SECURITY DEFINER</w:t>
      </w:r>
      <w:r>
        <w:t xml:space="preserve"> (por ejemplo, para obtener el rol o la institución del usuario autenticado) que evitan la recursividad propia de validar permisos consultando la misma tabla que protegen. De esta forma, el aislamiento de datos por institución educativa se garantiza también a nivel de base de datos, y no únicamente en la interfaz.</w:t>
      </w:r>
    </w:p>
    <w:p>
      <w:pPr>
        <w:spacing w:after="160"/>
      </w:pPr>
      <w:r>
        <w:t xml:space="preserve">Adicionalmente, un disparador (trigger) crea automáticamente el perfil de cada usuario al registrarse, asignando su colegio y/o distrito a partir de los metadatos enviados durante el registro.</w:t>
      </w:r>
    </w:p>
    <w:p>
      <w:pPr>
        <w:pStyle w:val="Heading3"/>
      </w:pPr>
      <w:r>
        <w:t xml:space="preserve">2.4.3. Backend</w:t>
      </w:r>
    </w:p>
    <w:p>
      <w:pPr>
        <w:spacing w:after="160"/>
      </w:pPr>
      <w:r>
        <w:t xml:space="preserve">El backend se construyó con </w:t>
      </w:r>
      <w:r>
        <w:rPr>
          <w:b/>
          <w:bCs/>
        </w:rPr>
        <w:t xml:space="preserve">FastAPI</w:t>
      </w:r>
      <w:r>
        <w:t xml:space="preserve">, expone una API REST versionada bajo el prefijo </w:t>
      </w:r>
      <w:r>
        <w:rPr>
          <w:rFonts w:ascii="Consolas" w:cs="Consolas" w:eastAsia="Consolas" w:hAnsi="Consolas"/>
          <w:sz w:val="19"/>
          <w:szCs w:val="19"/>
        </w:rPr>
        <w:t xml:space="preserve">/v1</w:t>
      </w:r>
      <w:r>
        <w:t xml:space="preserve">, y se organiza en routers independientes según el dominio funcional:</w:t>
      </w:r>
    </w:p>
    <w:p>
      <w:pPr>
        <w:pStyle w:val="ListParagraph"/>
        <w:numPr>
          <w:ilvl w:val="0"/>
          <w:numId w:val="2"/>
        </w:numPr>
        <w:spacing w:after="70"/>
      </w:pPr>
      <w:r>
        <w:rPr>
          <w:rFonts w:ascii="Consolas" w:cs="Consolas" w:eastAsia="Consolas" w:hAnsi="Consolas"/>
          <w:sz w:val="19"/>
          <w:szCs w:val="19"/>
        </w:rPr>
        <w:t xml:space="preserve">predicciones</w:t>
      </w:r>
      <w:r>
        <w:t xml:space="preserve"> — predicción individual y por dataset, resumen agregado, y explicabilidad (SHAP) por estudiante.</w:t>
      </w:r>
    </w:p>
    <w:p>
      <w:pPr>
        <w:pStyle w:val="ListParagraph"/>
        <w:numPr>
          <w:ilvl w:val="0"/>
          <w:numId w:val="2"/>
        </w:numPr>
        <w:spacing w:after="70"/>
      </w:pPr>
      <w:r>
        <w:rPr>
          <w:rFonts w:ascii="Consolas" w:cs="Consolas" w:eastAsia="Consolas" w:hAnsi="Consolas"/>
          <w:sz w:val="19"/>
          <w:szCs w:val="19"/>
        </w:rPr>
        <w:t xml:space="preserve">modelo</w:t>
      </w:r>
      <w:r>
        <w:t xml:space="preserve"> — métricas del modelo, importancia de variables, evaluación, diagnóstico avanzado y reentrenamiento.</w:t>
      </w:r>
    </w:p>
    <w:p>
      <w:pPr>
        <w:pStyle w:val="ListParagraph"/>
        <w:numPr>
          <w:ilvl w:val="0"/>
          <w:numId w:val="2"/>
        </w:numPr>
        <w:spacing w:after="70"/>
      </w:pPr>
      <w:r>
        <w:rPr>
          <w:rFonts w:ascii="Consolas" w:cs="Consolas" w:eastAsia="Consolas" w:hAnsi="Consolas"/>
          <w:sz w:val="19"/>
          <w:szCs w:val="19"/>
        </w:rPr>
        <w:t xml:space="preserve">datos</w:t>
      </w:r>
      <w:r>
        <w:t xml:space="preserve"> — validación de archivos CSV/Excel cargados por el administrador.</w:t>
      </w:r>
    </w:p>
    <w:p>
      <w:pPr>
        <w:pStyle w:val="ListParagraph"/>
        <w:numPr>
          <w:ilvl w:val="0"/>
          <w:numId w:val="2"/>
        </w:numPr>
        <w:spacing w:after="70"/>
      </w:pPr>
      <w:r>
        <w:rPr>
          <w:rFonts w:ascii="Consolas" w:cs="Consolas" w:eastAsia="Consolas" w:hAnsi="Consolas"/>
          <w:sz w:val="19"/>
          <w:szCs w:val="19"/>
        </w:rPr>
        <w:t xml:space="preserve">colegios</w:t>
      </w:r>
      <w:r>
        <w:t xml:space="preserve"> — catálogo de instituciones educativas del dataset nacional.</w:t>
      </w:r>
    </w:p>
    <w:p>
      <w:pPr>
        <w:pStyle w:val="ListParagraph"/>
        <w:numPr>
          <w:ilvl w:val="0"/>
          <w:numId w:val="2"/>
        </w:numPr>
        <w:spacing w:after="70"/>
      </w:pPr>
      <w:r>
        <w:rPr>
          <w:rFonts w:ascii="Consolas" w:cs="Consolas" w:eastAsia="Consolas" w:hAnsi="Consolas"/>
          <w:sz w:val="19"/>
          <w:szCs w:val="19"/>
        </w:rPr>
        <w:t xml:space="preserve">colegio_propio</w:t>
      </w:r>
      <w:r>
        <w:t xml:space="preserve"> — modelo interno de un colegio específico: predicciones, resumen y procesamiento de sus Excel de notas.</w:t>
      </w:r>
    </w:p>
    <w:p>
      <w:pPr>
        <w:spacing w:after="160"/>
      </w:pPr>
      <w:r>
        <w:t xml:space="preserve">La carga del modelo sigue un patrón de </w:t>
      </w:r>
      <w:r>
        <w:rPr>
          <w:b/>
          <w:bCs/>
        </w:rPr>
        <w:t xml:space="preserve">carga única en memoria</w:t>
      </w:r>
      <w:r>
        <w:t xml:space="preserve"> (singleton): el primer request que lo necesita lo deserializa desde disco (.pkl) y lo mantiene cargado para las solicitudes siguientes, evitando el costo de releerlo en cada llamada. La lógica de negocio (predicción, cálculo de SHAP, diagnóstico) se separa en una capa de servicios, independiente de los controladores HTTP, lo que facilita las pruebas y el mantenimiento. El backend se empaqueta en un contenedor Docker para un despliegue reproducible, y tiene configurado CORS para ser consumido tanto desde el entorno local como desde producción.</w:t>
      </w:r>
    </w:p>
    <w:p>
      <w:pPr>
        <w:pStyle w:val="Heading3"/>
      </w:pPr>
      <w:r>
        <w:t xml:space="preserve">2.4.4. Módulo de Procesamiento de Lenguaje Natural (NLP)</w:t>
      </w:r>
    </w:p>
    <w:p>
      <w:pPr>
        <w:spacing w:after="160"/>
      </w:pPr>
      <w:r>
        <w:t xml:space="preserve">El dominio del problema que resuelve SATRA — rendimiento académico medido a través de notas y puntajes estandarizados — es, por naturaleza, </w:t>
      </w:r>
      <w:r>
        <w:rPr>
          <w:i/>
          <w:iCs/>
        </w:rPr>
        <w:t xml:space="preserve">numérico y tabular</w:t>
      </w:r>
      <w:r>
        <w:t xml:space="preserve"> antes que textual. Por ello, el sistema no incorpora un modelo de lenguaje de gran escala ni tareas clásicas de NLP (clasificación de texto libre, análisis de sentimiento, extracción de entidades). En su lugar, incorpora un componente de </w:t>
      </w:r>
      <w:r>
        <w:rPr>
          <w:b/>
          <w:bCs/>
        </w:rPr>
        <w:t xml:space="preserve">generación de lenguaje natural (NLG) ligero y basado en reglas</w:t>
      </w:r>
      <w:r>
        <w:t xml:space="preserve">, cuya función es traducir las salidas estadísticas del modelo predictivo — nivel de riesgo, tipo de riesgo y la contribución de cada variable según SHAP — en explicaciones y recomendaciones redactadas en lenguaje natural, comprensibles para el personal docente sin necesidad de interpretar coeficientes o gráficos.</w:t>
      </w:r>
    </w:p>
    <w:p>
      <w:pPr>
        <w:spacing w:after="160"/>
      </w:pPr>
      <w:r>
        <w:t xml:space="preserve">Por ejemplo, a partir de la variable con mayor contribución SHAP para un estudiante, el motor de recomendaciones genera frases como: </w:t>
      </w:r>
      <w:r>
        <w:rPr>
          <w:i/>
          <w:iCs/>
        </w:rPr>
        <w:t xml:space="preserve">“El factor que más eleva el riesgo de este estudiante es su puntaje en Lectura. Sugerencia: derivar a programa de comprensión lectora del nivel.”</w:t>
      </w:r>
    </w:p>
    <w:p>
      <w:pPr>
        <w:spacing w:after="160"/>
      </w:pPr>
      <w:r>
        <w:t xml:space="preserve">Este componente se implementó como una capa de utilidades del frontend que mapea combinaciones de nivel de riesgo, tipo de riesgo y variable dominante a plantillas de texto curadas, en lugar de recurrir a un modelo generativo de lenguaje libre. Esta decisión de diseño fue deliberada: en un contexto educativo, la </w:t>
      </w:r>
      <w:r>
        <w:rPr>
          <w:b/>
          <w:bCs/>
        </w:rPr>
        <w:t xml:space="preserve">precisión, la trazabilidad y la ausencia de ambigüedad</w:t>
      </w:r>
      <w:r>
        <w:t xml:space="preserve"> de cada recomendación son más relevantes que la flexibilidad expresiva de un modelo de lenguaje de propósito general.</w:t>
      </w:r>
    </w:p>
    <w:p>
      <w:pPr>
        <w:pStyle w:val="Heading3"/>
      </w:pPr>
      <w:r>
        <w:t xml:space="preserve">2.4.5. Módulo de Machine Learning</w:t>
      </w:r>
    </w:p>
    <w:p>
      <w:pPr>
        <w:spacing w:after="160"/>
      </w:pPr>
      <w:r>
        <w:t xml:space="preserve">El núcleo predictivo de SATRA es un </w:t>
      </w:r>
      <w:r>
        <w:rPr>
          <w:b/>
          <w:bCs/>
        </w:rPr>
        <w:t xml:space="preserve">ensemble híbrido</w:t>
      </w:r>
      <w:r>
        <w:t xml:space="preserve"> compuesto por </w:t>
      </w:r>
      <w:r>
        <w:rPr>
          <w:b/>
          <w:bCs/>
        </w:rPr>
        <w:t xml:space="preserve">Regresión Logística</w:t>
      </w:r>
      <w:r>
        <w:t xml:space="preserve"> y </w:t>
      </w:r>
      <w:r>
        <w:rPr>
          <w:b/>
          <w:bCs/>
        </w:rPr>
        <w:t xml:space="preserve">Random Forest</w:t>
      </w:r>
      <w:r>
        <w:t xml:space="preserve">, combinados mediante votación suave (</w:t>
      </w:r>
      <w:r>
        <w:rPr>
          <w:i/>
          <w:iCs/>
        </w:rPr>
        <w:t xml:space="preserve">soft-voting</w:t>
      </w:r>
      <w:r>
        <w:t xml:space="preserve">, a través de </w:t>
      </w:r>
      <w:r>
        <w:rPr>
          <w:rFonts w:ascii="Consolas" w:cs="Consolas" w:eastAsia="Consolas" w:hAnsi="Consolas"/>
          <w:sz w:val="19"/>
          <w:szCs w:val="19"/>
        </w:rPr>
        <w:t xml:space="preserve">VotingClassifier</w:t>
      </w:r>
      <w:r>
        <w:t xml:space="preserve"> de scikit-learn) y calibrado posteriormente (</w:t>
      </w:r>
      <w:r>
        <w:rPr>
          <w:rFonts w:ascii="Consolas" w:cs="Consolas" w:eastAsia="Consolas" w:hAnsi="Consolas"/>
          <w:sz w:val="19"/>
          <w:szCs w:val="19"/>
        </w:rPr>
        <w:t xml:space="preserve">CalibratedClassifierCV</w:t>
      </w:r>
      <w:r>
        <w:t xml:space="preserve">) para que las probabilidades de salida reflejen frecuencias reales de riesgo y no solo un orden relativo.</w:t>
      </w:r>
    </w:p>
    <w:p>
      <w:pPr>
        <w:spacing w:after="160"/>
      </w:pPr>
      <w:r>
        <w:rPr>
          <w:b/>
          <w:bCs/>
        </w:rPr>
        <w:t xml:space="preserve">La misma arquitectura se entrena en dos contextos: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0D5DD" w:sz="1"/>
              <w:left w:val="single" w:color="D0D5DD" w:sz="1"/>
              <w:bottom w:val="single" w:color="D0D5DD" w:sz="1"/>
              <w:right w:val="single" w:color="D0D5DD" w:sz="1"/>
            </w:tcBorders>
            <w:shd w:fill="0F1F3D" w:val="clear"/>
            <w:tcMar>
              <w:top w:type="dxa" w:w="70"/>
              <w:left w:type="dxa" w:w="120"/>
              <w:bottom w:type="dxa" w:w="70"/>
              <w:right w:type="dxa" w:w="120"/>
            </w:tcMar>
          </w:tcPr>
          <w:p>
            <w:r>
              <w:rPr>
                <w:b/>
                <w:bCs/>
                <w:color w:val="FFFFFF"/>
                <w:sz w:val="20"/>
                <w:szCs w:val="20"/>
              </w:rPr>
              <w:t xml:space="preserve">Contexto</w:t>
            </w:r>
          </w:p>
        </w:tc>
        <w:tc>
          <w:tcPr>
            <w:tcW w:type="dxa" w:w="6760"/>
            <w:tcBorders>
              <w:top w:val="single" w:color="D0D5DD" w:sz="1"/>
              <w:left w:val="single" w:color="D0D5DD" w:sz="1"/>
              <w:bottom w:val="single" w:color="D0D5DD" w:sz="1"/>
              <w:right w:val="single" w:color="D0D5DD" w:sz="1"/>
            </w:tcBorders>
            <w:shd w:fill="0F1F3D" w:val="clear"/>
            <w:tcMar>
              <w:top w:type="dxa" w:w="70"/>
              <w:left w:type="dxa" w:w="120"/>
              <w:bottom w:type="dxa" w:w="70"/>
              <w:right w:type="dxa" w:w="120"/>
            </w:tcMar>
          </w:tcPr>
          <w:p>
            <w:r>
              <w:rPr>
                <w:b/>
                <w:bCs/>
                <w:color w:val="FFFFFF"/>
                <w:sz w:val="20"/>
                <w:szCs w:val="20"/>
              </w:rPr>
              <w:t xml:space="preserve">Detalle</w:t>
            </w:r>
          </w:p>
        </w:tc>
      </w:tr>
      <w:tr>
        <w:tc>
          <w:tcPr>
            <w:tcW w:type="dxa" w:w="26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sz w:val="20"/>
                <w:szCs w:val="20"/>
              </w:rPr>
              <w:t xml:space="preserve">Modelo nacional (EM 2022)</w:t>
            </w:r>
          </w:p>
        </w:tc>
        <w:tc>
          <w:tcPr>
            <w:tcW w:type="dxa" w:w="67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sz w:val="20"/>
                <w:szCs w:val="20"/>
              </w:rPr>
              <w:t xml:space="preserve">12 variables (puntajes de Lectura y Ciencias, índice socioeconómico, sexo, distrito, agregados y variables relativas por institución educativa). Entrenado con 2,804 estudiantes y evaluado en un conjunto de prueba independiente de 825 estudiantes de instituciones nunca vistas en el entrenamiento. Resultados en prueba: AUC-ROC 83.9%, F1 71.0%, Precisión 66.0%, Recall 76.9%. Validación cruzada (GroupKFold-5 por institución): AUC 86.3%, Precisión 70.3%.</w:t>
            </w:r>
          </w:p>
        </w:tc>
      </w:tr>
      <w:tr>
        <w:tc>
          <w:tcPr>
            <w:tcW w:type="dxa" w:w="2600"/>
            <w:tcBorders>
              <w:top w:val="single" w:color="D0D5DD" w:sz="1"/>
              <w:left w:val="single" w:color="D0D5DD" w:sz="1"/>
              <w:bottom w:val="single" w:color="D0D5DD" w:sz="1"/>
              <w:right w:val="single" w:color="D0D5DD" w:sz="1"/>
            </w:tcBorders>
            <w:shd w:fill="F7F9FB" w:val="clear"/>
            <w:tcMar>
              <w:top w:type="dxa" w:w="70"/>
              <w:left w:type="dxa" w:w="120"/>
              <w:bottom w:type="dxa" w:w="70"/>
              <w:right w:type="dxa" w:w="120"/>
            </w:tcMar>
          </w:tcPr>
          <w:p>
            <w:r>
              <w:rPr>
                <w:sz w:val="20"/>
                <w:szCs w:val="20"/>
              </w:rPr>
              <w:t xml:space="preserve">Modelo del colegio piloto (Joseph And Mary, IE 0249)</w:t>
            </w:r>
          </w:p>
        </w:tc>
        <w:tc>
          <w:tcPr>
            <w:tcW w:type="dxa" w:w="6760"/>
            <w:tcBorders>
              <w:top w:val="single" w:color="D0D5DD" w:sz="1"/>
              <w:left w:val="single" w:color="D0D5DD" w:sz="1"/>
              <w:bottom w:val="single" w:color="D0D5DD" w:sz="1"/>
              <w:right w:val="single" w:color="D0D5DD" w:sz="1"/>
            </w:tcBorders>
            <w:shd w:fill="F7F9FB" w:val="clear"/>
            <w:tcMar>
              <w:top w:type="dxa" w:w="70"/>
              <w:left w:type="dxa" w:w="120"/>
              <w:bottom w:type="dxa" w:w="70"/>
              <w:right w:type="dxa" w:w="120"/>
            </w:tcMar>
          </w:tcPr>
          <w:p>
            <w:r>
              <w:rPr>
                <w:sz w:val="20"/>
                <w:szCs w:val="20"/>
              </w:rPr>
              <w:t xml:space="preserve">30 variables derivadas de las notas de los 3 primeros bimestres (Matemática, Comunicación, Ciencia y Tecnología, Personal Social, Inglés, Arte y Cultura, Educación Física) y la conducta anual, prediciendo si el estudiante obtendrá una nota desaprobatoria en el 4.° bimestre. Ninguna variable del bimestre predicho se incluye como entrada, evitando fuga del objetivo. AUC validado por validación cruzada estratificada (5 folds): 91.4%.</w:t>
            </w:r>
          </w:p>
        </w:tc>
      </w:tr>
    </w:tbl>
    <w:p>
      <w:pPr>
        <w:spacing w:after="160"/>
      </w:pPr>
      <w:r>
        <w:t xml:space="preserve">En ambos casos, la validación se realiza </w:t>
      </w:r>
      <w:r>
        <w:rPr>
          <w:b/>
          <w:bCs/>
        </w:rPr>
        <w:t xml:space="preserve">agrupando por institución educativa</w:t>
      </w:r>
      <w:r>
        <w:t xml:space="preserve"> (GroupShuffleSplit / GroupKFold), de modo que ningún estudiante de un mismo colegio aparezca simultáneamente en entrenamiento y prueba — esto produce una estimación realista del desempeño del modelo ante una institución que nunca ha visto.</w:t>
      </w:r>
    </w:p>
    <w:p>
      <w:pPr>
        <w:spacing w:after="160"/>
      </w:pPr>
      <w:r>
        <w:t xml:space="preserve">La </w:t>
      </w:r>
      <w:r>
        <w:rPr>
          <w:b/>
          <w:bCs/>
        </w:rPr>
        <w:t xml:space="preserve">explicabilidad</w:t>
      </w:r>
      <w:r>
        <w:t xml:space="preserve"> se obtiene mediante </w:t>
      </w:r>
      <w:r>
        <w:rPr>
          <w:b/>
          <w:bCs/>
        </w:rPr>
        <w:t xml:space="preserve">SHAP</w:t>
      </w:r>
      <w:r>
        <w:t xml:space="preserve"> (SHapley Additive exPlanations), que cuantifica la contribución de cada variable a la predicción de cada estudiante individual, alimentando además el módulo de generación de lenguaje natural descrito en la sección 2.4.4.</w:t>
      </w:r>
    </w:p>
    <w:p>
      <w:pPr>
        <w:spacing w:after="160"/>
      </w:pPr>
      <w:r>
        <w:t xml:space="preserve">Como parte del proceso de selección, además del ensemble adoptado se evaluaron de forma individual Regresión Logística, Random Forest, XGBoost, LightGBM, Gradient Boosting y SVM, documentando los motivos por los cuales el ensemble híbrido fue la opción elegida frente a las alternativas (mejor balance entre desempeño, estabilidad y capacidad de explicación). Los modelos entrenados, sus preprocesadores y sus métricas se serializan con </w:t>
      </w:r>
      <w:r>
        <w:rPr>
          <w:rFonts w:ascii="Consolas" w:cs="Consolas" w:eastAsia="Consolas" w:hAnsi="Consolas"/>
          <w:sz w:val="19"/>
          <w:szCs w:val="19"/>
        </w:rPr>
        <w:t xml:space="preserve">joblib</w:t>
      </w:r>
      <w:r>
        <w:t xml:space="preserve"> y se cargan en el backend para servir predicciones en tiempo real.</w:t>
      </w:r>
    </w:p>
    <w:p>
      <w:pPr>
        <w:pStyle w:val="Heading2"/>
      </w:pPr>
      <w:r>
        <w:t xml:space="preserve">2.5. Aplicación Desplegada</w:t>
      </w:r>
    </w:p>
    <w:p>
      <w:pPr>
        <w:spacing w:after="160"/>
      </w:pPr>
      <w:r>
        <w:t xml:space="preserve">El </w:t>
      </w:r>
      <w:r>
        <w:rPr>
          <w:b/>
          <w:bCs/>
        </w:rPr>
        <w:t xml:space="preserve">frontend</w:t>
      </w:r>
      <w:r>
        <w:t xml:space="preserve"> se despliega en </w:t>
      </w:r>
      <w:r>
        <w:rPr>
          <w:b/>
          <w:bCs/>
        </w:rPr>
        <w:t xml:space="preserve">Vercel</w:t>
      </w:r>
      <w:r>
        <w:t xml:space="preserve">, aprovechando su integración nativa con Next.js para construir y publicar automáticamente cada cambio del repositorio.</w:t>
      </w:r>
    </w:p>
    <w:p>
      <w:pPr>
        <w:spacing w:after="160"/>
      </w:pPr>
      <w:r>
        <w:t xml:space="preserve">El </w:t>
      </w:r>
      <w:r>
        <w:rPr>
          <w:b/>
          <w:bCs/>
        </w:rPr>
        <w:t xml:space="preserve">backend ML</w:t>
      </w:r>
      <w:r>
        <w:t xml:space="preserve"> se empaqueta en un contenedor </w:t>
      </w:r>
      <w:r>
        <w:rPr>
          <w:b/>
          <w:bCs/>
        </w:rPr>
        <w:t xml:space="preserve">Docker</w:t>
      </w:r>
      <w:r>
        <w:t xml:space="preserve"> y se despliega en </w:t>
      </w:r>
      <w:r>
        <w:rPr>
          <w:b/>
          <w:bCs/>
        </w:rPr>
        <w:t xml:space="preserve">Railway</w:t>
      </w:r>
      <w:r>
        <w:t xml:space="preserve">, con verificación de salud automática sobre el endpoint </w:t>
      </w:r>
      <w:r>
        <w:rPr>
          <w:rFonts w:ascii="Consolas" w:cs="Consolas" w:eastAsia="Consolas" w:hAnsi="Consolas"/>
          <w:sz w:val="19"/>
          <w:szCs w:val="19"/>
        </w:rPr>
        <w:t xml:space="preserve">/v1/health</w:t>
      </w:r>
      <w:r>
        <w:t xml:space="preserve"> y reinicio automático ante fallos.</w:t>
      </w:r>
    </w:p>
    <w:p>
      <w:pPr>
        <w:spacing w:after="160"/>
      </w:pPr>
      <w:r>
        <w:t xml:space="preserve">La </w:t>
      </w:r>
      <w:r>
        <w:rPr>
          <w:b/>
          <w:bCs/>
        </w:rPr>
        <w:t xml:space="preserve">base de datos y la autenticación</w:t>
      </w:r>
      <w:r>
        <w:t xml:space="preserve"> se administran en </w:t>
      </w:r>
      <w:r>
        <w:rPr>
          <w:b/>
          <w:bCs/>
        </w:rPr>
        <w:t xml:space="preserve">Supabase Cloud</w:t>
      </w:r>
      <w:r>
        <w:t xml:space="preserve">, que gestiona usuarios, sesiones y la persistencia de intervenciones, anotaciones y auditoría en un entorno administrado.</w:t>
      </w:r>
    </w:p>
    <w:p>
      <w:pPr>
        <w:spacing w:after="160"/>
      </w:pPr>
      <w:r>
        <w:t xml:space="preserve">En producción, el acceso queda diferenciado por rol: el Superadministrador mantiene visión global y gestión del modelo; el Administrador de colegio gestiona usuarios y datos de su institución; y el Director o Coordinador Académico accede al dashboard, la ficha de estudiante, las intervenciones y los reportes, siempre acotados a su institución o distrito.</w:t>
      </w:r>
    </w:p>
    <w:p>
      <w:pPr>
        <w:spacing w:after="160"/>
      </w:pPr>
      <w:r>
        <w:t xml:space="preserve">Gracias a esta arquitectura, cada institución educativa puede utilizar el sistema de forma independiente — ya sea consumiendo el modelo nacional, si forma parte del dataset EM 2022, o su propio modelo entrenado con datos internos, como en el caso del colegio piloto —, </w:t>
      </w:r>
      <w:r>
        <w:rPr>
          <w:b/>
          <w:bCs/>
        </w:rPr>
        <w:t xml:space="preserve">sin requerir cambios en el código</w:t>
      </w:r>
      <w:r>
        <w:t xml:space="preserve"> para incorporar una nueva institución.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0D5DD" w:sz="6" w:space="4"/>
      </w:pBdr>
      <w:spacing w:after="160" w:before="320"/>
      <w:outlineLvl w:val="0"/>
    </w:pPr>
    <w:rPr>
      <w:rFonts w:ascii="Arial" w:cs="Arial" w:eastAsia="Arial" w:hAnsi="Arial"/>
      <w:b/>
      <w:bCs/>
      <w:color w:val="0F1F3D"/>
      <w:sz w:val="30"/>
      <w:szCs w:val="30"/>
    </w:rPr>
  </w:style>
  <w:style w:type="paragraph" w:styleId="Heading2">
    <w:name w:val="Heading 2"/>
    <w:basedOn w:val="Normal"/>
    <w:next w:val="Normal"/>
    <w:qFormat/>
    <w:pPr>
      <w:spacing w:after="110" w:before="220"/>
      <w:outlineLvl w:val="1"/>
    </w:pPr>
    <w:rPr>
      <w:rFonts w:ascii="Arial" w:cs="Arial" w:eastAsia="Arial" w:hAnsi="Arial"/>
      <w:b/>
      <w:bCs/>
      <w:color w:val="2563EB"/>
      <w:sz w:val="25"/>
      <w:szCs w:val="25"/>
    </w:rPr>
  </w:style>
  <w:style w:type="paragraph" w:styleId="Heading3">
    <w:name w:val="Heading 3"/>
    <w:basedOn w:val="Normal"/>
    <w:next w:val="Normal"/>
    <w:qFormat/>
    <w:pPr>
      <w:spacing w:after="90" w:before="180"/>
      <w:outlineLvl w:val="2"/>
    </w:pPr>
    <w:rPr>
      <w:rFonts w:ascii="Arial" w:cs="Arial" w:eastAsia="Arial" w:hAnsi="Arial"/>
      <w:b/>
      <w:bCs/>
      <w:color w:val="0F1F3D"/>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2026-06-30T03:10:13.373Z</dcterms:created>
  <dcterms:modified xsi:type="dcterms:W3CDTF">2026-06-30T03:10:13.379Z</dcterms:modified>
</cp:coreProperties>
</file>

<file path=docProps/custom.xml><?xml version="1.0" encoding="utf-8"?>
<Properties xmlns="http://schemas.openxmlformats.org/officeDocument/2006/custom-properties" xmlns:vt="http://schemas.openxmlformats.org/officeDocument/2006/docPropsVTypes"/>
</file>