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FC7D0"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本文件</w:t>
      </w:r>
      <w:bookmarkStart w:id="0" w:name="_GoBack"/>
      <w:bookmarkEnd w:id="0"/>
      <w:r>
        <w:rPr>
          <w:rFonts w:ascii="Microsoft YaHei" w:hAnsi="Microsoft YaHei" w:eastAsia="Microsoft YaHei"/>
          <w:b w:val="0"/>
          <w:sz w:val="21"/>
        </w:rPr>
        <w:t>说明 HyperChE 论文需要绘制的核心图、每幅图应表达的内容、应使用的实验数据，以及论文草稿、实验结果和 arXiv 源文件的归档位置。资料包以当前保留的 B0、B1、B2、F0、F1 五组系统为准，排除已废弃的文本块重排和混合文本基线。</w:t>
      </w:r>
    </w:p>
    <w:p w14:paraId="29DD50A3"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当前建议的最小主文图集为五幅：三幅方法与表示图，加上两幅已有结果图。这样可以完整说明 HyperChE 的工作方式、化工高阶事实为何需要超图、归一化如何帮助检索，以及最终组的优势主要来自哪里。</w:t>
      </w:r>
    </w:p>
    <w:p w14:paraId="2AB4E156">
      <w:pPr>
        <w:pStyle w:val="3"/>
        <w:spacing w:before="16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一 主文图集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32"/>
        <w:gridCol w:w="2520"/>
        <w:gridCol w:w="864"/>
        <w:gridCol w:w="3384"/>
      </w:tblGrid>
      <w:tr w14:paraId="5A9AC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33929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217E7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图名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62C7B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参考来源</w:t>
            </w:r>
          </w:p>
        </w:tc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766AC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68F36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论文作用</w:t>
            </w:r>
          </w:p>
        </w:tc>
      </w:tr>
      <w:tr w14:paraId="2E689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21CE1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 1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2095A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HyperChE 检索问答流程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BF77C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对应原版 HyperGraphRAG Figure 1/3</w:t>
            </w:r>
          </w:p>
        </w:tc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67E18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新画</w:t>
            </w:r>
          </w:p>
        </w:tc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1EE68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说明离线构建与在线检索问答的完整路径</w:t>
            </w:r>
          </w:p>
        </w:tc>
      </w:tr>
      <w:tr w14:paraId="3CE1F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56EC3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 2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1B3CB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真实化工文本抽取示例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DAD7F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对应原版 Figure 2</w:t>
            </w:r>
          </w:p>
        </w:tc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84C52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新画</w:t>
            </w:r>
          </w:p>
        </w:tc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6C734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展示原文、实体、二元关系和高阶超边</w:t>
            </w:r>
          </w:p>
        </w:tc>
      </w:tr>
      <w:tr w14:paraId="4FF88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279D8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 3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1E745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普通图与化工超图的共同事实表示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A72AF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对应原版 Figure 1 的表示对比作用</w:t>
            </w:r>
          </w:p>
        </w:tc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696F7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新画</w:t>
            </w:r>
          </w:p>
        </w:tc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36CE6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说明超边如何绑定材料、条件、测量与结果</w:t>
            </w:r>
          </w:p>
        </w:tc>
      </w:tr>
      <w:tr w14:paraId="3CE43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73EAD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 4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D29A8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五组主检索结果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3857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对应原版主结果/消融结果图</w:t>
            </w:r>
          </w:p>
        </w:tc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0C76B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已有</w:t>
            </w:r>
          </w:p>
        </w:tc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E05DA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Hit@5、MRR、shared gNDCG@5 和 CFR@5</w:t>
            </w:r>
          </w:p>
        </w:tc>
      </w:tr>
      <w:tr w14:paraId="328CF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DDD71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 5</w:t>
            </w:r>
          </w:p>
        </w:tc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28766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F0/F1 受控重排对比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D576D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对应原版消融结果图</w:t>
            </w:r>
          </w:p>
        </w:tc>
        <w:tc>
          <w:tcPr>
            <w:tcW w:w="86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B63F8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已有</w:t>
            </w:r>
          </w:p>
        </w:tc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90FBC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同一 hybrid RRF top-50 候选池下比较重排效果</w:t>
            </w:r>
          </w:p>
        </w:tc>
      </w:tr>
    </w:tbl>
    <w:p w14:paraId="1A19DBF6">
      <w:pPr>
        <w:spacing w:after="0"/>
      </w:pPr>
    </w:p>
    <w:p w14:paraId="5D1E8A9C">
      <w:pPr>
        <w:pStyle w:val="3"/>
        <w:spacing w:before="16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二 各幅图的具体绘制要求</w:t>
      </w:r>
    </w:p>
    <w:p w14:paraId="58769C33">
      <w:pPr>
        <w:pStyle w:val="4"/>
        <w:spacing w:before="10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图 1 HyperChE 检索问答流程</w:t>
      </w:r>
    </w:p>
    <w:p w14:paraId="43D7ADE6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图的定位：这是检索问答流程图，不是实验流程图。建议使用上下两条路径，区分离线知识库构建和在线查询。</w:t>
      </w:r>
    </w:p>
    <w:p w14:paraId="05E2F9A5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离线路径：化学文献 → 稳定文本块 → 化学事实抽取 → 实体与关系归一化 → measurement/condition 实例化 → 超边和源证据指针 → 实体索引与超边索引。</w:t>
      </w:r>
    </w:p>
    <w:p w14:paraId="56A04449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在线路径：用户问题 → 实体与超边检索 → Dense/BM25 混合 RRF → 关联事实扩展 → 映射回源文本块 → F0 直接排序或 F1 确定性重排 → Top-5 证据 → 带引用回答。</w:t>
      </w:r>
    </w:p>
    <w:p w14:paraId="59B385B2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图中要区分语义超图与存储结构：可以画实体节点、超边节点和它们的关联，但要说明二部图只是存储形式，超边仍然是完整事实的语义单元。</w:t>
      </w:r>
    </w:p>
    <w:p w14:paraId="24948AC4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EFU repair 关闭属于实验设置，不应画成在线检索步骤。</w:t>
      </w:r>
    </w:p>
    <w:p w14:paraId="61F66979">
      <w:pPr>
        <w:pStyle w:val="4"/>
        <w:spacing w:before="10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图 2 真实化工文本抽取示例</w:t>
      </w:r>
    </w:p>
    <w:p w14:paraId="1304E6ED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选择已经审计的真实化工事实，优先使用液流电池语料中的一段文本，不要手写不存在的数值、单位或材料名称。</w:t>
      </w:r>
    </w:p>
    <w:p w14:paraId="2ED6E5D6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左侧展示原始文本，并用颜色标出材料/体系、活性物种、膜或电极、操作条件、测量指标、衰减现象或机理、性能结果。</w:t>
      </w:r>
    </w:p>
    <w:p w14:paraId="699C8E17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中部展示若干二元关系，例如材料—使用—膜、体系—在条件下运行—操作条件、体系—达到—性能指标。</w:t>
      </w:r>
    </w:p>
    <w:p w14:paraId="37397A34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底部展示一个完整高阶超边，把材料、活性物种、膜/电极、条件、测量和结果绑定为同一个实验事实。每个关系旁边保留 source chunk ID 或 evidence span。</w:t>
      </w:r>
    </w:p>
    <w:p w14:paraId="70E2A53B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图的核心含义是说明超图保存的共同事实范围，而不是声称成对图完全不能表示这些局部关系。</w:t>
      </w:r>
    </w:p>
    <w:p w14:paraId="7FDDE312">
      <w:pPr>
        <w:pStyle w:val="4"/>
        <w:spacing w:before="10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图 3 普通图与化工超图的共同事实表示</w:t>
      </w:r>
    </w:p>
    <w:p w14:paraId="615A4458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使用同一组真实事实角色做左右对照，例如体系/设备、活性物种、电极、膜、操作条件和性能指标。</w:t>
      </w:r>
    </w:p>
    <w:p w14:paraId="67A8A674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左侧普通图拆成多条 pairwise 边：材料—电极、材料—膜、条件—指标、体系—性能。可以用虚线标出这些边需要额外组合规则才能恢复共同实验范围。</w:t>
      </w:r>
    </w:p>
    <w:p w14:paraId="208F3ABD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右侧用一个超边圈住同一组角色，并标注 operation、comparison 或 degradation 等事实类型。</w:t>
      </w:r>
    </w:p>
    <w:p w14:paraId="16726811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图注中要明确：这张图展示的是表示能力和事实范围，不代表超边抽取天然正确。</w:t>
      </w:r>
    </w:p>
    <w:p w14:paraId="6FC9EB44">
      <w:pPr>
        <w:pStyle w:val="4"/>
        <w:spacing w:before="10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图 4 五组主检索结果</w:t>
      </w:r>
    </w:p>
    <w:p w14:paraId="61054B74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保留当前已有的 main_results_four_metrics 图，展示 B0、B1、B2、F0、F1 五组。</w:t>
      </w:r>
    </w:p>
    <w:p w14:paraId="51CED268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指标为 Hit@5、MRR、shared gNDCG@5 和 Composite Fact Recall@5。CFR 必须保留，因为它直接支持完整高阶事实覆盖的结论。</w:t>
      </w:r>
    </w:p>
    <w:p w14:paraId="0EA1FA8F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图注中说明所有系统使用相同查询、共享 qrels 和共同 IDCG 评价视图。图中的差异是协议下的系统结果，不应写成单一组件的严格因果效果。</w:t>
      </w:r>
    </w:p>
    <w:p w14:paraId="2E8B43E6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图中不加入已废弃的文本块重排组和混合文本基线组。</w:t>
      </w:r>
    </w:p>
    <w:p w14:paraId="25711102">
      <w:pPr>
        <w:pStyle w:val="4"/>
        <w:spacing w:before="10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图 5 F0/F1 受控重排对比</w:t>
      </w:r>
    </w:p>
    <w:p w14:paraId="2E06D4DD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保留当前已有的 f0_f1_rerank_ablation 图。</w:t>
      </w:r>
    </w:p>
    <w:p w14:paraId="77E2BE56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图中明确写出：F0 和 F1 使用同一个 hybrid RRF top-50 候选池，唯一开关是确定性结构重排。</w:t>
      </w:r>
    </w:p>
    <w:p w14:paraId="5179001A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展示 Hit@5、MRR、gNDCG@5 和 CFR@5 的变化。重点说明重排带来有限的排序改善，但本次实验没有增加新的完整事实。</w:t>
      </w:r>
    </w:p>
    <w:p w14:paraId="6C1F68EA">
      <w:pPr>
        <w:pStyle w:val="16"/>
        <w:spacing w:before="0" w:after="40" w:line="259" w:lineRule="auto"/>
      </w:pPr>
      <w:r>
        <w:rPr>
          <w:rFonts w:ascii="Microsoft YaHei" w:hAnsi="Microsoft YaHei" w:eastAsia="Microsoft YaHei"/>
          <w:b w:val="0"/>
          <w:sz w:val="20"/>
        </w:rPr>
        <w:t>这张图支持“最终组的主要优势来自归一化表示与候选组织，重排主要负责顺序优化”的解释。</w:t>
      </w:r>
    </w:p>
    <w:p w14:paraId="58A2B383">
      <w:pPr>
        <w:pStyle w:val="3"/>
        <w:spacing w:before="16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三 可选图与不建议绘制的内容</w:t>
      </w:r>
    </w:p>
    <w:p w14:paraId="054DDDDB"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可选的第六幅图是一个真实 HyperChE QA 案例：上方放问题，中间放 Top-5 证据及材料、条件、测量和结果角色，下方放带引用的回答，并标出哪些内容得到直接证据支持。它必须使用真实 QA 输出，不能为了视觉效果重写一个更好的答案。</w:t>
      </w:r>
    </w:p>
    <w:p w14:paraId="645D650A"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原版 HyperGraphRAG 的多领域超图图、跨数据集图、多模型汇总图不适合直接移植到当前单一化工语料。构建成本、查询延迟、token 数量和存储开销只有在有完整审计数据时才画定量图；当前应在局限性中说明成本，而不是补画推测曲线。QA 由于服务条件存在差异，主文优先使用表格并披露协议，不建议制作容易造成完全可比印象的雷达图。</w:t>
      </w:r>
    </w:p>
    <w:p w14:paraId="2122C7BA">
      <w:pPr>
        <w:pStyle w:val="3"/>
        <w:spacing w:before="16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四 当前实验结果摘要</w:t>
      </w:r>
    </w:p>
    <w:p w14:paraId="25D86600"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数据规模：60 篇文档、1,328 个文本块、58 个检索问题、4,196 个共享 query–chunk 判定对、150 个人工接受的原子事实。Embedding 使用 Qwen/Qwen3-Embedding-4B，维度为 2,560；EFU repair 关闭。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4"/>
        <w:gridCol w:w="1224"/>
        <w:gridCol w:w="1224"/>
        <w:gridCol w:w="1800"/>
        <w:gridCol w:w="1224"/>
      </w:tblGrid>
      <w:tr w14:paraId="0A250FBB"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9BC43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A0BE3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Hit@5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0B28D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MRR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52D09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shared gNDCG@5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0BDF0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CFR@5</w:t>
            </w:r>
          </w:p>
        </w:tc>
      </w:tr>
      <w:tr w14:paraId="50198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F44AD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B0 原始超图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494CD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0.4828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3E059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0.2832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0FCAC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0.1779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790FB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0.0933</w:t>
            </w:r>
          </w:p>
        </w:tc>
      </w:tr>
      <w:tr w14:paraId="6B24F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84D52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B1 化学提示成对图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4F51A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0.6207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132F1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0.4091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8BEBD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0.3122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C3E30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0.3333</w:t>
            </w:r>
          </w:p>
        </w:tc>
      </w:tr>
      <w:tr w14:paraId="039E6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F7BF0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B2 化学提示超图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AEBC1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0.4483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7F440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0.3194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AF6E9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0.2329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35BC9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0.1600</w:t>
            </w:r>
          </w:p>
        </w:tc>
      </w:tr>
      <w:tr w14:paraId="2C973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AB424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F0 归一化超图 无重排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7C6E1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0.6552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8969B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0.4683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EE7D1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0.3842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9FD36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0.4267</w:t>
            </w:r>
          </w:p>
        </w:tc>
      </w:tr>
      <w:tr w14:paraId="13232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FEF97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F1 归一化最终超图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D86ED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0.6724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0A29C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0.4684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48559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0.3873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EE29B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0.4267</w:t>
            </w:r>
          </w:p>
        </w:tc>
      </w:tr>
    </w:tbl>
    <w:p w14:paraId="6A32BCEB">
      <w:pPr>
        <w:spacing w:after="0"/>
      </w:pPr>
    </w:p>
    <w:p w14:paraId="6D66DD0E"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F0 与 F1 使用相同的 hybrid RRF top-50 候选池。F1 相比 F0 的 Hit@5 提升为 1.72 个百分点，MRR 提升约 0.01 个百分点，shared gNDCG@5 提升 0.31 个百分点，CFR@5 不变。该结果表明重排主要改善顺序，当前完整事实覆盖的主要增益来自归一化和候选组织。</w:t>
      </w:r>
    </w:p>
    <w:p w14:paraId="603FF924">
      <w:pPr>
        <w:pStyle w:val="3"/>
        <w:spacing w:before="16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五 资料包结构</w:t>
      </w:r>
    </w:p>
    <w:p w14:paraId="22AD46C8"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本资料包按“绘图说明—实验结果—论文草稿—arXiv 源文件”组织。文件均为复制归档，源目录中的论文和实验文件没有被修改。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0"/>
        <w:gridCol w:w="2405"/>
        <w:gridCol w:w="2379"/>
      </w:tblGrid>
      <w:tr w14:paraId="6ACC0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54AD0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目录</w:t>
            </w:r>
          </w:p>
        </w:tc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64524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w="33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2658E"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 w14:paraId="52FAF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41A9C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01_figure_plan</w:t>
            </w:r>
          </w:p>
        </w:tc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7E104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HyperChE_论文绘图说明_v1.docx</w:t>
            </w:r>
          </w:p>
        </w:tc>
        <w:tc>
          <w:tcPr>
            <w:tcW w:w="33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532F5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本文件，包含主文图清单、绘制内容和数据要求</w:t>
            </w:r>
          </w:p>
        </w:tc>
      </w:tr>
      <w:tr w14:paraId="51FCB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29C91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02_experiment_results/paper_database_curated</w:t>
            </w:r>
          </w:p>
        </w:tc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87A84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01_protocol 至 07_manifest</w:t>
            </w:r>
          </w:p>
        </w:tc>
        <w:tc>
          <w:tcPr>
            <w:tcW w:w="33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2257D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实验协议、检索结果、CFR、QA、审计和数据字典</w:t>
            </w:r>
          </w:p>
        </w:tc>
      </w:tr>
      <w:tr w14:paraId="1CA99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D0766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02_experiment_results/raw_final_experiment_v1_old_embedding</w:t>
            </w:r>
          </w:p>
        </w:tc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8CBD3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完整原始实验目录</w:t>
            </w:r>
          </w:p>
        </w:tc>
        <w:tc>
          <w:tcPr>
            <w:tcW w:w="33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B2A3F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保留原始实验输出，便于追溯和复核</w:t>
            </w:r>
          </w:p>
        </w:tc>
      </w:tr>
      <w:tr w14:paraId="16E83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9A357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03_manuscript_drafts/english</w:t>
            </w:r>
          </w:p>
        </w:tc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9AEF7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09_drafts</w:t>
            </w:r>
          </w:p>
        </w:tc>
        <w:tc>
          <w:tcPr>
            <w:tcW w:w="33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D8AAB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英文分章节草稿和 master draft</w:t>
            </w:r>
          </w:p>
        </w:tc>
      </w:tr>
      <w:tr w14:paraId="7DC2F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E71E8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03_manuscript_drafts/chinese</w:t>
            </w:r>
          </w:p>
        </w:tc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EBF75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10_chinese_draft</w:t>
            </w:r>
          </w:p>
        </w:tc>
        <w:tc>
          <w:tcPr>
            <w:tcW w:w="33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9E7B5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中文主稿和中文附录</w:t>
            </w:r>
          </w:p>
        </w:tc>
      </w:tr>
      <w:tr w14:paraId="49E1B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8838A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04_arxiv_submission/source_package</w:t>
            </w:r>
          </w:p>
        </w:tc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70735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arxiv_submission_v1</w:t>
            </w:r>
          </w:p>
        </w:tc>
        <w:tc>
          <w:tcPr>
            <w:tcW w:w="33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62A3C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含主 tex、正文、references.bbl 和真实图文件</w:t>
            </w:r>
          </w:p>
        </w:tc>
      </w:tr>
      <w:tr w14:paraId="01E3C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2D418"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04_arxiv_submission/working_latex_source</w:t>
            </w:r>
          </w:p>
        </w:tc>
        <w:tc>
          <w:tcPr>
            <w:tcW w:w="30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85AB5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11_latex 的源文件、图脚本和 editorial 文件</w:t>
            </w:r>
          </w:p>
        </w:tc>
        <w:tc>
          <w:tcPr>
            <w:tcW w:w="33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892B6"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本地工作源，排除 aux/log/out/pdf 等编译产物</w:t>
            </w:r>
          </w:p>
        </w:tc>
      </w:tr>
    </w:tbl>
    <w:p w14:paraId="5EF42B87">
      <w:pPr>
        <w:pStyle w:val="16"/>
        <w:numPr>
          <w:numId w:val="0"/>
        </w:numPr>
        <w:spacing w:before="0" w:after="40" w:line="259" w:lineRule="auto"/>
        <w:ind w:leftChars="0"/>
      </w:pPr>
    </w:p>
    <w:sectPr>
      <w:footerReference r:id="rId5" w:type="default"/>
      <w:pgSz w:w="12240" w:h="15840"/>
      <w:pgMar w:top="1037" w:right="1123" w:bottom="979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B0802">
    <w:pPr>
      <w:pStyle w:val="24"/>
      <w:spacing w:before="60" w:after="0" w:line="240" w:lineRule="auto"/>
      <w:jc w:val="center"/>
    </w:pPr>
    <w:r>
      <w:rPr>
        <w:rFonts w:ascii="Microsoft YaHei" w:hAnsi="Microsoft YaHei" w:eastAsia="Microsoft YaHei"/>
        <w:b w:val="0"/>
        <w:color w:val="777777"/>
        <w:sz w:val="16"/>
      </w:rPr>
      <w:t>HyperChE Paper Package v1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94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2329</Words>
  <Characters>3386</Characters>
  <Lines>0</Lines>
  <Paragraphs>0</Paragraphs>
  <TotalTime>1</TotalTime>
  <ScaleCrop>false</ScaleCrop>
  <LinksUpToDate>false</LinksUpToDate>
  <CharactersWithSpaces>3605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HyperChE paper team</dc:creator>
  <dc:description>generated by python-docx</dc:description>
  <cp:lastModifiedBy>Fall Rain</cp:lastModifiedBy>
  <dcterms:modified xsi:type="dcterms:W3CDTF">2026-10-03T12:32:24Z</dcterms:modified>
  <dc:subject>HyperChE arXiv paper figure plan and archive inventory</dc:subject>
  <dc:title>HyperChE 论文绘图与资料包说明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eyJoZGlkIjoiMTE0Mzk3NmI3MzNhMzBlNWExYTJiNjk4MjFiODllNmQiLCJ1c2VySWQiOiIxNzMxNTA1NzQ1In0=</vt:lpwstr>
  </property>
  <property fmtid="{D5CDD505-2E9C-101B-9397-08002B2CF9AE}" pid="3" name="KSOProductBuildVer">
    <vt:lpwstr>2052-12.1.0.28505</vt:lpwstr>
  </property>
  <property fmtid="{D5CDD505-2E9C-101B-9397-08002B2CF9AE}" pid="4" name="ICV">
    <vt:lpwstr>8A47A926551644879CEE30D425462A30_12</vt:lpwstr>
  </property>
</Properties>
</file>