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embeddings/oleObject1.bin" ContentType="application/vnd.openxmlformats-officedocument.oleObject"/>
  <Override PartName="/word/media/image1.wmf" ContentType="image/x-wmf"/>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styles.xml" ContentType="application/vnd.openxmlformats-officedocument.wordprocessingml.styles+xml"/>
  <Override PartName="/word/footnotes.xml" ContentType="application/vnd.openxmlformats-officedocument.wordprocessingml.footnot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b/>
          <w:color w:val="3333FF"/>
          <w:sz w:val="24"/>
          <w:szCs w:val="28"/>
        </w:rPr>
      </w:pPr>
      <w:r>
        <w:rPr>
          <w:b/>
          <w:color w:val="3333FF"/>
          <w:sz w:val="24"/>
          <w:szCs w:val="28"/>
        </w:rPr>
        <w:t>说明：此“论文模板”是由多篇文章拼接而成，内容多有不连贯处，仅供投稿或修改稿的体例格式时参考。全文中，红色为对模板内容等的说明，请仔细阅读；黑色为稿件的正式内容，请根据所投稿件情况进行修改。</w:t>
      </w:r>
    </w:p>
    <w:p>
      <w:pPr>
        <w:pStyle w:val="Normal"/>
        <w:rPr>
          <w:color w:val="FF0000"/>
          <w:sz w:val="24"/>
          <w:szCs w:val="28"/>
        </w:rPr>
      </w:pPr>
      <w:r>
        <w:rPr>
          <w:color w:val="FF0000"/>
          <w:sz w:val="24"/>
          <w:szCs w:val="28"/>
        </w:rPr>
        <w:t>页面设置：纸张大小为</w:t>
      </w:r>
      <w:r>
        <w:rPr>
          <w:color w:val="FF0000"/>
          <w:sz w:val="24"/>
          <w:szCs w:val="28"/>
        </w:rPr>
        <w:t>A4</w:t>
      </w:r>
      <w:r>
        <w:rPr>
          <w:color w:val="FF0000"/>
          <w:sz w:val="24"/>
          <w:szCs w:val="28"/>
        </w:rPr>
        <w:t>，上页边距</w:t>
      </w:r>
      <w:r>
        <w:rPr>
          <w:color w:val="FF0000"/>
          <w:sz w:val="24"/>
          <w:szCs w:val="28"/>
        </w:rPr>
        <w:t>2.5</w:t>
      </w:r>
      <w:r>
        <w:rPr>
          <w:color w:val="FF0000"/>
          <w:sz w:val="24"/>
          <w:szCs w:val="28"/>
        </w:rPr>
        <w:t>厘米，下页边距</w:t>
      </w:r>
      <w:r>
        <w:rPr>
          <w:color w:val="FF0000"/>
          <w:sz w:val="24"/>
          <w:szCs w:val="28"/>
        </w:rPr>
        <w:t>2</w:t>
      </w:r>
      <w:r>
        <w:rPr>
          <w:color w:val="FF0000"/>
          <w:sz w:val="24"/>
          <w:szCs w:val="28"/>
        </w:rPr>
        <w:t>厘米，左右页边距</w:t>
      </w:r>
      <w:r>
        <w:rPr>
          <w:color w:val="FF0000"/>
          <w:sz w:val="24"/>
          <w:szCs w:val="28"/>
        </w:rPr>
        <w:t>2</w:t>
      </w:r>
      <w:r>
        <w:rPr>
          <w:color w:val="FF0000"/>
          <w:sz w:val="24"/>
          <w:szCs w:val="28"/>
        </w:rPr>
        <w:t>厘米；单栏，</w:t>
      </w:r>
      <w:r>
        <w:rPr>
          <w:color w:val="FF0000"/>
          <w:sz w:val="24"/>
          <w:szCs w:val="28"/>
        </w:rPr>
        <w:t>44</w:t>
      </w:r>
      <w:r>
        <w:rPr>
          <w:color w:val="FF0000"/>
          <w:sz w:val="24"/>
          <w:szCs w:val="28"/>
        </w:rPr>
        <w:t>行，每行</w:t>
      </w:r>
      <w:r>
        <w:rPr>
          <w:color w:val="FF0000"/>
          <w:sz w:val="24"/>
          <w:szCs w:val="28"/>
        </w:rPr>
        <w:t>46</w:t>
      </w:r>
      <w:r>
        <w:rPr>
          <w:color w:val="FF0000"/>
          <w:sz w:val="24"/>
          <w:szCs w:val="28"/>
        </w:rPr>
        <w:t>字，单倍行距；</w:t>
      </w:r>
      <w:r>
        <w:rPr>
          <w:b/>
          <w:color w:val="FF0000"/>
          <w:sz w:val="24"/>
          <w:szCs w:val="28"/>
        </w:rPr>
        <w:t>不需要排双栏；不需要页眉页脚。</w:t>
      </w:r>
    </w:p>
    <w:p>
      <w:pPr>
        <w:pStyle w:val="Normal"/>
        <w:rPr>
          <w:color w:val="FF0000"/>
          <w:sz w:val="24"/>
          <w:szCs w:val="28"/>
        </w:rPr>
      </w:pPr>
      <w:r>
        <w:rPr>
          <w:color w:val="FF0000"/>
          <w:sz w:val="24"/>
          <w:szCs w:val="28"/>
        </w:rPr>
        <w:t>注意各部分内容的字体、字号。本刊投稿及修改稿，字母及数字均建议使用</w:t>
      </w:r>
      <w:r>
        <w:rPr>
          <w:color w:val="FF0000"/>
          <w:sz w:val="24"/>
          <w:szCs w:val="28"/>
        </w:rPr>
        <w:t>Times New Roman</w:t>
      </w:r>
      <w:r>
        <w:rPr>
          <w:color w:val="FF0000"/>
          <w:sz w:val="24"/>
          <w:szCs w:val="28"/>
        </w:rPr>
        <w:t>。本刊常用字体为“宋体、黑体、仿宋、楷体、</w:t>
      </w:r>
      <w:r>
        <w:rPr>
          <w:color w:val="FF0000"/>
          <w:sz w:val="24"/>
          <w:szCs w:val="28"/>
        </w:rPr>
        <w:t>Times New Roman</w:t>
      </w:r>
      <w:r>
        <w:rPr>
          <w:rFonts w:cs="宋体;SimSun" w:ascii="宋体;SimSun" w:hAnsi="宋体;SimSun"/>
          <w:color w:val="FF0000"/>
          <w:sz w:val="24"/>
          <w:szCs w:val="28"/>
        </w:rPr>
        <w:t>”</w:t>
      </w:r>
      <w:r>
        <w:rPr>
          <w:color w:val="FF0000"/>
          <w:sz w:val="24"/>
          <w:szCs w:val="28"/>
        </w:rPr>
        <w:t>，其他字体请尽量不要使用。除特殊情况（矢量、矩阵等符号）外，字体均不要加粗。正式排版为方正飞翔排版，字体稍有不同。</w:t>
      </w:r>
    </w:p>
    <w:p>
      <w:pPr>
        <w:pStyle w:val="Normal"/>
        <w:rPr>
          <w:color w:val="FF0000"/>
          <w:sz w:val="24"/>
          <w:szCs w:val="28"/>
        </w:rPr>
      </w:pPr>
      <w:r>
        <w:rPr>
          <w:color w:val="FF0000"/>
          <w:sz w:val="24"/>
          <w:szCs w:val="28"/>
        </w:rPr>
        <w:t>图、表、公式全文统一编号，在正文叙述中出现“见图</w:t>
      </w:r>
      <w:r>
        <w:rPr>
          <w:color w:val="FF0000"/>
          <w:sz w:val="24"/>
          <w:szCs w:val="28"/>
        </w:rPr>
        <w:t>1</w:t>
      </w:r>
      <w:r>
        <w:rPr>
          <w:color w:val="FF0000"/>
          <w:sz w:val="24"/>
          <w:szCs w:val="28"/>
        </w:rPr>
        <w:t>、见表</w:t>
      </w:r>
      <w:r>
        <w:rPr>
          <w:color w:val="FF0000"/>
          <w:sz w:val="24"/>
          <w:szCs w:val="28"/>
        </w:rPr>
        <w:t>1</w:t>
      </w:r>
      <w:r>
        <w:rPr>
          <w:color w:val="FF0000"/>
          <w:sz w:val="24"/>
          <w:szCs w:val="28"/>
        </w:rPr>
        <w:t>、见式</w:t>
      </w:r>
      <w:r>
        <w:rPr>
          <w:color w:val="FF0000"/>
          <w:sz w:val="24"/>
          <w:szCs w:val="28"/>
        </w:rPr>
        <w:t>(1)</w:t>
      </w:r>
      <w:r>
        <w:rPr>
          <w:rFonts w:cs="宋体;SimSun" w:ascii="宋体;SimSun" w:hAnsi="宋体;SimSun"/>
          <w:color w:val="FF0000"/>
          <w:sz w:val="24"/>
          <w:szCs w:val="28"/>
        </w:rPr>
        <w:t>”</w:t>
      </w:r>
      <w:r>
        <w:rPr>
          <w:color w:val="FF0000"/>
          <w:sz w:val="24"/>
          <w:szCs w:val="28"/>
        </w:rPr>
        <w:t>等提示。图片、公式等非表格内容不要放在表格或文本框中，正文中插入方式为“嵌入型”、“无文字环绕”。图片去掉四周多余白边。</w:t>
      </w:r>
    </w:p>
    <w:p>
      <w:pPr>
        <w:pStyle w:val="Normal"/>
        <w:rPr>
          <w:color w:val="FF0000"/>
          <w:sz w:val="24"/>
          <w:szCs w:val="28"/>
        </w:rPr>
      </w:pPr>
      <w:r>
        <w:rPr>
          <w:color w:val="FF0000"/>
          <w:sz w:val="24"/>
          <w:szCs w:val="28"/>
        </w:rPr>
        <w:t>全文尽量不要或减少使用文本框、脚注、尾注、批注、分节符、超链接，等。避免排版时导入错误。</w:t>
      </w:r>
    </w:p>
    <w:p>
      <w:pPr>
        <w:pStyle w:val="Normal"/>
        <w:rPr>
          <w:b/>
          <w:b/>
          <w:color w:val="FF0000"/>
          <w:sz w:val="28"/>
          <w:szCs w:val="28"/>
        </w:rPr>
      </w:pPr>
      <w:r>
        <w:rPr>
          <w:b/>
          <w:color w:val="FF0000"/>
          <w:sz w:val="28"/>
          <w:szCs w:val="28"/>
        </w:rPr>
      </w:r>
    </w:p>
    <w:p>
      <w:pPr>
        <w:pStyle w:val="Normal"/>
        <w:tabs>
          <w:tab w:val="clear" w:pos="420"/>
          <w:tab w:val="left" w:pos="9638" w:leader="none"/>
        </w:tabs>
        <w:ind w:left="2" w:right="-21" w:hanging="0"/>
        <w:rPr>
          <w:rFonts w:ascii="黑体;SimHei" w:hAnsi="黑体;SimHei" w:eastAsia="黑体;SimHei" w:cs="黑体;SimHei"/>
          <w:sz w:val="32"/>
          <w:lang w:val="en-US" w:eastAsia="en-US"/>
        </w:rPr>
      </w:pPr>
      <w:r>
        <w:rPr>
          <w:rFonts w:ascii="黑体;SimHei" w:hAnsi="黑体;SimHei" w:cs="黑体;SimHei" w:eastAsia="黑体;SimHei"/>
          <w:sz w:val="32"/>
          <w:lang w:val="en-US" w:eastAsia="en-US"/>
        </w:rPr>
        <w:t>文章类型：综述与专论</w:t>
      </w:r>
      <w:r>
        <w:rPr>
          <w:rFonts w:ascii="宋体;SimSun" w:hAnsi="宋体;SimSun" w:cs="宋体;SimSun"/>
          <w:color w:val="FF0000"/>
          <w:sz w:val="32"/>
        </w:rPr>
        <w:t>或</w:t>
      </w:r>
      <w:r>
        <w:rPr>
          <w:rFonts w:ascii="黑体;SimHei" w:hAnsi="黑体;SimHei" w:cs="黑体;SimHei" w:eastAsia="黑体;SimHei"/>
          <w:sz w:val="32"/>
          <w:lang w:val="en-US" w:eastAsia="en-US"/>
        </w:rPr>
        <w:t>研究开发</w:t>
      </w:r>
      <w:r>
        <w:rPr>
          <w:rFonts w:ascii="宋体;SimSun" w:hAnsi="宋体;SimSun" w:cs="宋体;SimSun"/>
          <w:color w:val="FF0000"/>
          <w:sz w:val="32"/>
        </w:rPr>
        <w:t>或</w:t>
      </w:r>
      <w:r>
        <w:rPr>
          <w:rFonts w:ascii="黑体;SimHei" w:hAnsi="黑体;SimHei" w:cs="黑体;SimHei" w:eastAsia="黑体;SimHei"/>
          <w:sz w:val="32"/>
          <w:lang w:val="en-US" w:eastAsia="en-US"/>
        </w:rPr>
        <w:t>化工园区</w:t>
      </w:r>
      <w:r>
        <w:rPr>
          <w:rFonts w:ascii="宋体;SimSun" w:hAnsi="宋体;SimSun" w:cs="宋体;SimSun"/>
          <w:color w:val="FF0000"/>
          <w:sz w:val="32"/>
          <w:lang w:val="en-US" w:eastAsia="en-US"/>
        </w:rPr>
        <w:t>等</w:t>
      </w:r>
    </w:p>
    <w:p>
      <w:pPr>
        <w:pStyle w:val="Normal"/>
        <w:tabs>
          <w:tab w:val="clear" w:pos="420"/>
          <w:tab w:val="left" w:pos="9638" w:leader="none"/>
        </w:tabs>
        <w:ind w:left="2" w:right="-21" w:hanging="0"/>
        <w:rPr>
          <w:rFonts w:eastAsia="黑体;SimHei"/>
          <w:color w:val="000000"/>
          <w:spacing w:val="1"/>
          <w:szCs w:val="18"/>
        </w:rPr>
      </w:pPr>
      <w:r>
        <w:rPr>
          <w:rFonts w:eastAsia="黑体;SimHei"/>
          <w:b/>
          <w:color w:val="000000"/>
          <w:spacing w:val="1"/>
          <w:szCs w:val="18"/>
        </w:rPr>
        <w:t>DOI</w:t>
      </w:r>
      <w:r>
        <w:rPr>
          <w:rFonts w:eastAsia="黑体;SimHei"/>
          <w:color w:val="000000"/>
          <w:spacing w:val="1"/>
          <w:szCs w:val="18"/>
        </w:rPr>
        <w:t>：</w:t>
      </w:r>
      <w:r>
        <w:rPr>
          <w:rFonts w:eastAsia="黑体;SimHei"/>
          <w:color w:val="000000"/>
          <w:spacing w:val="1"/>
          <w:szCs w:val="18"/>
        </w:rPr>
        <w:t>10.16085/j.issn.1000</w:t>
      </w:r>
      <w:r>
        <w:rPr>
          <w:rFonts w:eastAsia="楷体;Microsoft YaHei"/>
          <w:color w:val="000000"/>
          <w:spacing w:val="1"/>
          <w:szCs w:val="18"/>
        </w:rPr>
        <w:t>-</w:t>
      </w:r>
      <w:r>
        <w:rPr>
          <w:rFonts w:eastAsia="黑体;SimHei"/>
          <w:color w:val="000000"/>
          <w:spacing w:val="1"/>
          <w:szCs w:val="18"/>
        </w:rPr>
        <w:t>6613</w:t>
      </w:r>
      <w:r>
        <w:rPr>
          <w:rFonts w:eastAsia="黑体;SimHei"/>
          <w:spacing w:val="1"/>
          <w:szCs w:val="18"/>
        </w:rPr>
        <w:t>.</w:t>
      </w:r>
      <w:r>
        <w:rPr>
          <w:rFonts w:eastAsia="黑体;SimHei"/>
          <w:color w:val="0C03BD"/>
          <w:spacing w:val="1"/>
          <w:szCs w:val="18"/>
        </w:rPr>
        <w:t>****-****</w:t>
      </w:r>
    </w:p>
    <w:p>
      <w:pPr>
        <w:pStyle w:val="Normal"/>
        <w:tabs>
          <w:tab w:val="clear" w:pos="420"/>
          <w:tab w:val="left" w:pos="1575" w:leader="none"/>
        </w:tabs>
        <w:rPr>
          <w:color w:val="FF0000"/>
          <w:szCs w:val="18"/>
        </w:rPr>
      </w:pPr>
      <w:r>
        <w:rPr>
          <w:color w:val="FF0000"/>
          <w:szCs w:val="18"/>
        </w:rPr>
        <w:t>文章类型选择其一，文字录入，不要使用图片。单占一行。</w:t>
      </w:r>
    </w:p>
    <w:p>
      <w:pPr>
        <w:pStyle w:val="Normal"/>
        <w:tabs>
          <w:tab w:val="clear" w:pos="420"/>
          <w:tab w:val="left" w:pos="1575" w:leader="none"/>
        </w:tabs>
        <w:rPr>
          <w:color w:val="FF0000"/>
          <w:szCs w:val="18"/>
        </w:rPr>
      </w:pPr>
      <w:r>
        <w:rPr>
          <w:b/>
          <w:color w:val="FF0000"/>
          <w:szCs w:val="18"/>
        </w:rPr>
        <w:t>DOI</w:t>
      </w:r>
      <w:r>
        <w:rPr>
          <w:color w:val="FF0000"/>
          <w:szCs w:val="18"/>
        </w:rPr>
        <w:t>号最</w:t>
      </w:r>
      <w:r>
        <w:rPr>
          <w:color w:val="FF0000"/>
          <w:szCs w:val="18"/>
        </w:rPr>
        <w:t>后</w:t>
      </w:r>
      <w:r>
        <w:rPr>
          <w:color w:val="FF0000"/>
          <w:szCs w:val="18"/>
        </w:rPr>
        <w:t>蓝色部分</w:t>
      </w:r>
      <w:r>
        <w:rPr>
          <w:rFonts w:eastAsia="黑体;SimHei"/>
          <w:color w:val="0C03BD"/>
          <w:spacing w:val="1"/>
          <w:szCs w:val="18"/>
        </w:rPr>
        <w:t>****-****</w:t>
      </w:r>
      <w:r>
        <w:rPr>
          <w:color w:val="FF0000"/>
          <w:szCs w:val="18"/>
        </w:rPr>
        <w:t>为稿件编号，初投稿不必填写，修改稿须填写。单占一行。</w:t>
      </w:r>
    </w:p>
    <w:p>
      <w:pPr>
        <w:pStyle w:val="Normal"/>
        <w:tabs>
          <w:tab w:val="clear" w:pos="420"/>
          <w:tab w:val="left" w:pos="1575" w:leader="none"/>
        </w:tabs>
        <w:rPr>
          <w:color w:val="FF0000"/>
          <w:szCs w:val="18"/>
        </w:rPr>
      </w:pPr>
      <w:r>
        <w:rPr>
          <w:color w:val="FF0000"/>
          <w:szCs w:val="18"/>
        </w:rPr>
      </w:r>
    </w:p>
    <w:p>
      <w:pPr>
        <w:pStyle w:val="Normal"/>
        <w:tabs>
          <w:tab w:val="clear" w:pos="420"/>
          <w:tab w:val="left" w:pos="5040" w:leader="none"/>
        </w:tabs>
        <w:jc w:val="center"/>
        <w:rPr>
          <w:rFonts w:ascii="KYGS;Times New Roman" w:hAnsi="KYGS;Times New Roman" w:eastAsia="黑体;SimHei" w:cs="KYGS;Times New Roman"/>
          <w:sz w:val="32"/>
          <w:szCs w:val="32"/>
        </w:rPr>
      </w:pPr>
      <w:bookmarkStart w:id="0" w:name="_Ref169600725"/>
      <w:bookmarkStart w:id="1" w:name="_Ref169600722"/>
      <w:bookmarkStart w:id="2" w:name="OLE_LINK12"/>
      <w:bookmarkStart w:id="3" w:name="_Ref170192067"/>
      <w:bookmarkEnd w:id="0"/>
      <w:bookmarkEnd w:id="1"/>
      <w:bookmarkEnd w:id="2"/>
      <w:bookmarkEnd w:id="3"/>
      <w:r>
        <w:rPr>
          <w:rFonts w:ascii="KYGS;Times New Roman" w:hAnsi="KYGS;Times New Roman" w:cs="KYGS;Times New Roman" w:eastAsia="黑体;SimHei"/>
          <w:sz w:val="32"/>
          <w:szCs w:val="32"/>
        </w:rPr>
        <w:t>气泡泵压降模型的分析与优化</w:t>
      </w:r>
      <w:r>
        <w:rPr>
          <w:rStyle w:val="FootnoteCharacters"/>
          <w:rStyle w:val="FootnoteAnchor"/>
          <w:rFonts w:ascii="KYGS;Times New Roman" w:hAnsi="KYGS;Times New Roman" w:cs="KYGS;Times New Roman" w:eastAsia="黑体;SimHei"/>
          <w:sz w:val="32"/>
          <w:szCs w:val="32"/>
        </w:rPr>
        <w:footnoteReference w:id="2"/>
      </w:r>
    </w:p>
    <w:p>
      <w:pPr>
        <w:pStyle w:val="Normal"/>
        <w:rPr>
          <w:color w:val="FF0000"/>
        </w:rPr>
      </w:pPr>
      <w:r>
        <w:rPr>
          <w:color w:val="FF0000"/>
        </w:rPr>
        <w:t>论文题目要精炼、醒目，去掉“研究”、“实验”、“综述”等字样，一般不超过</w:t>
      </w:r>
      <w:r>
        <w:rPr>
          <w:color w:val="FF0000"/>
        </w:rPr>
        <w:t>20</w:t>
      </w:r>
      <w:r>
        <w:rPr>
          <w:color w:val="FF0000"/>
        </w:rPr>
        <w:t>个字。</w:t>
      </w:r>
    </w:p>
    <w:p>
      <w:pPr>
        <w:pStyle w:val="Normal"/>
        <w:jc w:val="center"/>
        <w:rPr>
          <w:rFonts w:ascii="仿宋" w:hAnsi="仿宋" w:eastAsia="仿宋" w:cs="仿宋"/>
          <w:color w:val="FF0000"/>
          <w:szCs w:val="21"/>
        </w:rPr>
      </w:pPr>
      <w:r>
        <w:rPr>
          <w:rFonts w:eastAsia="仿宋" w:cs="仿宋" w:ascii="仿宋" w:hAnsi="仿宋"/>
          <w:color w:val="FF0000"/>
          <w:szCs w:val="21"/>
        </w:rPr>
      </w:r>
    </w:p>
    <w:p>
      <w:pPr>
        <w:pStyle w:val="Normal"/>
        <w:jc w:val="center"/>
        <w:rPr>
          <w:rFonts w:eastAsia="仿宋"/>
          <w:szCs w:val="21"/>
        </w:rPr>
      </w:pPr>
      <w:r>
        <w:rPr>
          <w:rFonts w:eastAsia="仿宋"/>
          <w:szCs w:val="21"/>
        </w:rPr>
        <w:t>陈新爱</w:t>
      </w:r>
      <w:r>
        <w:rPr>
          <w:rFonts w:eastAsia="仿宋"/>
          <w:szCs w:val="21"/>
          <w:vertAlign w:val="superscript"/>
        </w:rPr>
        <w:t>1</w:t>
      </w:r>
      <w:r>
        <w:rPr>
          <w:rFonts w:eastAsia="仿宋"/>
          <w:szCs w:val="21"/>
        </w:rPr>
        <w:t>，徐志南</w:t>
      </w:r>
      <w:r>
        <w:rPr>
          <w:rFonts w:eastAsia="仿宋"/>
          <w:szCs w:val="21"/>
          <w:vertAlign w:val="superscript"/>
        </w:rPr>
        <w:t>2</w:t>
      </w:r>
      <w:r>
        <w:rPr>
          <w:rFonts w:eastAsia="仿宋"/>
          <w:szCs w:val="21"/>
        </w:rPr>
        <w:t>，范梅</w:t>
      </w:r>
      <w:r>
        <w:rPr>
          <w:rFonts w:eastAsia="仿宋"/>
          <w:szCs w:val="21"/>
          <w:vertAlign w:val="superscript"/>
        </w:rPr>
        <w:t>1,2</w:t>
      </w:r>
      <w:r>
        <w:rPr>
          <w:rFonts w:eastAsia="仿宋"/>
          <w:szCs w:val="21"/>
        </w:rPr>
        <w:t>，岑沛霖</w:t>
      </w:r>
      <w:r>
        <w:rPr>
          <w:rFonts w:eastAsia="仿宋"/>
          <w:szCs w:val="21"/>
          <w:vertAlign w:val="superscript"/>
        </w:rPr>
        <w:t>2</w:t>
      </w:r>
    </w:p>
    <w:p>
      <w:pPr>
        <w:pStyle w:val="Normal"/>
        <w:tabs>
          <w:tab w:val="clear" w:pos="420"/>
          <w:tab w:val="left" w:pos="1575" w:leader="none"/>
        </w:tabs>
        <w:ind w:left="210" w:hanging="210"/>
        <w:jc w:val="center"/>
        <w:rPr>
          <w:sz w:val="18"/>
          <w:szCs w:val="18"/>
        </w:rPr>
      </w:pPr>
      <w:r>
        <w:rPr>
          <w:sz w:val="18"/>
          <w:szCs w:val="18"/>
        </w:rPr>
        <w:t>（</w:t>
      </w:r>
      <w:r>
        <w:rPr>
          <w:sz w:val="18"/>
          <w:szCs w:val="18"/>
          <w:vertAlign w:val="superscript"/>
        </w:rPr>
        <w:t>1</w:t>
      </w:r>
      <w:r>
        <w:rPr>
          <w:sz w:val="18"/>
          <w:szCs w:val="18"/>
        </w:rPr>
        <w:t>浙江大学生命科学学院，浙江</w:t>
      </w:r>
      <w:r>
        <w:rPr>
          <w:rFonts w:eastAsia="Times New Roman"/>
          <w:sz w:val="18"/>
          <w:szCs w:val="18"/>
        </w:rPr>
        <w:t xml:space="preserve"> </w:t>
      </w:r>
      <w:r>
        <w:rPr>
          <w:sz w:val="18"/>
          <w:szCs w:val="18"/>
        </w:rPr>
        <w:t>杭州</w:t>
      </w:r>
      <w:r>
        <w:rPr>
          <w:rFonts w:eastAsia="Times New Roman"/>
          <w:sz w:val="18"/>
          <w:szCs w:val="18"/>
        </w:rPr>
        <w:t xml:space="preserve"> </w:t>
      </w:r>
      <w:r>
        <w:rPr>
          <w:sz w:val="18"/>
          <w:szCs w:val="18"/>
        </w:rPr>
        <w:t>310029</w:t>
      </w:r>
      <w:r>
        <w:rPr>
          <w:sz w:val="18"/>
          <w:szCs w:val="18"/>
        </w:rPr>
        <w:t>；</w:t>
      </w:r>
      <w:r>
        <w:rPr>
          <w:sz w:val="18"/>
          <w:szCs w:val="18"/>
          <w:vertAlign w:val="superscript"/>
        </w:rPr>
        <w:t>2</w:t>
      </w:r>
      <w:r>
        <w:rPr>
          <w:sz w:val="18"/>
          <w:szCs w:val="18"/>
        </w:rPr>
        <w:t>清华大学生物工程研究所，北京</w:t>
      </w:r>
      <w:r>
        <w:rPr>
          <w:rFonts w:eastAsia="Times New Roman"/>
          <w:sz w:val="18"/>
          <w:szCs w:val="18"/>
        </w:rPr>
        <w:t xml:space="preserve"> </w:t>
      </w:r>
      <w:r>
        <w:rPr>
          <w:sz w:val="18"/>
          <w:szCs w:val="18"/>
        </w:rPr>
        <w:t>100084</w:t>
      </w:r>
      <w:r>
        <w:rPr>
          <w:sz w:val="18"/>
          <w:szCs w:val="18"/>
        </w:rPr>
        <w:t>）</w:t>
      </w:r>
    </w:p>
    <w:p>
      <w:pPr>
        <w:pStyle w:val="Normal"/>
        <w:tabs>
          <w:tab w:val="clear" w:pos="420"/>
          <w:tab w:val="left" w:pos="1575" w:leader="none"/>
        </w:tabs>
        <w:rPr>
          <w:color w:val="FF0000"/>
          <w:szCs w:val="18"/>
        </w:rPr>
      </w:pPr>
      <w:r>
        <w:rPr>
          <w:color w:val="FF0000"/>
        </w:rPr>
        <w:t>作者姓名之间用逗号隔开</w:t>
      </w:r>
      <w:r>
        <w:rPr>
          <w:color w:val="FF0000"/>
          <w:szCs w:val="18"/>
        </w:rPr>
        <w:t>；单位排在姓名之下，单位名称用全称，著录到二级单位，后接“，省</w:t>
      </w:r>
      <w:r>
        <w:rPr>
          <w:rFonts w:eastAsia="Times New Roman"/>
          <w:color w:val="FF0000"/>
          <w:szCs w:val="18"/>
        </w:rPr>
        <w:t xml:space="preserve"> </w:t>
      </w:r>
      <w:r>
        <w:rPr>
          <w:color w:val="FF0000"/>
          <w:szCs w:val="18"/>
        </w:rPr>
        <w:t>市</w:t>
      </w:r>
      <w:r>
        <w:rPr>
          <w:rFonts w:eastAsia="Times New Roman"/>
          <w:color w:val="FF0000"/>
          <w:szCs w:val="18"/>
        </w:rPr>
        <w:t xml:space="preserve"> </w:t>
      </w:r>
      <w:r>
        <w:rPr>
          <w:color w:val="FF0000"/>
          <w:szCs w:val="18"/>
        </w:rPr>
        <w:t>邮编”。</w:t>
      </w:r>
    </w:p>
    <w:p>
      <w:pPr>
        <w:pStyle w:val="Normal"/>
        <w:tabs>
          <w:tab w:val="clear" w:pos="420"/>
          <w:tab w:val="left" w:pos="1575" w:leader="none"/>
        </w:tabs>
        <w:rPr>
          <w:color w:val="FF0000"/>
          <w:szCs w:val="18"/>
        </w:rPr>
      </w:pPr>
      <w:r>
        <w:rPr>
          <w:color w:val="FF0000"/>
          <w:szCs w:val="18"/>
        </w:rPr>
      </w:r>
    </w:p>
    <w:p>
      <w:pPr>
        <w:pStyle w:val="Normal"/>
        <w:ind w:left="419" w:right="419" w:hanging="0"/>
        <w:rPr>
          <w:rFonts w:eastAsia="楷体;Microsoft YaHei"/>
          <w:spacing w:val="1"/>
          <w:sz w:val="18"/>
          <w:szCs w:val="18"/>
        </w:rPr>
      </w:pPr>
      <w:r>
        <w:rPr>
          <w:rFonts w:eastAsia="黑体;SimHei"/>
          <w:spacing w:val="1"/>
          <w:sz w:val="18"/>
          <w:szCs w:val="18"/>
        </w:rPr>
        <w:t>摘要：</w:t>
      </w:r>
      <w:r>
        <w:rPr>
          <w:rFonts w:eastAsia="楷体;Microsoft YaHei"/>
          <w:spacing w:val="1"/>
          <w:sz w:val="18"/>
          <w:szCs w:val="18"/>
        </w:rPr>
        <w:t>利用两相流理论建立了一维、稳态的气泡泵压降数学模型。对</w:t>
      </w:r>
      <w:r>
        <w:rPr>
          <w:rFonts w:eastAsia="楷体;Microsoft YaHei"/>
          <w:spacing w:val="1"/>
          <w:sz w:val="18"/>
          <w:szCs w:val="18"/>
        </w:rPr>
        <w:t>3</w:t>
      </w:r>
      <w:r>
        <w:rPr>
          <w:rFonts w:eastAsia="楷体;Microsoft YaHei"/>
          <w:spacing w:val="1"/>
          <w:sz w:val="18"/>
          <w:szCs w:val="18"/>
        </w:rPr>
        <w:t>种均相流压降模型和</w:t>
      </w:r>
      <w:r>
        <w:rPr>
          <w:rFonts w:eastAsia="楷体;Microsoft YaHei"/>
          <w:spacing w:val="1"/>
          <w:sz w:val="18"/>
          <w:szCs w:val="18"/>
        </w:rPr>
        <w:t>15</w:t>
      </w:r>
      <w:r>
        <w:rPr>
          <w:rFonts w:eastAsia="楷体;Microsoft YaHei"/>
          <w:spacing w:val="1"/>
          <w:sz w:val="18"/>
          <w:szCs w:val="18"/>
        </w:rPr>
        <w:t>种分相流压降模型（</w:t>
      </w:r>
      <w:r>
        <w:rPr>
          <w:rFonts w:eastAsia="楷体;Microsoft YaHei"/>
          <w:spacing w:val="1"/>
          <w:sz w:val="18"/>
          <w:szCs w:val="18"/>
        </w:rPr>
        <w:t>3</w:t>
      </w:r>
      <w:r>
        <w:rPr>
          <w:rFonts w:eastAsia="楷体;Microsoft YaHei"/>
          <w:spacing w:val="1"/>
          <w:sz w:val="18"/>
          <w:szCs w:val="18"/>
        </w:rPr>
        <w:t>种分相流摩阻压降模型与</w:t>
      </w:r>
      <w:r>
        <w:rPr>
          <w:rFonts w:eastAsia="楷体;Microsoft YaHei"/>
          <w:spacing w:val="1"/>
          <w:sz w:val="18"/>
          <w:szCs w:val="18"/>
        </w:rPr>
        <w:t>5</w:t>
      </w:r>
      <w:r>
        <w:rPr>
          <w:rFonts w:eastAsia="楷体;Microsoft YaHei"/>
          <w:spacing w:val="1"/>
          <w:sz w:val="18"/>
          <w:szCs w:val="18"/>
        </w:rPr>
        <w:t>种截面含气率模型结合）进行了模拟计算，然后结合以饱和水为工质的气泡泵的实验数据，对理论值与实验值进行对比分析。结果表明：</w:t>
      </w:r>
      <w:r>
        <w:rPr>
          <w:rFonts w:eastAsia="楷体;Microsoft YaHei"/>
          <w:spacing w:val="1"/>
          <w:sz w:val="18"/>
          <w:szCs w:val="18"/>
        </w:rPr>
        <w:t>Friedel</w:t>
      </w:r>
      <w:r>
        <w:rPr>
          <w:rFonts w:eastAsia="楷体;Microsoft YaHei"/>
          <w:spacing w:val="1"/>
          <w:sz w:val="18"/>
          <w:szCs w:val="18"/>
        </w:rPr>
        <w:t>摩阻压降模型结合</w:t>
      </w:r>
      <w:r>
        <w:rPr>
          <w:rFonts w:eastAsia="楷体;Microsoft YaHei"/>
          <w:spacing w:val="1"/>
          <w:sz w:val="18"/>
          <w:szCs w:val="18"/>
        </w:rPr>
        <w:t>Zuber</w:t>
      </w:r>
      <w:r>
        <w:rPr>
          <w:rFonts w:eastAsia="楷体;Microsoft YaHei"/>
          <w:spacing w:val="1"/>
          <w:sz w:val="18"/>
          <w:szCs w:val="18"/>
        </w:rPr>
        <w:t>截面含气率模型的分相流压降模型的模拟精度最高，适用性最好。在选用该模型模拟气泡泵液体提升量随加热功率变化的流动特性时，发现理论值与实验值在一定加热功率范围内吻合很好，然而超过此范围，实验值与理论值的之差越来越大。因此提出了对气泡泵理论模型进行分段优化，结果表明：在低加热功率工况下模拟精度最高的是</w:t>
      </w:r>
      <w:r>
        <w:rPr>
          <w:rFonts w:eastAsia="楷体;Microsoft YaHei"/>
          <w:spacing w:val="1"/>
          <w:sz w:val="18"/>
          <w:szCs w:val="18"/>
        </w:rPr>
        <w:t>M-S</w:t>
      </w:r>
      <w:r>
        <w:rPr>
          <w:rFonts w:eastAsia="楷体;Microsoft YaHei"/>
          <w:spacing w:val="1"/>
          <w:sz w:val="18"/>
          <w:szCs w:val="18"/>
        </w:rPr>
        <w:t>分相流模型结合</w:t>
      </w:r>
      <w:r>
        <w:rPr>
          <w:rFonts w:eastAsia="楷体;Microsoft YaHei"/>
          <w:spacing w:val="1"/>
          <w:sz w:val="18"/>
          <w:szCs w:val="18"/>
        </w:rPr>
        <w:t>Tom</w:t>
      </w:r>
      <w:r>
        <w:rPr>
          <w:rFonts w:eastAsia="楷体;Microsoft YaHei"/>
          <w:spacing w:val="1"/>
          <w:sz w:val="18"/>
          <w:szCs w:val="18"/>
        </w:rPr>
        <w:t>变密度截面含气率模型，在高加热功率工况下模拟精度最高的是</w:t>
      </w:r>
      <w:r>
        <w:rPr>
          <w:rFonts w:eastAsia="楷体;Microsoft YaHei"/>
          <w:spacing w:val="1"/>
          <w:sz w:val="18"/>
          <w:szCs w:val="18"/>
        </w:rPr>
        <w:t>Dukler</w:t>
      </w:r>
      <w:r>
        <w:rPr>
          <w:rFonts w:eastAsia="楷体;Microsoft YaHei"/>
          <w:spacing w:val="1"/>
          <w:sz w:val="18"/>
          <w:szCs w:val="18"/>
        </w:rPr>
        <w:t>均相流摩阻压降模型。因此分段优化气泡泵理论模型的方法具有较高的可信性。</w:t>
      </w:r>
    </w:p>
    <w:p>
      <w:pPr>
        <w:pStyle w:val="Normal"/>
        <w:ind w:left="419" w:right="419" w:hanging="0"/>
        <w:rPr>
          <w:rFonts w:eastAsia="楷体;Microsoft YaHei"/>
          <w:spacing w:val="1"/>
          <w:sz w:val="18"/>
          <w:szCs w:val="18"/>
        </w:rPr>
      </w:pPr>
      <w:r>
        <w:rPr>
          <w:rFonts w:eastAsia="黑体;SimHei"/>
          <w:spacing w:val="1"/>
          <w:sz w:val="18"/>
          <w:szCs w:val="18"/>
        </w:rPr>
        <w:t>关键词</w:t>
      </w:r>
      <w:r>
        <w:rPr>
          <w:rFonts w:eastAsia="楷体;Microsoft YaHei"/>
          <w:spacing w:val="1"/>
          <w:sz w:val="18"/>
          <w:szCs w:val="18"/>
        </w:rPr>
        <w:t>：单压吸收式制冷；泵；两相流；模型；优化</w:t>
      </w:r>
    </w:p>
    <w:p>
      <w:pPr>
        <w:pStyle w:val="Normal"/>
        <w:ind w:left="419" w:right="419" w:hanging="0"/>
        <w:rPr>
          <w:color w:val="000000"/>
          <w:spacing w:val="1"/>
          <w:sz w:val="18"/>
          <w:szCs w:val="18"/>
        </w:rPr>
      </w:pPr>
      <w:r>
        <w:rPr>
          <w:rFonts w:eastAsia="黑体;SimHei"/>
          <w:spacing w:val="1"/>
          <w:kern w:val="0"/>
          <w:sz w:val="18"/>
          <w:szCs w:val="18"/>
        </w:rPr>
        <w:t>中图分类号：</w:t>
      </w:r>
      <w:r>
        <w:rPr>
          <w:rFonts w:eastAsia="Times New Roman"/>
          <w:spacing w:val="1"/>
          <w:kern w:val="0"/>
          <w:sz w:val="18"/>
          <w:szCs w:val="18"/>
        </w:rPr>
        <w:t xml:space="preserve">    </w:t>
      </w:r>
      <w:r>
        <w:rPr>
          <w:rFonts w:eastAsia="Times New Roman"/>
          <w:spacing w:val="1"/>
          <w:sz w:val="18"/>
          <w:szCs w:val="18"/>
        </w:rPr>
        <w:t xml:space="preserve">      </w:t>
      </w:r>
      <w:r>
        <w:rPr>
          <w:rFonts w:eastAsia="黑体;SimHei"/>
          <w:spacing w:val="1"/>
          <w:sz w:val="18"/>
          <w:szCs w:val="18"/>
        </w:rPr>
        <w:t>文献标志码：</w:t>
      </w:r>
      <w:r>
        <w:rPr>
          <w:rFonts w:eastAsia="楷体;Microsoft YaHei"/>
          <w:spacing w:val="1"/>
          <w:sz w:val="18"/>
          <w:szCs w:val="18"/>
        </w:rPr>
        <w:t xml:space="preserve">A     </w:t>
      </w:r>
      <w:r>
        <w:rPr>
          <w:rFonts w:eastAsia="黑体;SimHei"/>
          <w:spacing w:val="1"/>
          <w:sz w:val="18"/>
          <w:szCs w:val="18"/>
        </w:rPr>
        <w:t xml:space="preserve"> </w:t>
      </w:r>
      <w:r>
        <w:rPr>
          <w:rFonts w:eastAsia="黑体;SimHei"/>
          <w:spacing w:val="1"/>
          <w:sz w:val="18"/>
          <w:szCs w:val="18"/>
        </w:rPr>
        <w:t>文章编号：</w:t>
      </w:r>
    </w:p>
    <w:p>
      <w:pPr>
        <w:pStyle w:val="Normal"/>
        <w:tabs>
          <w:tab w:val="clear" w:pos="420"/>
          <w:tab w:val="left" w:pos="1575" w:leader="none"/>
        </w:tabs>
        <w:rPr>
          <w:color w:val="FF0000"/>
          <w:szCs w:val="18"/>
        </w:rPr>
      </w:pPr>
      <w:r>
        <w:rPr>
          <w:b/>
          <w:color w:val="FF0000"/>
          <w:szCs w:val="18"/>
        </w:rPr>
        <w:t>摘要</w:t>
      </w:r>
      <w:r>
        <w:rPr>
          <w:color w:val="FF0000"/>
          <w:szCs w:val="18"/>
        </w:rPr>
        <w:t>（不用“提要”）中一般不出现公式，首句一般去掉“本文”字样，不使用第一人称，不出现参考文献序号。综述</w:t>
      </w:r>
      <w:r>
        <w:rPr>
          <w:color w:val="FF0000"/>
          <w:szCs w:val="18"/>
        </w:rPr>
        <w:t>文章要写出文章的主要</w:t>
      </w:r>
      <w:r>
        <w:rPr>
          <w:color w:val="FF0000"/>
          <w:szCs w:val="18"/>
        </w:rPr>
        <w:t>内容</w:t>
      </w:r>
      <w:r>
        <w:rPr>
          <w:color w:val="FF0000"/>
          <w:szCs w:val="18"/>
        </w:rPr>
        <w:t>和观点，</w:t>
      </w:r>
      <w:r>
        <w:rPr>
          <w:color w:val="FF0000"/>
          <w:szCs w:val="18"/>
        </w:rPr>
        <w:t>背景介绍少写或不写，</w:t>
      </w:r>
      <w:r>
        <w:rPr>
          <w:color w:val="FF0000"/>
          <w:szCs w:val="18"/>
        </w:rPr>
        <w:t>展</w:t>
      </w:r>
      <w:r>
        <w:rPr>
          <w:color w:val="FF0000"/>
          <w:szCs w:val="18"/>
        </w:rPr>
        <w:t>望</w:t>
      </w:r>
      <w:r>
        <w:rPr>
          <w:color w:val="FF0000"/>
          <w:szCs w:val="18"/>
        </w:rPr>
        <w:t>和综述要有具体内容（</w:t>
      </w:r>
      <w:r>
        <w:rPr>
          <w:color w:val="FF0000"/>
          <w:szCs w:val="18"/>
        </w:rPr>
        <w:t>参见本刊</w:t>
      </w:r>
      <w:r>
        <w:rPr>
          <w:color w:val="FF0000"/>
          <w:szCs w:val="18"/>
        </w:rPr>
        <w:t>网站</w:t>
      </w:r>
      <w:r>
        <w:rPr>
          <w:color w:val="FF0000"/>
          <w:szCs w:val="18"/>
        </w:rPr>
        <w:t>“研究性文章、综述性</w:t>
      </w:r>
      <w:r>
        <w:rPr>
          <w:color w:val="FF0000"/>
          <w:szCs w:val="18"/>
        </w:rPr>
        <w:t>文章摘要的写法</w:t>
      </w:r>
      <w:r>
        <w:rPr>
          <w:color w:val="FF0000"/>
          <w:szCs w:val="18"/>
        </w:rPr>
        <w:t>”</w:t>
      </w:r>
      <w:r>
        <w:rPr>
          <w:color w:val="FF0000"/>
          <w:szCs w:val="18"/>
        </w:rPr>
        <w:t>）</w:t>
      </w:r>
      <w:r>
        <w:rPr>
          <w:color w:val="FF0000"/>
          <w:szCs w:val="18"/>
        </w:rPr>
        <w:t>。中文摘要应在</w:t>
      </w:r>
      <w:r>
        <w:rPr>
          <w:color w:val="FF0000"/>
          <w:szCs w:val="18"/>
        </w:rPr>
        <w:t>300</w:t>
      </w:r>
      <w:r>
        <w:rPr>
          <w:color w:val="FF0000"/>
          <w:szCs w:val="18"/>
        </w:rPr>
        <w:t>字以上。注意摘要、前言、结论（结语）相互的区别，不要重复。</w:t>
      </w:r>
    </w:p>
    <w:p>
      <w:pPr>
        <w:pStyle w:val="Normal"/>
        <w:tabs>
          <w:tab w:val="clear" w:pos="420"/>
          <w:tab w:val="left" w:pos="1575" w:leader="none"/>
        </w:tabs>
        <w:rPr>
          <w:color w:val="FF0000"/>
          <w:szCs w:val="18"/>
        </w:rPr>
      </w:pPr>
      <w:r>
        <w:rPr>
          <w:b/>
          <w:color w:val="FF0000"/>
          <w:szCs w:val="18"/>
        </w:rPr>
        <w:t>关键词</w:t>
      </w:r>
      <w:r>
        <w:rPr>
          <w:color w:val="FF0000"/>
          <w:szCs w:val="18"/>
        </w:rPr>
        <w:t>尽量选用《</w:t>
      </w:r>
      <w:r>
        <w:rPr>
          <w:color w:val="FF0000"/>
          <w:szCs w:val="18"/>
        </w:rPr>
        <w:t>化工进展</w:t>
      </w:r>
      <w:r>
        <w:rPr>
          <w:color w:val="FF0000"/>
          <w:szCs w:val="18"/>
        </w:rPr>
        <w:t>》</w:t>
      </w:r>
      <w:r>
        <w:rPr>
          <w:color w:val="FF0000"/>
          <w:szCs w:val="18"/>
        </w:rPr>
        <w:t>标准</w:t>
      </w:r>
      <w:r>
        <w:rPr>
          <w:color w:val="FF0000"/>
          <w:szCs w:val="18"/>
        </w:rPr>
        <w:t>关键词表中提供的规范词</w:t>
      </w:r>
      <w:r>
        <w:rPr>
          <w:color w:val="FF0000"/>
          <w:szCs w:val="18"/>
        </w:rPr>
        <w:t>，一般列</w:t>
      </w:r>
      <w:r>
        <w:rPr>
          <w:color w:val="FF0000"/>
          <w:szCs w:val="18"/>
        </w:rPr>
        <w:t>3</w:t>
      </w:r>
      <w:r>
        <w:rPr>
          <w:color w:val="FF0000"/>
          <w:szCs w:val="18"/>
        </w:rPr>
        <w:t>～</w:t>
      </w:r>
      <w:r>
        <w:rPr>
          <w:color w:val="FF0000"/>
          <w:szCs w:val="18"/>
        </w:rPr>
        <w:t>8</w:t>
      </w:r>
      <w:r>
        <w:rPr>
          <w:color w:val="FF0000"/>
          <w:szCs w:val="18"/>
        </w:rPr>
        <w:t>个关键词</w:t>
      </w:r>
      <w:r>
        <w:rPr>
          <w:color w:val="FF0000"/>
          <w:szCs w:val="18"/>
        </w:rPr>
        <w:t>，尽量</w:t>
      </w:r>
      <w:r>
        <w:rPr>
          <w:bCs/>
          <w:color w:val="FF0000"/>
          <w:szCs w:val="18"/>
        </w:rPr>
        <w:t>至少从《化工</w:t>
      </w:r>
      <w:r>
        <w:rPr>
          <w:bCs/>
          <w:color w:val="FF0000"/>
          <w:szCs w:val="18"/>
        </w:rPr>
        <w:t>进展</w:t>
      </w:r>
      <w:r>
        <w:rPr>
          <w:bCs/>
          <w:color w:val="FF0000"/>
          <w:szCs w:val="18"/>
        </w:rPr>
        <w:t>》标准关键词库中选取</w:t>
      </w:r>
      <w:r>
        <w:rPr>
          <w:bCs/>
          <w:color w:val="FF0000"/>
          <w:szCs w:val="18"/>
        </w:rPr>
        <w:t>3</w:t>
      </w:r>
      <w:r>
        <w:rPr>
          <w:bCs/>
          <w:color w:val="FF0000"/>
          <w:szCs w:val="18"/>
        </w:rPr>
        <w:t>个标准关键词</w:t>
      </w:r>
      <w:r>
        <w:rPr>
          <w:bCs/>
          <w:color w:val="FF0000"/>
          <w:szCs w:val="18"/>
        </w:rPr>
        <w:t>，</w:t>
      </w:r>
      <w:r>
        <w:rPr>
          <w:color w:val="FF0000"/>
          <w:szCs w:val="18"/>
        </w:rPr>
        <w:t>词间加分号。</w:t>
      </w:r>
    </w:p>
    <w:p>
      <w:pPr>
        <w:pStyle w:val="Normal"/>
        <w:tabs>
          <w:tab w:val="clear" w:pos="420"/>
          <w:tab w:val="left" w:pos="1575" w:leader="none"/>
        </w:tabs>
        <w:rPr>
          <w:color w:val="FF0000"/>
          <w:szCs w:val="18"/>
        </w:rPr>
      </w:pPr>
      <w:r>
        <w:rPr>
          <w:color w:val="FF0000"/>
          <w:szCs w:val="18"/>
        </w:rPr>
        <w:t>中图分类号按《中国图书馆分类法》确定，化学工程</w:t>
      </w:r>
      <w:r>
        <w:rPr>
          <w:color w:val="FF0000"/>
          <w:szCs w:val="18"/>
        </w:rPr>
        <w:t>领域</w:t>
      </w:r>
      <w:r>
        <w:rPr>
          <w:color w:val="FF0000"/>
          <w:szCs w:val="18"/>
        </w:rPr>
        <w:t>一般入</w:t>
      </w:r>
      <w:r>
        <w:rPr>
          <w:b/>
          <w:color w:val="FF0000"/>
          <w:szCs w:val="18"/>
        </w:rPr>
        <w:t>TQ</w:t>
      </w:r>
      <w:r>
        <w:rPr>
          <w:b/>
          <w:color w:val="FF0000"/>
          <w:szCs w:val="18"/>
        </w:rPr>
        <w:t>类别，</w:t>
      </w:r>
      <w:r>
        <w:rPr>
          <w:color w:val="FF0000"/>
          <w:szCs w:val="18"/>
        </w:rPr>
        <w:t>如有相关可列出多个。文献标志码统一为</w:t>
      </w:r>
      <w:r>
        <w:rPr>
          <w:color w:val="FF0000"/>
          <w:szCs w:val="18"/>
        </w:rPr>
        <w:t>A</w:t>
      </w:r>
      <w:r>
        <w:rPr>
          <w:color w:val="FF0000"/>
          <w:szCs w:val="18"/>
        </w:rPr>
        <w:t>。文章编号作者不需填写。</w:t>
      </w:r>
    </w:p>
    <w:p>
      <w:pPr>
        <w:pStyle w:val="Normal"/>
        <w:jc w:val="left"/>
        <w:rPr>
          <w:color w:val="000000"/>
          <w:sz w:val="15"/>
          <w:szCs w:val="15"/>
        </w:rPr>
      </w:pPr>
      <w:r>
        <w:rPr>
          <w:color w:val="000000"/>
          <w:sz w:val="15"/>
          <w:szCs w:val="15"/>
        </w:rPr>
      </w:r>
      <w:bookmarkStart w:id="4" w:name="_Ref169600725"/>
      <w:bookmarkStart w:id="5" w:name="_Ref169600722"/>
      <w:bookmarkStart w:id="6" w:name="OLE_LINK12"/>
      <w:bookmarkStart w:id="7" w:name="_Ref170192067"/>
      <w:bookmarkStart w:id="8" w:name="_Ref169600725"/>
      <w:bookmarkStart w:id="9" w:name="_Ref169600722"/>
      <w:bookmarkStart w:id="10" w:name="OLE_LINK12"/>
      <w:bookmarkStart w:id="11" w:name="_Ref170192067"/>
      <w:bookmarkEnd w:id="8"/>
      <w:bookmarkEnd w:id="9"/>
      <w:bookmarkEnd w:id="10"/>
      <w:bookmarkEnd w:id="11"/>
    </w:p>
    <w:p>
      <w:pPr>
        <w:pStyle w:val="Normal"/>
        <w:ind w:left="419" w:right="419" w:hanging="0"/>
        <w:jc w:val="center"/>
        <w:rPr>
          <w:rFonts w:eastAsia="Times New Roman"/>
          <w:b/>
          <w:b/>
          <w:sz w:val="28"/>
          <w:szCs w:val="28"/>
        </w:rPr>
      </w:pPr>
      <w:r>
        <w:rPr>
          <w:rFonts w:eastAsia="Times New Roman"/>
          <w:b/>
          <w:sz w:val="28"/>
          <w:szCs w:val="28"/>
        </w:rPr>
        <w:t>Analysis and optimization of bubble pump pressure drop model</w:t>
      </w:r>
    </w:p>
    <w:p>
      <w:pPr>
        <w:pStyle w:val="Normal"/>
        <w:rPr>
          <w:bCs/>
          <w:iCs/>
          <w:color w:val="FF0000"/>
        </w:rPr>
      </w:pPr>
      <w:r>
        <w:rPr>
          <w:bCs/>
          <w:iCs/>
          <w:color w:val="FF0000"/>
        </w:rPr>
        <w:t>英文题目与中文题目对应，略去题目中的冠词，去掉“</w:t>
      </w:r>
      <w:r>
        <w:rPr>
          <w:bCs/>
          <w:iCs/>
          <w:color w:val="FF0000"/>
        </w:rPr>
        <w:t>Study on</w:t>
      </w:r>
      <w:r>
        <w:rPr>
          <w:rFonts w:cs="宋体;SimSun" w:ascii="宋体;SimSun" w:hAnsi="宋体;SimSun"/>
          <w:bCs/>
          <w:iCs/>
          <w:color w:val="FF0000"/>
        </w:rPr>
        <w:t>”</w:t>
      </w:r>
      <w:r>
        <w:rPr>
          <w:bCs/>
          <w:iCs/>
          <w:color w:val="FF0000"/>
        </w:rPr>
        <w:t>等字样。</w:t>
      </w:r>
    </w:p>
    <w:p>
      <w:pPr>
        <w:pStyle w:val="Normal"/>
        <w:ind w:right="501" w:hanging="0"/>
        <w:jc w:val="center"/>
        <w:rPr>
          <w:bCs/>
          <w:iCs/>
          <w:color w:val="FF0000"/>
        </w:rPr>
      </w:pPr>
      <w:r>
        <w:rPr>
          <w:bCs/>
          <w:iCs/>
          <w:color w:val="FF0000"/>
        </w:rPr>
      </w:r>
    </w:p>
    <w:p>
      <w:pPr>
        <w:pStyle w:val="Normal"/>
        <w:ind w:right="501" w:hanging="0"/>
        <w:jc w:val="center"/>
        <w:rPr>
          <w:bCs/>
        </w:rPr>
      </w:pPr>
      <w:r>
        <w:rPr>
          <w:bCs/>
          <w:i/>
        </w:rPr>
        <w:t>C</w:t>
      </w:r>
      <w:r>
        <w:rPr>
          <w:bCs/>
          <w:i/>
        </w:rPr>
        <w:t xml:space="preserve">HEN </w:t>
      </w:r>
      <w:r>
        <w:rPr>
          <w:bCs/>
          <w:i/>
        </w:rPr>
        <w:t>Xin</w:t>
      </w:r>
      <w:r>
        <w:rPr>
          <w:bCs/>
        </w:rPr>
        <w:t>’</w:t>
      </w:r>
      <w:r>
        <w:rPr>
          <w:bCs/>
          <w:i/>
        </w:rPr>
        <w:t>ai</w:t>
      </w:r>
      <w:r>
        <w:rPr>
          <w:bCs/>
          <w:vertAlign w:val="superscript"/>
        </w:rPr>
        <w:t>1</w:t>
      </w:r>
      <w:r>
        <w:rPr>
          <w:bCs/>
        </w:rPr>
        <w:t xml:space="preserve">, </w:t>
      </w:r>
      <w:r>
        <w:rPr>
          <w:bCs/>
          <w:i/>
        </w:rPr>
        <w:t>X</w:t>
      </w:r>
      <w:r>
        <w:rPr>
          <w:bCs/>
          <w:i/>
        </w:rPr>
        <w:t>U</w:t>
      </w:r>
      <w:r>
        <w:rPr>
          <w:bCs/>
          <w:i/>
        </w:rPr>
        <w:t xml:space="preserve"> Zhinan</w:t>
      </w:r>
      <w:r>
        <w:rPr>
          <w:bCs/>
          <w:vertAlign w:val="superscript"/>
        </w:rPr>
        <w:t>2</w:t>
      </w:r>
      <w:r>
        <w:rPr>
          <w:bCs/>
        </w:rPr>
        <w:t xml:space="preserve">, </w:t>
      </w:r>
      <w:r>
        <w:rPr>
          <w:bCs/>
          <w:i/>
        </w:rPr>
        <w:t>FAN Mei</w:t>
      </w:r>
      <w:r>
        <w:rPr>
          <w:bCs/>
          <w:vertAlign w:val="superscript"/>
        </w:rPr>
        <w:t>1</w:t>
      </w:r>
      <w:r>
        <w:rPr>
          <w:bCs/>
          <w:vertAlign w:val="superscript"/>
        </w:rPr>
        <w:t>,2</w:t>
      </w:r>
      <w:r>
        <w:rPr>
          <w:bCs/>
        </w:rPr>
        <w:t xml:space="preserve">, </w:t>
      </w:r>
      <w:r>
        <w:rPr>
          <w:bCs/>
          <w:i/>
        </w:rPr>
        <w:t>C</w:t>
      </w:r>
      <w:r>
        <w:rPr>
          <w:bCs/>
          <w:i/>
        </w:rPr>
        <w:t>EN</w:t>
      </w:r>
      <w:r>
        <w:rPr>
          <w:bCs/>
          <w:i/>
        </w:rPr>
        <w:t xml:space="preserve"> Peilin</w:t>
      </w:r>
      <w:r>
        <w:rPr>
          <w:bCs/>
          <w:vertAlign w:val="superscript"/>
        </w:rPr>
        <w:t>2</w:t>
      </w:r>
    </w:p>
    <w:p>
      <w:pPr>
        <w:pStyle w:val="Normal"/>
        <w:tabs>
          <w:tab w:val="clear" w:pos="420"/>
          <w:tab w:val="left" w:pos="9240" w:leader="none"/>
        </w:tabs>
        <w:ind w:left="420" w:right="501" w:hanging="0"/>
        <w:jc w:val="center"/>
        <w:rPr>
          <w:sz w:val="18"/>
        </w:rPr>
      </w:pPr>
      <w:r>
        <w:rPr>
          <w:sz w:val="18"/>
        </w:rPr>
        <w:t>(</w:t>
      </w:r>
      <w:r>
        <w:rPr>
          <w:sz w:val="18"/>
          <w:szCs w:val="18"/>
          <w:vertAlign w:val="superscript"/>
        </w:rPr>
        <w:t>1</w:t>
      </w:r>
      <w:r>
        <w:rPr>
          <w:iCs/>
          <w:sz w:val="18"/>
        </w:rPr>
        <w:t>College of Life Science</w:t>
      </w:r>
      <w:r>
        <w:rPr>
          <w:sz w:val="18"/>
        </w:rPr>
        <w:t xml:space="preserve">, </w:t>
      </w:r>
      <w:r>
        <w:rPr>
          <w:iCs/>
          <w:sz w:val="18"/>
        </w:rPr>
        <w:t>Zhejiang University</w:t>
      </w:r>
      <w:r>
        <w:rPr>
          <w:sz w:val="18"/>
        </w:rPr>
        <w:t xml:space="preserve">, </w:t>
      </w:r>
      <w:r>
        <w:rPr>
          <w:iCs/>
          <w:sz w:val="18"/>
        </w:rPr>
        <w:t xml:space="preserve">Hangzhou </w:t>
      </w:r>
      <w:r>
        <w:rPr>
          <w:sz w:val="18"/>
        </w:rPr>
        <w:t>310029</w:t>
      </w:r>
      <w:r>
        <w:rPr>
          <w:sz w:val="18"/>
        </w:rPr>
        <w:t xml:space="preserve">, </w:t>
      </w:r>
      <w:r>
        <w:rPr>
          <w:iCs/>
          <w:sz w:val="18"/>
        </w:rPr>
        <w:t>Zhejiang</w:t>
      </w:r>
      <w:r>
        <w:rPr>
          <w:sz w:val="18"/>
        </w:rPr>
        <w:t xml:space="preserve">, </w:t>
      </w:r>
      <w:r>
        <w:rPr>
          <w:iCs/>
          <w:sz w:val="18"/>
        </w:rPr>
        <w:t>China</w:t>
      </w:r>
      <w:r>
        <w:rPr>
          <w:sz w:val="18"/>
        </w:rPr>
        <w:t xml:space="preserve">; </w:t>
      </w:r>
      <w:r>
        <w:rPr>
          <w:sz w:val="18"/>
          <w:szCs w:val="18"/>
          <w:vertAlign w:val="superscript"/>
        </w:rPr>
        <w:t>2</w:t>
      </w:r>
      <w:r>
        <w:rPr>
          <w:iCs/>
          <w:sz w:val="18"/>
        </w:rPr>
        <w:t>Institute of Bioengineering</w:t>
      </w:r>
      <w:r>
        <w:rPr>
          <w:sz w:val="18"/>
        </w:rPr>
        <w:t xml:space="preserve">, </w:t>
      </w:r>
      <w:r>
        <w:rPr>
          <w:iCs/>
          <w:sz w:val="18"/>
        </w:rPr>
        <w:t>Tsinghua</w:t>
      </w:r>
      <w:r>
        <w:rPr>
          <w:iCs/>
          <w:sz w:val="18"/>
        </w:rPr>
        <w:t xml:space="preserve"> University</w:t>
      </w:r>
      <w:r>
        <w:rPr>
          <w:sz w:val="18"/>
        </w:rPr>
        <w:t xml:space="preserve">, </w:t>
      </w:r>
      <w:r>
        <w:rPr>
          <w:iCs/>
          <w:sz w:val="18"/>
        </w:rPr>
        <w:t>Beijing</w:t>
      </w:r>
      <w:r>
        <w:rPr>
          <w:sz w:val="18"/>
        </w:rPr>
        <w:t xml:space="preserve"> 100084, </w:t>
      </w:r>
      <w:r>
        <w:rPr>
          <w:iCs/>
          <w:sz w:val="18"/>
        </w:rPr>
        <w:t>China</w:t>
      </w:r>
      <w:r>
        <w:rPr>
          <w:sz w:val="18"/>
        </w:rPr>
        <w:t>)</w:t>
      </w:r>
    </w:p>
    <w:p>
      <w:pPr>
        <w:pStyle w:val="Normal"/>
        <w:rPr>
          <w:color w:val="FF0000"/>
        </w:rPr>
      </w:pPr>
      <w:r>
        <w:rPr>
          <w:color w:val="FF0000"/>
        </w:rPr>
        <w:t>英文作者姓名之间用逗号隔开。姓所有字母均大写，名首字母大写，不用“</w:t>
      </w:r>
      <w:r>
        <w:rPr>
          <w:color w:val="FF0000"/>
        </w:rPr>
        <w:t>-</w:t>
      </w:r>
      <w:r>
        <w:rPr>
          <w:rFonts w:cs="宋体;SimSun" w:ascii="宋体;SimSun" w:hAnsi="宋体;SimSun"/>
          <w:color w:val="FF0000"/>
        </w:rPr>
        <w:t>”</w:t>
      </w:r>
      <w:r>
        <w:rPr>
          <w:color w:val="FF0000"/>
        </w:rPr>
        <w:t>。单位名称用全称，不用缩写，如</w:t>
      </w:r>
      <w:r>
        <w:rPr>
          <w:iCs/>
          <w:color w:val="FF0000"/>
        </w:rPr>
        <w:t>Lab.</w:t>
      </w:r>
      <w:r>
        <w:rPr>
          <w:iCs/>
          <w:color w:val="FF0000"/>
        </w:rPr>
        <w:t>等</w:t>
      </w:r>
      <w:r>
        <w:rPr>
          <w:color w:val="FF0000"/>
        </w:rPr>
        <w:t>。后接“</w:t>
      </w:r>
      <w:r>
        <w:rPr>
          <w:color w:val="FF0000"/>
        </w:rPr>
        <w:t xml:space="preserve">, </w:t>
      </w:r>
      <w:r>
        <w:rPr>
          <w:color w:val="FF0000"/>
        </w:rPr>
        <w:t>城市</w:t>
      </w:r>
      <w:r>
        <w:rPr>
          <w:rFonts w:eastAsia="Times New Roman"/>
          <w:color w:val="FF0000"/>
        </w:rPr>
        <w:t xml:space="preserve"> </w:t>
      </w:r>
      <w:r>
        <w:rPr>
          <w:color w:val="FF0000"/>
        </w:rPr>
        <w:t>邮编</w:t>
      </w:r>
      <w:r>
        <w:rPr>
          <w:color w:val="FF0000"/>
        </w:rPr>
        <w:t xml:space="preserve">, </w:t>
      </w:r>
      <w:r>
        <w:rPr>
          <w:color w:val="FF0000"/>
        </w:rPr>
        <w:t>省</w:t>
      </w:r>
      <w:r>
        <w:rPr>
          <w:color w:val="FF0000"/>
        </w:rPr>
        <w:t xml:space="preserve">, </w:t>
      </w:r>
      <w:r>
        <w:rPr>
          <w:color w:val="FF0000"/>
        </w:rPr>
        <w:t>国家名”。</w:t>
      </w:r>
    </w:p>
    <w:p>
      <w:pPr>
        <w:pStyle w:val="Normal"/>
        <w:rPr>
          <w:bCs/>
          <w:iCs/>
          <w:color w:val="FF0000"/>
        </w:rPr>
      </w:pPr>
      <w:r>
        <w:rPr>
          <w:bCs/>
          <w:iCs/>
          <w:color w:val="FF0000"/>
        </w:rPr>
      </w:r>
    </w:p>
    <w:p>
      <w:pPr>
        <w:pStyle w:val="Normal"/>
        <w:ind w:left="419" w:right="419" w:hanging="0"/>
        <w:rPr>
          <w:spacing w:val="1"/>
          <w:szCs w:val="18"/>
        </w:rPr>
      </w:pPr>
      <w:r>
        <w:rPr>
          <w:b/>
          <w:spacing w:val="1"/>
          <w:szCs w:val="18"/>
        </w:rPr>
        <w:t>Abstract</w:t>
      </w:r>
      <w:r>
        <w:rPr>
          <w:b/>
          <w:spacing w:val="1"/>
          <w:szCs w:val="18"/>
        </w:rPr>
        <w:t>:</w:t>
      </w:r>
      <w:r>
        <w:rPr>
          <w:spacing w:val="1"/>
          <w:szCs w:val="18"/>
        </w:rPr>
        <w:t xml:space="preserve"> </w:t>
      </w:r>
      <w:r>
        <w:rPr>
          <w:spacing w:val="1"/>
          <w:szCs w:val="18"/>
        </w:rPr>
        <w:t>Two-phase flow theory was used to establish an one-dimensional and steady state mathematical model of bubble pump pressure drop. Three kinds of homogeneous flow pressure drop models and 15 kinds of split phase flow pressure drop models</w:t>
      </w:r>
      <w:r>
        <w:rPr>
          <w:spacing w:val="1"/>
          <w:szCs w:val="18"/>
        </w:rPr>
        <w:t xml:space="preserve"> (three </w:t>
      </w:r>
      <w:r>
        <w:rPr>
          <w:spacing w:val="1"/>
          <w:szCs w:val="18"/>
        </w:rPr>
        <w:t>kinds of split phase flow friction pressure drop models with 5 kinds of cross section gas rate models</w:t>
      </w:r>
      <w:r>
        <w:rPr>
          <w:spacing w:val="1"/>
          <w:szCs w:val="18"/>
        </w:rPr>
        <w:t>)</w:t>
      </w:r>
      <w:r>
        <w:rPr>
          <w:spacing w:val="1"/>
          <w:szCs w:val="18"/>
        </w:rPr>
        <w:t xml:space="preserve"> were selected to simulate</w:t>
      </w:r>
      <w:r>
        <w:rPr>
          <w:spacing w:val="1"/>
          <w:szCs w:val="18"/>
        </w:rPr>
        <w:t xml:space="preserve">, </w:t>
      </w:r>
      <w:r>
        <w:rPr>
          <w:spacing w:val="1"/>
          <w:szCs w:val="18"/>
        </w:rPr>
        <w:t>then the experimental data of the bubble pump with saturated water as working fluid were analyzed and compared with the theoretical value. The result showed that simulation accuracy of the Friedel friction pressure drop model combining Zuber section gas rate model is the highest. However</w:t>
      </w:r>
      <w:r>
        <w:rPr>
          <w:spacing w:val="1"/>
          <w:szCs w:val="18"/>
        </w:rPr>
        <w:t xml:space="preserve">, </w:t>
      </w:r>
      <w:r>
        <w:rPr>
          <w:spacing w:val="1"/>
          <w:szCs w:val="18"/>
        </w:rPr>
        <w:t>when we use this model to simulate the flow characteristics of the liquid lift of the bubble pump with the change of the heating power</w:t>
      </w:r>
      <w:r>
        <w:rPr>
          <w:spacing w:val="1"/>
          <w:szCs w:val="18"/>
        </w:rPr>
        <w:t xml:space="preserve">, </w:t>
      </w:r>
      <w:r>
        <w:rPr>
          <w:spacing w:val="1"/>
          <w:szCs w:val="18"/>
        </w:rPr>
        <w:t>we found that the theoretical value and the experimental value agree well only within a certain range of heating power. Therefore</w:t>
      </w:r>
      <w:r>
        <w:rPr>
          <w:spacing w:val="1"/>
          <w:szCs w:val="18"/>
        </w:rPr>
        <w:t xml:space="preserve">, </w:t>
      </w:r>
      <w:r>
        <w:rPr>
          <w:spacing w:val="1"/>
          <w:szCs w:val="18"/>
        </w:rPr>
        <w:t>sectional optimization on bubble pump model was put forward. We found that the simulation accuracy of M-S split phase flow model combined with Tom variable density section gas rate model is the highest under the working condition of low heating power</w:t>
      </w:r>
      <w:r>
        <w:rPr>
          <w:spacing w:val="1"/>
          <w:szCs w:val="18"/>
        </w:rPr>
        <w:t>.</w:t>
      </w:r>
      <w:r>
        <w:rPr>
          <w:spacing w:val="1"/>
          <w:szCs w:val="18"/>
        </w:rPr>
        <w:t xml:space="preserve"> The Dukler homogeneous flow model of the friction pressure drop is the best model under the higher heating power working condition. Therefore</w:t>
      </w:r>
      <w:r>
        <w:rPr>
          <w:spacing w:val="1"/>
          <w:szCs w:val="18"/>
        </w:rPr>
        <w:t xml:space="preserve">, </w:t>
      </w:r>
      <w:r>
        <w:rPr>
          <w:spacing w:val="1"/>
          <w:szCs w:val="18"/>
        </w:rPr>
        <w:t>the method of optimizing the theoretical model of bubble pump by subsection has high credibility.</w:t>
      </w:r>
    </w:p>
    <w:p>
      <w:pPr>
        <w:pStyle w:val="Normal"/>
        <w:ind w:left="419" w:right="419" w:hanging="0"/>
        <w:rPr>
          <w:spacing w:val="1"/>
          <w:szCs w:val="18"/>
        </w:rPr>
      </w:pPr>
      <w:r>
        <w:rPr>
          <w:b/>
          <w:spacing w:val="1"/>
          <w:szCs w:val="21"/>
        </w:rPr>
        <w:t>Keywords</w:t>
      </w:r>
      <w:r>
        <w:rPr>
          <w:b/>
          <w:spacing w:val="1"/>
          <w:szCs w:val="21"/>
        </w:rPr>
        <w:t>:</w:t>
      </w:r>
      <w:r>
        <w:rPr>
          <w:spacing w:val="1"/>
          <w:szCs w:val="21"/>
        </w:rPr>
        <w:t xml:space="preserve"> </w:t>
      </w:r>
      <w:r>
        <w:rPr>
          <w:spacing w:val="1"/>
          <w:szCs w:val="18"/>
        </w:rPr>
        <w:t>single-pressure absorption refrigeration</w:t>
      </w:r>
      <w:r>
        <w:rPr>
          <w:spacing w:val="1"/>
          <w:szCs w:val="21"/>
        </w:rPr>
        <w:t xml:space="preserve">; </w:t>
      </w:r>
      <w:r>
        <w:rPr>
          <w:spacing w:val="1"/>
          <w:szCs w:val="18"/>
        </w:rPr>
        <w:t>pump</w:t>
      </w:r>
      <w:r>
        <w:rPr>
          <w:spacing w:val="1"/>
          <w:szCs w:val="21"/>
        </w:rPr>
        <w:t xml:space="preserve">; </w:t>
      </w:r>
      <w:r>
        <w:rPr>
          <w:spacing w:val="1"/>
          <w:szCs w:val="18"/>
        </w:rPr>
        <w:t>two-phase flow</w:t>
      </w:r>
      <w:r>
        <w:rPr>
          <w:spacing w:val="1"/>
          <w:szCs w:val="21"/>
        </w:rPr>
        <w:t xml:space="preserve">; </w:t>
      </w:r>
      <w:r>
        <w:rPr>
          <w:spacing w:val="1"/>
          <w:szCs w:val="21"/>
        </w:rPr>
        <w:t>mod</w:t>
      </w:r>
      <w:r>
        <w:rPr>
          <w:spacing w:val="1"/>
          <w:szCs w:val="18"/>
        </w:rPr>
        <w:t>el</w:t>
      </w:r>
      <w:r>
        <w:rPr>
          <w:spacing w:val="1"/>
          <w:szCs w:val="18"/>
        </w:rPr>
        <w:t xml:space="preserve">; </w:t>
      </w:r>
      <w:r>
        <w:rPr>
          <w:spacing w:val="1"/>
          <w:szCs w:val="18"/>
        </w:rPr>
        <w:t>optimization</w:t>
      </w:r>
    </w:p>
    <w:p>
      <w:pPr>
        <w:pStyle w:val="Normal"/>
        <w:rPr>
          <w:color w:val="FF0000"/>
        </w:rPr>
      </w:pPr>
      <w:r>
        <w:rPr>
          <w:color w:val="FF0000"/>
        </w:rPr>
        <w:t>英文摘要应</w:t>
      </w:r>
      <w:r>
        <w:rPr>
          <w:color w:val="FF0000"/>
        </w:rPr>
        <w:t>不少于</w:t>
      </w:r>
      <w:r>
        <w:rPr>
          <w:color w:val="FF0000"/>
        </w:rPr>
        <w:t>中文</w:t>
      </w:r>
      <w:r>
        <w:rPr>
          <w:color w:val="FF0000"/>
        </w:rPr>
        <w:t>摘要内容</w:t>
      </w:r>
      <w:r>
        <w:rPr>
          <w:color w:val="FF0000"/>
        </w:rPr>
        <w:t>，</w:t>
      </w:r>
      <w:r>
        <w:rPr>
          <w:color w:val="FF0000"/>
        </w:rPr>
        <w:t>包括论文研究目的、方法、结果和结论的主要内容</w:t>
      </w:r>
      <w:r>
        <w:rPr>
          <w:color w:val="FF0000"/>
        </w:rPr>
        <w:t>。摘要中首次出现缩写时应注出全称。</w:t>
      </w:r>
    </w:p>
    <w:p>
      <w:pPr>
        <w:pStyle w:val="Normal"/>
        <w:rPr>
          <w:color w:val="FF0000"/>
        </w:rPr>
      </w:pPr>
      <w:r>
        <w:rPr>
          <w:color w:val="FF0000"/>
        </w:rPr>
        <w:t>英文关键词与中文关键词对应，非专有名词字母均为小写，词间用分号隔开。使用“</w:t>
      </w:r>
      <w:r>
        <w:rPr>
          <w:b/>
          <w:color w:val="FF0000"/>
        </w:rPr>
        <w:t>Keywords</w:t>
      </w:r>
      <w:r>
        <w:rPr>
          <w:rFonts w:cs="宋体;SimSun" w:ascii="宋体;SimSun" w:hAnsi="宋体;SimSun"/>
          <w:color w:val="FF0000"/>
        </w:rPr>
        <w:t>”</w:t>
      </w:r>
      <w:r>
        <w:rPr>
          <w:color w:val="FF0000"/>
        </w:rPr>
        <w:t>，不使用“</w:t>
      </w:r>
      <w:r>
        <w:rPr>
          <w:color w:val="FF0000"/>
        </w:rPr>
        <w:t>Key</w:t>
      </w:r>
      <w:r>
        <w:rPr>
          <w:color w:val="FF0000"/>
        </w:rPr>
        <w:t xml:space="preserve"> </w:t>
      </w:r>
      <w:r>
        <w:rPr>
          <w:color w:val="FF0000"/>
        </w:rPr>
        <w:t>words</w:t>
      </w:r>
      <w:r>
        <w:rPr>
          <w:rFonts w:cs="宋体;SimSun" w:ascii="宋体;SimSun" w:hAnsi="宋体;SimSun"/>
          <w:color w:val="FF0000"/>
        </w:rPr>
        <w:t>”</w:t>
      </w:r>
      <w:r>
        <w:rPr>
          <w:color w:val="FF0000"/>
        </w:rPr>
        <w:t>。</w:t>
      </w:r>
    </w:p>
    <w:p>
      <w:pPr>
        <w:pStyle w:val="Normal"/>
        <w:rPr>
          <w:color w:val="FF0000"/>
        </w:rPr>
      </w:pPr>
      <w:r>
        <w:rPr>
          <w:color w:val="FF0000"/>
        </w:rPr>
        <w:t>英文部分标点符号用半角格式，后加半空格。</w:t>
      </w:r>
    </w:p>
    <w:p>
      <w:pPr>
        <w:pStyle w:val="Normal"/>
        <w:rPr>
          <w:color w:val="FF0000"/>
        </w:rPr>
      </w:pPr>
      <w:r>
        <w:rPr>
          <w:color w:val="FF0000"/>
        </w:rPr>
      </w:r>
    </w:p>
    <w:p>
      <w:pPr>
        <w:pStyle w:val="Normal"/>
        <w:ind w:firstLine="440"/>
        <w:rPr/>
      </w:pPr>
      <w:r>
        <w:rPr/>
        <w:t>环境感应式开关膜一般是在多孔膜基材上接枝智能化“聚合物刷”作为环境感应开关，该“聚合物刷”开关能感应环境因素的变化而改变它的构象，从而引起膜的渗透性能发生变化。环境感应式开关膜的用途相当广泛，能用于药物控制释放</w:t>
      </w:r>
      <w:r>
        <w:rPr>
          <w:vertAlign w:val="superscript"/>
        </w:rPr>
        <w:t>[</w:t>
      </w:r>
      <w:r>
        <w:rPr>
          <w:vertAlign w:val="superscript"/>
        </w:rPr>
        <w:t>1-2</w:t>
      </w:r>
      <w:r>
        <w:rPr>
          <w:vertAlign w:val="superscript"/>
        </w:rPr>
        <w:t>]</w:t>
      </w:r>
      <w:r>
        <w:rPr/>
        <w:t>、化学分离</w:t>
      </w:r>
      <w:r>
        <w:rPr>
          <w:vertAlign w:val="superscript"/>
        </w:rPr>
        <w:t>[</w:t>
      </w:r>
      <w:r>
        <w:rPr>
          <w:vertAlign w:val="superscript"/>
        </w:rPr>
        <w:t>3</w:t>
      </w:r>
      <w:r>
        <w:rPr>
          <w:vertAlign w:val="superscript"/>
        </w:rPr>
        <w:t>]</w:t>
      </w:r>
      <w:r>
        <w:rPr/>
        <w:t>、化学传感器以及组织工程</w:t>
      </w:r>
      <w:r>
        <w:rPr>
          <w:vertAlign w:val="superscript"/>
        </w:rPr>
        <w:t>[</w:t>
      </w:r>
      <w:r>
        <w:rPr>
          <w:vertAlign w:val="superscript"/>
        </w:rPr>
        <w:t>4</w:t>
      </w:r>
      <w:r>
        <w:rPr>
          <w:vertAlign w:val="superscript"/>
        </w:rPr>
        <w:t>]</w:t>
      </w:r>
      <w:r>
        <w:rPr/>
        <w:t>等。目前，具有智能开关的环境感应式开关膜是膜学与医用高分子材料领域的研究热点</w:t>
      </w:r>
      <w:r>
        <w:rPr>
          <w:vertAlign w:val="superscript"/>
        </w:rPr>
        <w:t>[</w:t>
      </w:r>
      <w:r>
        <w:rPr>
          <w:vertAlign w:val="superscript"/>
        </w:rPr>
        <w:t>5</w:t>
      </w:r>
      <w:r>
        <w:rPr>
          <w:vertAlign w:val="superscript"/>
        </w:rPr>
        <w:t>]</w:t>
      </w:r>
      <w:r>
        <w:rPr/>
        <w:t>。迄今，人们已经用辐照诱导接枝、化学接枝以及等离子体诱导接枝等不同的方法在多孔膜上接枝不同类型的智能开关，据报道这些智能开关能对温度、</w:t>
      </w:r>
      <w:r>
        <w:rPr/>
        <w:t>pH</w:t>
      </w:r>
      <w:r>
        <w:rPr/>
        <w:t>、光、电场、磁场、化学物质以及生物物质等不同环境信息的变化产生感应</w:t>
      </w:r>
      <w:r>
        <w:rPr>
          <w:color w:val="000000"/>
          <w:vertAlign w:val="superscript"/>
        </w:rPr>
        <w:t>[1-</w:t>
      </w:r>
      <w:r>
        <w:rPr>
          <w:color w:val="000000"/>
          <w:vertAlign w:val="superscript"/>
        </w:rPr>
        <w:t>4</w:t>
      </w:r>
      <w:r>
        <w:rPr>
          <w:color w:val="000000"/>
          <w:vertAlign w:val="superscript"/>
        </w:rPr>
        <w:t xml:space="preserve">, </w:t>
      </w:r>
      <w:r>
        <w:rPr>
          <w:color w:val="000000"/>
          <w:vertAlign w:val="superscript"/>
        </w:rPr>
        <w:t>6</w:t>
      </w:r>
      <w:r>
        <w:rPr>
          <w:color w:val="000000"/>
          <w:vertAlign w:val="superscript"/>
        </w:rPr>
        <w:t>-12]</w:t>
      </w:r>
      <w:r>
        <w:rPr/>
        <w:t>。然而，在这类开关膜的接枝率对其膜孔开关特性的影响方面，研究报道尚很少见。本文采用等离子体诱导填孔接枝聚合法在聚偏氟乙烯（</w:t>
      </w:r>
      <w:r>
        <w:rPr/>
        <w:t>PVDF</w:t>
      </w:r>
      <w:r>
        <w:rPr/>
        <w:t>）多孔膜上接枝聚</w:t>
      </w:r>
      <w:r>
        <w:rPr/>
        <w:t>(</w:t>
      </w:r>
      <w:r>
        <w:rPr>
          <w:i/>
          <w:iCs/>
        </w:rPr>
        <w:t>N</w:t>
      </w:r>
      <w:r>
        <w:rPr/>
        <w:t>-</w:t>
      </w:r>
      <w:r>
        <w:rPr/>
        <w:t>异丙基丙烯酰胺</w:t>
      </w:r>
      <w:r>
        <w:rPr/>
        <w:t>)</w:t>
      </w:r>
      <w:r>
        <w:rPr/>
        <w:t>（</w:t>
      </w:r>
      <w:r>
        <w:rPr/>
        <w:t>PNIPAM</w:t>
      </w:r>
      <w:r>
        <w:rPr/>
        <w:t>）温度感应型开关，制备了一系列具有较宽接枝率范围的感温型开关膜，较系统地研究了开关膜的接枝率对其温度感应开关特性的影响，以期为该类温度感应型开关膜在进一步应用开发中的设计和制备提供指导。</w:t>
      </w:r>
    </w:p>
    <w:p>
      <w:pPr>
        <w:pStyle w:val="Normal"/>
        <w:rPr>
          <w:color w:val="FF0000"/>
        </w:rPr>
      </w:pPr>
      <w:r>
        <w:rPr>
          <w:color w:val="FF0000"/>
        </w:rPr>
        <w:t>研究性文章按照正常科技论文撰写，综述性</w:t>
      </w:r>
      <w:r>
        <w:rPr>
          <w:color w:val="FF0000"/>
        </w:rPr>
        <w:t>文章的写法可参见本刊网站</w:t>
      </w:r>
      <w:r>
        <w:rPr>
          <w:color w:val="FF0000"/>
        </w:rPr>
        <w:t>“作者</w:t>
      </w:r>
      <w:r>
        <w:rPr>
          <w:color w:val="FF0000"/>
        </w:rPr>
        <w:t>中心</w:t>
      </w:r>
      <w:r>
        <w:rPr>
          <w:color w:val="FF0000"/>
        </w:rPr>
        <w:t>”的“综述</w:t>
      </w:r>
      <w:r>
        <w:rPr>
          <w:color w:val="FF0000"/>
        </w:rPr>
        <w:t>性文章</w:t>
      </w:r>
      <w:r>
        <w:rPr>
          <w:color w:val="FF0000"/>
        </w:rPr>
        <w:t>的</w:t>
      </w:r>
      <w:r>
        <w:rPr>
          <w:color w:val="FF0000"/>
        </w:rPr>
        <w:t>写法</w:t>
      </w:r>
      <w:r>
        <w:rPr>
          <w:color w:val="FF0000"/>
        </w:rPr>
        <w:t>”</w:t>
      </w:r>
      <w:r>
        <w:rPr>
          <w:color w:val="FF0000"/>
        </w:rPr>
        <w:t>。</w:t>
      </w:r>
      <w:r>
        <w:rPr>
          <w:color w:val="FF0000"/>
        </w:rPr>
        <w:t>不需</w:t>
      </w:r>
      <w:r>
        <w:rPr>
          <w:color w:val="FF0000"/>
        </w:rPr>
        <w:t>写出</w:t>
      </w:r>
      <w:r>
        <w:rPr>
          <w:color w:val="FF0000"/>
        </w:rPr>
        <w:t>“引言”或“前言”两字，不排序号。文中尽量不用“我们”、“本人”等第一人称字样。</w:t>
      </w:r>
    </w:p>
    <w:p>
      <w:pPr>
        <w:pStyle w:val="Normal"/>
        <w:rPr>
          <w:color w:val="FF0000"/>
        </w:rPr>
      </w:pPr>
      <w:r>
        <w:rPr>
          <w:color w:val="FF0000"/>
        </w:rPr>
        <w:t>引言应引述在这一领域的最新进展与问题，从而引出本工作的价值。建议包括以下内容：（</w:t>
      </w:r>
      <w:r>
        <w:rPr>
          <w:color w:val="FF0000"/>
        </w:rPr>
        <w:t>1</w:t>
      </w:r>
      <w:r>
        <w:rPr>
          <w:color w:val="FF0000"/>
        </w:rPr>
        <w:t>）本研究领域背景的综述；（</w:t>
      </w:r>
      <w:r>
        <w:rPr>
          <w:color w:val="FF0000"/>
        </w:rPr>
        <w:t>2</w:t>
      </w:r>
      <w:r>
        <w:rPr>
          <w:color w:val="FF0000"/>
        </w:rPr>
        <w:t>）其他学者已有研究成果的阐述及评论；（</w:t>
      </w:r>
      <w:r>
        <w:rPr>
          <w:color w:val="FF0000"/>
        </w:rPr>
        <w:t>3</w:t>
      </w:r>
      <w:r>
        <w:rPr>
          <w:color w:val="FF0000"/>
        </w:rPr>
        <w:t>）陈述为什么需要进行更多的或进一步的研究；（</w:t>
      </w:r>
      <w:r>
        <w:rPr>
          <w:color w:val="FF0000"/>
        </w:rPr>
        <w:t>4</w:t>
      </w:r>
      <w:r>
        <w:rPr>
          <w:color w:val="FF0000"/>
        </w:rPr>
        <w:t>）阐述作者本项研究的目的；（</w:t>
      </w:r>
      <w:r>
        <w:rPr>
          <w:color w:val="FF0000"/>
        </w:rPr>
        <w:t>5</w:t>
      </w:r>
      <w:r>
        <w:rPr>
          <w:color w:val="FF0000"/>
        </w:rPr>
        <w:t>）简述本文开展的研究工作；（</w:t>
      </w:r>
      <w:r>
        <w:rPr>
          <w:color w:val="FF0000"/>
        </w:rPr>
        <w:t>6</w:t>
      </w:r>
      <w:r>
        <w:rPr>
          <w:color w:val="FF0000"/>
        </w:rPr>
        <w:t>）本项研究结果的意义。</w:t>
      </w:r>
    </w:p>
    <w:p>
      <w:pPr>
        <w:pStyle w:val="Normal"/>
        <w:rPr>
          <w:rFonts w:eastAsia="仿宋_GB2312"/>
          <w:sz w:val="28"/>
        </w:rPr>
      </w:pPr>
      <w:r>
        <w:rPr>
          <w:rFonts w:eastAsia="仿宋_GB2312"/>
          <w:sz w:val="28"/>
        </w:rPr>
        <w:t xml:space="preserve">1  </w:t>
      </w:r>
      <w:r>
        <w:rPr>
          <w:rFonts w:ascii="仿宋" w:hAnsi="仿宋" w:cs="仿宋" w:eastAsia="仿宋"/>
          <w:sz w:val="28"/>
        </w:rPr>
        <w:t>材料和方法</w:t>
      </w:r>
    </w:p>
    <w:p>
      <w:pPr>
        <w:pStyle w:val="Normal"/>
        <w:rPr>
          <w:color w:val="FF0000"/>
        </w:rPr>
      </w:pPr>
      <w:r>
        <w:rPr>
          <w:color w:val="FF0000"/>
        </w:rPr>
        <w:t>文中的层次编号用阿拉伯数字，并以“</w:t>
      </w:r>
      <w:r>
        <w:rPr>
          <w:color w:val="FF0000"/>
        </w:rPr>
        <w:t>1</w:t>
      </w:r>
      <w:r>
        <w:rPr>
          <w:rFonts w:cs="宋体;SimSun" w:ascii="宋体;SimSun" w:hAnsi="宋体;SimSun"/>
          <w:color w:val="FF0000"/>
        </w:rPr>
        <w:t>”</w:t>
      </w:r>
      <w:r>
        <w:rPr>
          <w:color w:val="FF0000"/>
        </w:rPr>
        <w:t>、“</w:t>
      </w:r>
      <w:r>
        <w:rPr>
          <w:color w:val="FF0000"/>
        </w:rPr>
        <w:t>1.1</w:t>
      </w:r>
      <w:r>
        <w:rPr>
          <w:rFonts w:cs="宋体;SimSun" w:ascii="宋体;SimSun" w:hAnsi="宋体;SimSun"/>
          <w:color w:val="FF0000"/>
        </w:rPr>
        <w:t>”</w:t>
      </w:r>
      <w:r>
        <w:rPr>
          <w:color w:val="FF0000"/>
        </w:rPr>
        <w:t>、“</w:t>
      </w:r>
      <w:r>
        <w:rPr>
          <w:color w:val="FF0000"/>
        </w:rPr>
        <w:t>1.1.1</w:t>
      </w:r>
      <w:r>
        <w:rPr>
          <w:rFonts w:cs="宋体;SimSun" w:ascii="宋体;SimSun" w:hAnsi="宋体;SimSun"/>
          <w:color w:val="FF0000"/>
        </w:rPr>
        <w:t>”</w:t>
      </w:r>
      <w:r>
        <w:rPr>
          <w:color w:val="FF0000"/>
        </w:rPr>
        <w:t>形式编排。</w:t>
      </w:r>
    </w:p>
    <w:p>
      <w:pPr>
        <w:pStyle w:val="Normal"/>
        <w:rPr>
          <w:b/>
          <w:b/>
          <w:bCs/>
        </w:rPr>
      </w:pPr>
      <w:r>
        <w:rPr>
          <w:b/>
          <w:bCs/>
        </w:rPr>
        <w:t>1.1</w:t>
      </w:r>
      <w:r>
        <w:rPr>
          <w:b/>
          <w:bCs/>
        </w:rPr>
        <w:t xml:space="preserve">  </w:t>
      </w:r>
      <w:r>
        <w:rPr>
          <w:rFonts w:ascii="黑体;SimHei" w:hAnsi="黑体;SimHei" w:cs="黑体;SimHei" w:eastAsia="黑体;SimHei"/>
          <w:bCs/>
        </w:rPr>
        <w:t>材料</w:t>
      </w:r>
    </w:p>
    <w:p>
      <w:pPr>
        <w:pStyle w:val="Normal"/>
        <w:ind w:firstLine="419"/>
        <w:rPr>
          <w:color w:val="000000"/>
          <w:szCs w:val="21"/>
        </w:rPr>
      </w:pPr>
      <w:r>
        <w:rPr/>
        <w:t>聚偏氟乙烯（</w:t>
      </w:r>
      <w:r>
        <w:rPr/>
        <w:t>PVDF</w:t>
      </w:r>
      <w:r>
        <w:rPr/>
        <w:t>）微孔膜，浙江</w:t>
      </w:r>
      <w:r>
        <w:rPr/>
        <w:t>(</w:t>
      </w:r>
      <w:r>
        <w:rPr/>
        <w:t>火炬</w:t>
      </w:r>
      <w:r>
        <w:rPr/>
        <w:t>)</w:t>
      </w:r>
      <w:r>
        <w:rPr/>
        <w:t>西斗门膜工业有限公司提供，平均孔径为</w:t>
      </w:r>
      <w:r>
        <w:rPr/>
        <w:t>0.22</w:t>
      </w:r>
      <w:r>
        <w:rPr/>
        <w:t>μm</w:t>
      </w:r>
      <w:r>
        <w:rPr>
          <w:color w:val="FF0000"/>
        </w:rPr>
        <w:t>（量、单位和符号严格执行国家标准，不可使用非法定计量单位，物理量符号用斜体，计量单位用正体。引用文献数据出现非法定计量单位时</w:t>
      </w:r>
      <w:r>
        <w:rPr>
          <w:color w:val="FF0000"/>
        </w:rPr>
        <w:t>，应加换算成法定计量单位的关系式。组合单位，正文中用斜线形式，如</w:t>
      </w:r>
      <w:r>
        <w:rPr>
          <w:color w:val="FF0000"/>
        </w:rPr>
        <w:t>mL/(cm</w:t>
      </w:r>
      <w:r>
        <w:rPr>
          <w:color w:val="FF0000"/>
          <w:vertAlign w:val="superscript"/>
        </w:rPr>
        <w:t>2</w:t>
      </w:r>
      <w:r>
        <w:rPr>
          <w:color w:val="FF0000"/>
        </w:rPr>
        <w:t>·min)</w:t>
      </w:r>
      <w:r>
        <w:rPr>
          <w:color w:val="FF0000"/>
        </w:rPr>
        <w:t>；图表中用指数形式，如</w:t>
      </w:r>
      <w:r>
        <w:rPr>
          <w:color w:val="FF0000"/>
        </w:rPr>
        <w:t>mL·cm</w:t>
      </w:r>
      <w:r>
        <w:rPr>
          <w:color w:val="FF0000"/>
          <w:vertAlign w:val="superscript"/>
        </w:rPr>
        <w:t>﹣2</w:t>
      </w:r>
      <w:r>
        <w:rPr>
          <w:color w:val="FF0000"/>
        </w:rPr>
        <w:t>·min</w:t>
      </w:r>
      <w:r>
        <w:rPr>
          <w:color w:val="FF0000"/>
          <w:vertAlign w:val="superscript"/>
        </w:rPr>
        <w:t>﹣1</w:t>
      </w:r>
      <w:r>
        <w:rPr>
          <w:color w:val="FF0000"/>
        </w:rPr>
        <w:t>。数字与单位之间不空格</w:t>
      </w:r>
      <w:r>
        <w:rPr>
          <w:color w:val="FF0000"/>
        </w:rPr>
        <w:t>。正文中的文字，特别是字母或符号尽量</w:t>
      </w:r>
      <w:r>
        <w:rPr>
          <w:b/>
          <w:color w:val="FF0000"/>
        </w:rPr>
        <w:t>不要</w:t>
      </w:r>
      <w:r>
        <w:rPr>
          <w:color w:val="FF0000"/>
        </w:rPr>
        <w:t>使用公式编辑器或图片录入，如</w:t>
      </w:r>
      <w:r>
        <w:rPr>
          <w:color w:val="FF0000"/>
          <w:sz w:val="18"/>
          <w:szCs w:val="18"/>
        </w:rPr>
        <w:object w:dxaOrig="219" w:dyaOrig="260">
          <v:shapetype id="_x0000_tole_rId2" coordsize="21600,21600" o:spt="ole_rId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 type="_x0000_tole_rId2" style="width:11.05pt;height:12.8pt" filled="f" o:ole="">
            <v:imagedata r:id="rId3" o:title=""/>
          </v:shape>
          <o:OLEObject Type="Embed" ProgID="" ShapeID="ole_rId2" DrawAspect="Content" ObjectID="_2110488608" r:id="rId2"/>
        </w:object>
      </w:r>
      <w:r>
        <w:rPr>
          <w:color w:val="FF0000"/>
          <w:sz w:val="18"/>
          <w:szCs w:val="18"/>
        </w:rPr>
        <w:t>、</w:t>
      </w:r>
      <w:r>
        <w:rPr/>
        <w:drawing>
          <wp:inline distT="0" distB="0" distL="0" distR="0">
            <wp:extent cx="76200" cy="20955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4"/>
                    <a:srcRect l="-474" t="-172" r="-474" b="-172"/>
                    <a:stretch>
                      <a:fillRect/>
                    </a:stretch>
                  </pic:blipFill>
                  <pic:spPr bwMode="auto">
                    <a:xfrm>
                      <a:off x="0" y="0"/>
                      <a:ext cx="76200" cy="209550"/>
                    </a:xfrm>
                    <a:prstGeom prst="rect">
                      <a:avLst/>
                    </a:prstGeom>
                  </pic:spPr>
                </pic:pic>
              </a:graphicData>
            </a:graphic>
          </wp:inline>
        </w:drawing>
      </w:r>
      <w:r>
        <w:rPr>
          <w:color w:val="FF0000"/>
        </w:rPr>
        <w:t>）</w:t>
      </w:r>
      <w:r>
        <w:rPr/>
        <w:t>。</w:t>
      </w:r>
      <w:r>
        <w:rPr>
          <w:i/>
          <w:iCs/>
        </w:rPr>
        <w:t>N</w:t>
      </w:r>
      <w:r>
        <w:rPr/>
        <w:t>-</w:t>
      </w:r>
      <w:r>
        <w:rPr/>
        <w:t>异丙</w:t>
      </w:r>
      <w:r>
        <w:rPr/>
        <w:t>基丙烯酰胺（</w:t>
      </w:r>
      <w:r>
        <w:rPr/>
        <w:t>NIPAM</w:t>
      </w:r>
      <w:r>
        <w:rPr/>
        <w:t>），由</w:t>
      </w:r>
      <w:r>
        <w:rPr>
          <w:color w:val="000000"/>
          <w:szCs w:val="21"/>
        </w:rPr>
        <w:t>日本</w:t>
      </w:r>
      <w:r>
        <w:rPr>
          <w:color w:val="000000"/>
          <w:szCs w:val="21"/>
        </w:rPr>
        <w:t>Kohjin</w:t>
      </w:r>
      <w:r>
        <w:rPr>
          <w:color w:val="000000"/>
          <w:szCs w:val="21"/>
        </w:rPr>
        <w:t>公司赠送，用正己烷</w:t>
      </w:r>
      <w:r>
        <w:rPr>
          <w:color w:val="000000"/>
          <w:szCs w:val="21"/>
        </w:rPr>
        <w:t>-</w:t>
      </w:r>
      <w:r>
        <w:rPr>
          <w:color w:val="000000"/>
          <w:szCs w:val="21"/>
        </w:rPr>
        <w:t>丙酮（体积比</w:t>
      </w:r>
      <w:r>
        <w:rPr>
          <w:color w:val="000000"/>
          <w:szCs w:val="21"/>
        </w:rPr>
        <w:t>50/50</w:t>
      </w:r>
      <w:r>
        <w:rPr>
          <w:color w:val="000000"/>
          <w:szCs w:val="21"/>
        </w:rPr>
        <w:t>）混合溶剂重结晶</w:t>
      </w:r>
      <w:r>
        <w:rPr>
          <w:color w:val="000000"/>
          <w:szCs w:val="21"/>
        </w:rPr>
        <w:t>3</w:t>
      </w:r>
      <w:r>
        <w:rPr>
          <w:color w:val="000000"/>
          <w:szCs w:val="21"/>
        </w:rPr>
        <w:t>次。氩气，纯度为</w:t>
      </w:r>
      <w:r>
        <w:rPr>
          <w:color w:val="000000"/>
          <w:szCs w:val="21"/>
        </w:rPr>
        <w:t>99.5</w:t>
      </w:r>
      <w:r>
        <w:rPr>
          <w:color w:val="000000"/>
          <w:szCs w:val="21"/>
        </w:rPr>
        <w:t>%</w:t>
      </w:r>
      <w:r>
        <w:rPr>
          <w:color w:val="000000"/>
          <w:szCs w:val="21"/>
        </w:rPr>
        <w:t>。实验用水为双重去离子水，电阻为</w:t>
      </w:r>
      <w:r>
        <w:rPr>
          <w:color w:val="000000"/>
          <w:szCs w:val="21"/>
        </w:rPr>
        <w:t>16M</w:t>
      </w:r>
      <w:r>
        <w:rPr/>
        <w:t>Ω</w:t>
      </w:r>
      <w:r>
        <w:rPr>
          <w:color w:val="000000"/>
          <w:szCs w:val="21"/>
        </w:rPr>
        <w:t>。</w:t>
      </w:r>
    </w:p>
    <w:p>
      <w:pPr>
        <w:pStyle w:val="Normal"/>
        <w:rPr>
          <w:b/>
          <w:b/>
          <w:bCs/>
          <w:color w:val="000000"/>
          <w:szCs w:val="21"/>
        </w:rPr>
      </w:pPr>
      <w:r>
        <w:rPr>
          <w:b/>
          <w:bCs/>
          <w:color w:val="000000"/>
          <w:szCs w:val="21"/>
        </w:rPr>
        <w:t>1.2</w:t>
      </w:r>
      <w:r>
        <w:rPr>
          <w:b/>
          <w:bCs/>
          <w:color w:val="000000"/>
          <w:szCs w:val="21"/>
        </w:rPr>
        <w:t xml:space="preserve">  </w:t>
      </w:r>
      <w:r>
        <w:rPr>
          <w:rFonts w:ascii="黑体;SimHei" w:hAnsi="黑体;SimHei" w:cs="黑体;SimHei" w:eastAsia="黑体;SimHei"/>
          <w:bCs/>
          <w:color w:val="000000"/>
          <w:szCs w:val="21"/>
        </w:rPr>
        <w:t>等离子体诱导填孔接枝聚合装置</w:t>
      </w:r>
    </w:p>
    <w:p>
      <w:pPr>
        <w:pStyle w:val="2"/>
        <w:ind w:firstLine="419"/>
        <w:rPr>
          <w:color w:val="000000"/>
        </w:rPr>
      </w:pPr>
      <w:r>
        <w:rPr>
          <w:color w:val="000000"/>
        </w:rPr>
        <w:t>气泡泵如图</w:t>
      </w:r>
      <w:r>
        <w:rPr>
          <w:color w:val="000000"/>
        </w:rPr>
        <w:t>1</w:t>
      </w:r>
      <w:r>
        <w:rPr>
          <w:color w:val="000000"/>
        </w:rPr>
        <w:t>所示</w:t>
      </w:r>
      <w:r>
        <w:rPr>
          <w:color w:val="FF0000"/>
        </w:rPr>
        <w:t>（在正文中必须有与图、表呼应的文字，且叙述应与图、表结果相符。图、表依出现的顺序全文统一编号）</w:t>
      </w:r>
      <w:r>
        <w:rPr>
          <w:color w:val="000000"/>
        </w:rPr>
        <w:t>，系统主要包括竖直提升管、发生器、低位储液器和气液分离器四大部件。系统以饱和水为工质，运行在一个大气压下。定义气泡泵的提升管径为</w:t>
      </w:r>
      <w:r>
        <w:rPr>
          <w:i/>
          <w:color w:val="000000"/>
        </w:rPr>
        <w:t>D</w:t>
      </w:r>
      <w:r>
        <w:rPr>
          <w:color w:val="000000"/>
        </w:rPr>
        <w:t>，提升管长为</w:t>
      </w:r>
      <w:r>
        <w:rPr>
          <w:i/>
          <w:color w:val="000000"/>
        </w:rPr>
        <w:t>L</w:t>
      </w:r>
      <w:r>
        <w:rPr>
          <w:color w:val="000000"/>
        </w:rPr>
        <w:t>，气泡泵动力压头为</w:t>
      </w:r>
      <w:r>
        <w:rPr>
          <w:i/>
          <w:color w:val="000000"/>
        </w:rPr>
        <w:t>H</w:t>
      </w:r>
      <w:r>
        <w:rPr>
          <w:color w:val="000000"/>
        </w:rPr>
        <w:t>，气泡泵的沉浸比为</w:t>
      </w:r>
      <w:r>
        <w:rPr>
          <w:i/>
          <w:color w:val="000000"/>
        </w:rPr>
        <w:t>H/L</w:t>
      </w:r>
      <w:r>
        <w:rPr>
          <w:color w:val="000000"/>
        </w:rPr>
        <w:t>。</w:t>
      </w:r>
    </w:p>
    <w:p>
      <w:pPr>
        <w:pStyle w:val="Style15"/>
        <w:spacing w:lineRule="auto" w:line="240" w:before="0" w:after="0"/>
        <w:rPr>
          <w:color w:val="000000"/>
        </w:rPr>
      </w:pPr>
      <w:r>
        <w:rPr>
          <w:color w:val="000000"/>
          <w:lang w:val="en-US" w:eastAsia="en-US"/>
        </w:rPr>
        <w:drawing>
          <wp:inline distT="0" distB="0" distL="0" distR="0">
            <wp:extent cx="2520315" cy="1960245"/>
            <wp:effectExtent l="0" t="0" r="0" b="0"/>
            <wp:docPr id="2" name="图片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descr=""/>
                    <pic:cNvPicPr>
                      <a:picLocks noChangeAspect="1" noChangeArrowheads="1"/>
                    </pic:cNvPicPr>
                  </pic:nvPicPr>
                  <pic:blipFill>
                    <a:blip r:embed="rId5"/>
                    <a:srcRect l="-20" t="-25" r="-20" b="-25"/>
                    <a:stretch>
                      <a:fillRect/>
                    </a:stretch>
                  </pic:blipFill>
                  <pic:spPr bwMode="auto">
                    <a:xfrm>
                      <a:off x="0" y="0"/>
                      <a:ext cx="2520315" cy="1960245"/>
                    </a:xfrm>
                    <a:prstGeom prst="rect">
                      <a:avLst/>
                    </a:prstGeom>
                  </pic:spPr>
                </pic:pic>
              </a:graphicData>
            </a:graphic>
          </wp:inline>
        </w:drawing>
      </w:r>
    </w:p>
    <w:p>
      <w:pPr>
        <w:pStyle w:val="21"/>
        <w:snapToGrid w:val="true"/>
        <w:spacing w:lineRule="auto" w:line="240" w:before="0" w:after="0"/>
        <w:rPr>
          <w:color w:val="000000"/>
        </w:rPr>
      </w:pPr>
      <w:r>
        <w:rPr>
          <w:color w:val="000000"/>
        </w:rPr>
        <w:t>图</w:t>
      </w:r>
      <w:r>
        <w:rPr>
          <w:color w:val="000000"/>
        </w:rPr>
        <w:t xml:space="preserve">1  </w:t>
      </w:r>
      <w:r>
        <w:rPr>
          <w:color w:val="000000"/>
        </w:rPr>
        <w:t>气泡泵模型示意图</w:t>
      </w:r>
    </w:p>
    <w:p>
      <w:pPr>
        <w:pStyle w:val="Style16"/>
        <w:snapToGrid w:val="true"/>
        <w:spacing w:lineRule="auto" w:line="240" w:before="0" w:after="0"/>
        <w:rPr>
          <w:color w:val="000000"/>
        </w:rPr>
      </w:pPr>
      <w:r>
        <w:rPr>
          <w:color w:val="000000"/>
        </w:rPr>
        <w:t>1</w:t>
      </w:r>
      <w:r>
        <w:rPr>
          <w:rFonts w:cs="宋体;SimSun" w:ascii="宋体;SimSun" w:hAnsi="宋体;SimSun"/>
          <w:color w:val="000000"/>
        </w:rPr>
        <w:t>—</w:t>
      </w:r>
      <w:r>
        <w:rPr>
          <w:color w:val="000000"/>
        </w:rPr>
        <w:t>提升管；</w:t>
      </w:r>
      <w:r>
        <w:rPr>
          <w:color w:val="000000"/>
        </w:rPr>
        <w:t>2</w:t>
      </w:r>
      <w:r>
        <w:rPr>
          <w:rFonts w:cs="宋体;SimSun" w:ascii="宋体;SimSun" w:hAnsi="宋体;SimSun"/>
          <w:color w:val="000000"/>
        </w:rPr>
        <w:t>—</w:t>
      </w:r>
      <w:r>
        <w:rPr>
          <w:color w:val="000000"/>
        </w:rPr>
        <w:t>低位储液器；</w:t>
      </w:r>
      <w:r>
        <w:rPr>
          <w:color w:val="000000"/>
        </w:rPr>
        <w:t>3</w:t>
      </w:r>
      <w:r>
        <w:rPr>
          <w:rFonts w:cs="宋体;SimSun" w:ascii="宋体;SimSun" w:hAnsi="宋体;SimSun"/>
          <w:color w:val="000000"/>
        </w:rPr>
        <w:t>—</w:t>
      </w:r>
      <w:r>
        <w:rPr>
          <w:color w:val="000000"/>
        </w:rPr>
        <w:t>锥形渐缩口发生器；</w:t>
      </w:r>
      <w:r>
        <w:rPr>
          <w:color w:val="000000"/>
        </w:rPr>
        <w:t>4</w:t>
      </w:r>
      <w:r>
        <w:rPr>
          <w:rFonts w:cs="宋体;SimSun" w:ascii="宋体;SimSun" w:hAnsi="宋体;SimSun"/>
          <w:color w:val="000000"/>
        </w:rPr>
        <w:t>—</w:t>
      </w:r>
      <w:r>
        <w:rPr>
          <w:color w:val="000000"/>
        </w:rPr>
        <w:t>气液分离器；</w:t>
      </w:r>
      <w:r>
        <w:rPr>
          <w:color w:val="000000"/>
        </w:rPr>
        <w:t>5</w:t>
      </w:r>
      <w:r>
        <w:rPr>
          <w:rFonts w:cs="宋体;SimSun" w:ascii="宋体;SimSun" w:hAnsi="宋体;SimSun"/>
          <w:color w:val="000000"/>
        </w:rPr>
        <w:t>—</w:t>
      </w:r>
      <w:r>
        <w:rPr>
          <w:color w:val="000000"/>
        </w:rPr>
        <w:t>热源</w:t>
      </w:r>
    </w:p>
    <w:p>
      <w:pPr>
        <w:pStyle w:val="Normal"/>
        <w:rPr>
          <w:color w:val="FF0000"/>
        </w:rPr>
      </w:pPr>
      <w:r>
        <w:rPr>
          <w:color w:val="FF0000"/>
        </w:rPr>
        <w:t>图的下方须标注出图序和图题。</w:t>
      </w:r>
      <w:r>
        <w:rPr>
          <w:color w:val="FF0000"/>
        </w:rPr>
        <w:t>图题</w:t>
      </w:r>
      <w:r>
        <w:rPr>
          <w:color w:val="FF0000"/>
        </w:rPr>
        <w:t>、</w:t>
      </w:r>
      <w:r>
        <w:rPr>
          <w:color w:val="FF0000"/>
        </w:rPr>
        <w:t>分图题、</w:t>
      </w:r>
      <w:r>
        <w:rPr>
          <w:color w:val="FF0000"/>
        </w:rPr>
        <w:t>图注、图内文字，除专有名词外，本刊目前要求均用中文。</w:t>
      </w:r>
    </w:p>
    <w:p>
      <w:pPr>
        <w:pStyle w:val="Normal"/>
        <w:rPr>
          <w:color w:val="FF0000"/>
        </w:rPr>
      </w:pPr>
      <w:r>
        <w:rPr>
          <w:color w:val="FF0000"/>
        </w:rPr>
        <w:t>图宽，半栏图宽一般不大于</w:t>
      </w:r>
      <w:r>
        <w:rPr>
          <w:color w:val="FF0000"/>
        </w:rPr>
        <w:t>75mm</w:t>
      </w:r>
      <w:r>
        <w:rPr>
          <w:color w:val="FF0000"/>
        </w:rPr>
        <w:t>，通栏图宽一般不大于</w:t>
      </w:r>
      <w:r>
        <w:rPr>
          <w:color w:val="FF0000"/>
        </w:rPr>
        <w:t>150mm</w:t>
      </w:r>
      <w:r>
        <w:rPr>
          <w:color w:val="FF0000"/>
        </w:rPr>
        <w:t>。</w:t>
      </w:r>
    </w:p>
    <w:p>
      <w:pPr>
        <w:pStyle w:val="Normal"/>
        <w:rPr>
          <w:color w:val="FF0000"/>
        </w:rPr>
      </w:pPr>
      <w:r>
        <w:rPr>
          <w:color w:val="FF0000"/>
        </w:rPr>
        <w:t>流程图、设备图要合理、简洁，不列与正文无关的内容。注意流程图箭头走向。计算机框图要按规定画，如起始用</w:t>
      </w:r>
      <w:r>
        <w:rPr>
          <w:rFonts w:ascii="Symbol" w:hAnsi="Symbol" w:cs="Symbol" w:eastAsia="Symbol"/>
          <w:color w:val="FF0000"/>
        </w:rPr>
        <w:t></w:t>
      </w:r>
      <w:r>
        <w:rPr>
          <w:color w:val="FF0000"/>
        </w:rPr>
        <w:t>、判断用◇等。</w:t>
      </w:r>
    </w:p>
    <w:p>
      <w:pPr>
        <w:pStyle w:val="Normal"/>
        <w:rPr>
          <w:color w:val="FF0000"/>
        </w:rPr>
      </w:pPr>
      <w:r>
        <w:rPr>
          <w:color w:val="FF0000"/>
        </w:rPr>
      </w:r>
    </w:p>
    <w:p>
      <w:pPr>
        <w:pStyle w:val="Normal"/>
        <w:rPr>
          <w:b/>
          <w:b/>
          <w:bCs/>
        </w:rPr>
      </w:pPr>
      <w:r>
        <w:rPr>
          <w:b/>
          <w:bCs/>
        </w:rPr>
        <w:t>1.3</w:t>
      </w:r>
      <w:r>
        <w:rPr>
          <w:b/>
          <w:bCs/>
        </w:rPr>
        <w:t xml:space="preserve">  </w:t>
      </w:r>
      <w:r>
        <w:rPr>
          <w:rFonts w:ascii="黑体;SimHei" w:hAnsi="黑体;SimHei" w:cs="黑体;SimHei" w:eastAsia="黑体;SimHei"/>
          <w:bCs/>
        </w:rPr>
        <w:t>分析测试仪器</w:t>
      </w:r>
    </w:p>
    <w:p>
      <w:pPr>
        <w:pStyle w:val="Normal"/>
        <w:ind w:firstLine="420"/>
        <w:rPr/>
      </w:pPr>
      <w:r>
        <w:rPr/>
        <w:t>傅里叶变换红外光谱仪（</w:t>
      </w:r>
      <w:r>
        <w:rPr/>
        <w:t>FTIR</w:t>
      </w:r>
      <w:r>
        <w:rPr/>
        <w:t>），</w:t>
      </w:r>
      <w:r>
        <w:rPr/>
        <w:t>Spectrum one</w:t>
      </w:r>
      <w:r>
        <w:rPr/>
        <w:t>型，美国</w:t>
      </w:r>
      <w:r>
        <w:rPr/>
        <w:t>P-E Com.</w:t>
      </w:r>
      <w:r>
        <w:rPr/>
        <w:t>；扫描电镜（</w:t>
      </w:r>
      <w:r>
        <w:rPr/>
        <w:t>SEM</w:t>
      </w:r>
      <w:r>
        <w:rPr/>
        <w:t>），</w:t>
      </w:r>
      <w:r>
        <w:rPr/>
        <w:t>JSM-5900LV</w:t>
      </w:r>
      <w:r>
        <w:rPr/>
        <w:t>型，日本电子公司；电子微量天平（精度为</w:t>
      </w:r>
      <w:r>
        <w:rPr/>
        <w:t>0.01</w:t>
      </w:r>
      <w:r>
        <w:rPr/>
        <w:t>mg</w:t>
      </w:r>
      <w:r>
        <w:rPr/>
        <w:t>），</w:t>
      </w:r>
      <w:r>
        <w:rPr/>
        <w:t>Sartorius BP211D</w:t>
      </w:r>
      <w:r>
        <w:rPr/>
        <w:t xml:space="preserve"> </w:t>
      </w:r>
      <w:r>
        <w:rPr/>
        <w:t>型，瑞士；真空微滤器（</w:t>
      </w:r>
      <w:r>
        <w:rPr>
          <w:i/>
          <w:iCs/>
        </w:rPr>
        <w:t>φ</w:t>
      </w:r>
      <w:r>
        <w:rPr/>
        <w:t>60mm</w:t>
      </w:r>
      <w:r>
        <w:rPr/>
        <w:t>），浙江</w:t>
      </w:r>
      <w:r>
        <w:rPr/>
        <w:t>(</w:t>
      </w:r>
      <w:r>
        <w:rPr/>
        <w:t>火炬</w:t>
      </w:r>
      <w:r>
        <w:rPr/>
        <w:t>)</w:t>
      </w:r>
      <w:r>
        <w:rPr/>
        <w:t>西斗门膜工业有限公司；低温恒温槽（</w:t>
      </w:r>
      <w:r>
        <w:rPr/>
        <w:t>DC-0506</w:t>
      </w:r>
      <w:r>
        <w:rPr/>
        <w:t>型），上海衡平仪器仪表厂。</w:t>
      </w:r>
    </w:p>
    <w:p>
      <w:pPr>
        <w:pStyle w:val="Normal"/>
        <w:rPr>
          <w:b/>
          <w:b/>
          <w:bCs/>
        </w:rPr>
      </w:pPr>
      <w:r>
        <w:rPr>
          <w:b/>
          <w:bCs/>
        </w:rPr>
        <w:t xml:space="preserve">1.4  </w:t>
      </w:r>
      <w:r>
        <w:rPr>
          <w:b/>
          <w:bCs/>
        </w:rPr>
        <w:t>PNIPAM</w:t>
      </w:r>
      <w:r>
        <w:rPr>
          <w:rFonts w:ascii="黑体;SimHei" w:hAnsi="黑体;SimHei" w:cs="黑体;SimHei" w:eastAsia="黑体;SimHei"/>
          <w:bCs/>
        </w:rPr>
        <w:t>接枝开关膜的制备</w:t>
      </w:r>
    </w:p>
    <w:p>
      <w:pPr>
        <w:pStyle w:val="Normal"/>
        <w:ind w:firstLine="419"/>
        <w:rPr/>
      </w:pPr>
      <w:r>
        <w:rPr/>
        <w:t>（</w:t>
      </w:r>
      <w:r>
        <w:rPr/>
        <w:t>1</w:t>
      </w:r>
      <w:r>
        <w:rPr/>
        <w:t>）基材膜的洗净</w:t>
      </w:r>
      <w:r>
        <w:rPr>
          <w:rFonts w:eastAsia="Times New Roman"/>
        </w:rPr>
        <w:t xml:space="preserve">  </w:t>
      </w:r>
      <w:r>
        <w:rPr/>
        <w:t>PVDF</w:t>
      </w:r>
      <w:r>
        <w:rPr/>
        <w:t>多孔基材膜用乙醇洗净，干燥至恒量。</w:t>
      </w:r>
    </w:p>
    <w:p>
      <w:pPr>
        <w:pStyle w:val="Normal"/>
        <w:ind w:firstLine="419"/>
        <w:rPr/>
      </w:pPr>
      <w:r>
        <w:rPr/>
        <w:t>（</w:t>
      </w:r>
      <w:r>
        <w:rPr/>
        <w:t>2</w:t>
      </w:r>
      <w:r>
        <w:rPr/>
        <w:t>）单体溶液的冻结脱气</w:t>
      </w:r>
      <w:r>
        <w:rPr>
          <w:rFonts w:eastAsia="Times New Roman"/>
        </w:rPr>
        <w:t xml:space="preserve">  </w:t>
      </w:r>
      <w:r>
        <w:rPr/>
        <w:t>用氮气置换</w:t>
      </w:r>
      <w:r>
        <w:rPr/>
        <w:t>30min</w:t>
      </w:r>
      <w:r>
        <w:rPr/>
        <w:t>后的去离子水配成一定浓度的</w:t>
      </w:r>
      <w:r>
        <w:rPr/>
        <w:t>N</w:t>
      </w:r>
      <w:r>
        <w:rPr/>
        <w:t>IPAM</w:t>
      </w:r>
      <w:r>
        <w:rPr/>
        <w:t>单体溶液。用液氮冻结，然后抽真空到</w:t>
      </w:r>
      <w:r>
        <w:rPr/>
        <w:t>1Pa</w:t>
      </w:r>
      <w:r>
        <w:rPr/>
        <w:t>以下，再解冻；反复</w:t>
      </w:r>
      <w:r>
        <w:rPr/>
        <w:t>3</w:t>
      </w:r>
      <w:r>
        <w:rPr>
          <w:rFonts w:ascii="宋体;SimSun" w:hAnsi="宋体;SimSun" w:cs="宋体;SimSun"/>
        </w:rPr>
        <w:t>～</w:t>
      </w:r>
      <w:r>
        <w:rPr/>
        <w:t>4</w:t>
      </w:r>
      <w:r>
        <w:rPr/>
        <w:t>次，直至真空计读数反弹不超过</w:t>
      </w:r>
      <w:r>
        <w:rPr/>
        <w:t>13P</w:t>
      </w:r>
      <w:r>
        <w:rPr/>
        <w:t>a</w:t>
      </w:r>
      <w:r>
        <w:rPr/>
        <w:t>。</w:t>
      </w:r>
    </w:p>
    <w:p>
      <w:pPr>
        <w:pStyle w:val="Normal"/>
        <w:ind w:firstLine="419"/>
        <w:rPr/>
      </w:pPr>
      <w:r>
        <w:rPr/>
        <w:t>（</w:t>
      </w:r>
      <w:r>
        <w:rPr/>
        <w:t>3</w:t>
      </w:r>
      <w:r>
        <w:rPr/>
        <w:t>）单体瓶内氩气置换</w:t>
      </w:r>
      <w:r>
        <w:rPr>
          <w:rFonts w:eastAsia="Times New Roman"/>
        </w:rPr>
        <w:t xml:space="preserve">  </w:t>
      </w:r>
      <w:r>
        <w:rPr/>
        <w:t>单体溶液抽真空，然后充入氩气，再抽真空，反复</w:t>
      </w:r>
      <w:r>
        <w:rPr/>
        <w:t>3</w:t>
      </w:r>
      <w:r>
        <w:rPr>
          <w:rFonts w:ascii="宋体;SimSun" w:hAnsi="宋体;SimSun" w:cs="宋体;SimSun"/>
        </w:rPr>
        <w:t>～</w:t>
      </w:r>
      <w:r>
        <w:rPr/>
        <w:t>4</w:t>
      </w:r>
      <w:r>
        <w:rPr/>
        <w:t>次使单体瓶中形成氩气氛围，最后单体瓶内压力保持为</w:t>
      </w:r>
      <w:r>
        <w:rPr/>
        <w:t>10</w:t>
      </w:r>
      <w:r>
        <w:rPr/>
        <w:t>Pa</w:t>
      </w:r>
      <w:r>
        <w:rPr/>
        <w:t>。</w:t>
      </w:r>
    </w:p>
    <w:p>
      <w:pPr>
        <w:pStyle w:val="Normal"/>
        <w:ind w:firstLine="419"/>
        <w:rPr/>
      </w:pPr>
      <w:r>
        <w:rPr/>
        <w:t>（</w:t>
      </w:r>
      <w:r>
        <w:rPr/>
        <w:t>4</w:t>
      </w:r>
      <w:r>
        <w:rPr/>
        <w:t>）等离子体引发</w:t>
      </w:r>
      <w:r>
        <w:rPr>
          <w:rFonts w:eastAsia="Times New Roman"/>
        </w:rPr>
        <w:t xml:space="preserve">  </w:t>
      </w:r>
      <w:r>
        <w:rPr/>
        <w:t>对基材瓶内进行氩气置换，反复</w:t>
      </w:r>
      <w:r>
        <w:rPr/>
        <w:t>3</w:t>
      </w:r>
      <w:r>
        <w:rPr>
          <w:rFonts w:ascii="宋体;SimSun" w:hAnsi="宋体;SimSun" w:cs="宋体;SimSun"/>
        </w:rPr>
        <w:t>～</w:t>
      </w:r>
      <w:r>
        <w:rPr/>
        <w:t>4</w:t>
      </w:r>
      <w:r>
        <w:rPr/>
        <w:t>次，压力亦控制为</w:t>
      </w:r>
      <w:r>
        <w:rPr/>
        <w:t>10</w:t>
      </w:r>
      <w:r>
        <w:rPr/>
        <w:t>Pa</w:t>
      </w:r>
      <w:r>
        <w:rPr/>
        <w:t>。启动射频功率源，对基材膜进行等离子体引发处理。</w:t>
      </w:r>
    </w:p>
    <w:p>
      <w:pPr>
        <w:pStyle w:val="Normal"/>
        <w:ind w:firstLine="419"/>
        <w:rPr/>
      </w:pPr>
      <w:r>
        <w:rPr/>
        <w:t>（</w:t>
      </w:r>
      <w:r>
        <w:rPr/>
        <w:t>5</w:t>
      </w:r>
      <w:r>
        <w:rPr/>
        <w:t>）接枝聚合</w:t>
      </w:r>
      <w:r>
        <w:rPr>
          <w:rFonts w:eastAsia="Times New Roman"/>
        </w:rPr>
        <w:t xml:space="preserve">  </w:t>
      </w:r>
      <w:r>
        <w:rPr/>
        <w:t>向基材瓶中导入</w:t>
      </w:r>
      <w:r>
        <w:rPr/>
        <w:t>NIPAM</w:t>
      </w:r>
      <w:r>
        <w:rPr/>
        <w:t>单体溶液，在</w:t>
      </w:r>
      <w:r>
        <w:rPr/>
        <w:t>30</w:t>
      </w:r>
      <w:r>
        <w:rPr>
          <w:rFonts w:cs="宋体;SimSun" w:ascii="宋体;SimSun" w:hAnsi="宋体;SimSun"/>
        </w:rPr>
        <w:t>℃</w:t>
      </w:r>
      <w:r>
        <w:rPr/>
        <w:t>恒温水浴中进行接枝聚合反应。反应进行到设定时间后，导入氧气使反应停止。</w:t>
      </w:r>
    </w:p>
    <w:p>
      <w:pPr>
        <w:pStyle w:val="Normal"/>
        <w:ind w:firstLine="419"/>
        <w:rPr/>
      </w:pPr>
      <w:r>
        <w:rPr/>
        <w:t>（</w:t>
      </w:r>
      <w:r>
        <w:rPr/>
        <w:t>6</w:t>
      </w:r>
      <w:r>
        <w:rPr/>
        <w:t>）接枝膜的清洗</w:t>
      </w:r>
      <w:r>
        <w:rPr>
          <w:rFonts w:eastAsia="Times New Roman"/>
        </w:rPr>
        <w:t xml:space="preserve">  </w:t>
      </w:r>
      <w:r>
        <w:rPr/>
        <w:t>将接枝膜浸入双重去离子水，在</w:t>
      </w:r>
      <w:r>
        <w:rPr/>
        <w:t>30</w:t>
      </w:r>
      <w:r>
        <w:rPr>
          <w:rFonts w:cs="宋体;SimSun" w:ascii="宋体;SimSun" w:hAnsi="宋体;SimSun"/>
        </w:rPr>
        <w:t>℃</w:t>
      </w:r>
      <w:r>
        <w:rPr/>
        <w:t>恒温水浴中进行振荡清洗</w:t>
      </w:r>
      <w:r>
        <w:rPr/>
        <w:t>24h</w:t>
      </w:r>
      <w:r>
        <w:rPr/>
        <w:t>，每隔</w:t>
      </w:r>
      <w:r>
        <w:rPr/>
        <w:t>8h</w:t>
      </w:r>
      <w:r>
        <w:rPr/>
        <w:t>更换一次去离子水。清洗后，膜在</w:t>
      </w:r>
      <w:r>
        <w:rPr/>
        <w:t>50</w:t>
      </w:r>
      <w:r>
        <w:rPr>
          <w:rFonts w:cs="宋体;SimSun" w:ascii="宋体;SimSun" w:hAnsi="宋体;SimSun"/>
        </w:rPr>
        <w:t>℃</w:t>
      </w:r>
      <w:r>
        <w:rPr/>
        <w:t>下真空干燥至恒量。</w:t>
      </w:r>
    </w:p>
    <w:p>
      <w:pPr>
        <w:pStyle w:val="Normal"/>
        <w:ind w:firstLine="419"/>
        <w:rPr/>
      </w:pPr>
      <w:r>
        <w:rPr/>
        <w:t>PNIPAM</w:t>
      </w:r>
      <w:r>
        <w:rPr/>
        <w:t>在</w:t>
      </w:r>
      <w:r>
        <w:rPr/>
        <w:t>PVDF</w:t>
      </w:r>
      <w:r>
        <w:rPr/>
        <w:t>基材膜上的接枝情况用</w:t>
      </w:r>
      <w:r>
        <w:rPr/>
        <w:t>FTIR</w:t>
      </w:r>
      <w:r>
        <w:rPr/>
        <w:t>和</w:t>
      </w:r>
      <w:r>
        <w:rPr/>
        <w:t>SEM</w:t>
      </w:r>
      <w:r>
        <w:rPr/>
        <w:t>进行表征。接枝量的大小用接枝率来表示，即</w:t>
      </w:r>
      <w:r>
        <w:rPr/>
        <w:t>PVDF</w:t>
      </w:r>
      <w:r>
        <w:rPr/>
        <w:t>多孔基材膜接枝</w:t>
      </w:r>
      <w:r>
        <w:rPr/>
        <w:t>PNIPAM</w:t>
      </w:r>
      <w:r>
        <w:rPr/>
        <w:t>开关前后的质量变化率，用式</w:t>
      </w:r>
      <w:r>
        <w:rPr/>
        <w:t>(1)</w:t>
      </w:r>
      <w:r>
        <w:rPr/>
        <w:t>计算。</w:t>
      </w:r>
    </w:p>
    <w:p>
      <w:pPr>
        <w:pStyle w:val="Normal"/>
        <w:jc w:val="right"/>
        <w:rPr>
          <w:sz w:val="18"/>
          <w:szCs w:val="18"/>
        </w:rPr>
      </w:pPr>
      <w:r>
        <w:rPr>
          <w:sz w:val="18"/>
          <w:szCs w:val="18"/>
        </w:rPr>
      </w:r>
      <m:oMath xmlns:m="http://schemas.openxmlformats.org/officeDocument/2006/math">
        <m:r>
          <w:rPr>
            <w:rFonts w:ascii="Cambria Math" w:hAnsi="Cambria Math"/>
          </w:rPr>
          <m:t xml:space="preserve">Y</m:t>
        </m:r>
        <m:r>
          <w:rPr>
            <w:rFonts w:ascii="Cambria Math" w:hAnsi="Cambria Math"/>
          </w:rPr>
          <m:t xml:space="preserve">=</m:t>
        </m:r>
        <m:f>
          <m:num>
            <m:sSub>
              <m:e>
                <m:r>
                  <w:rPr>
                    <w:rFonts w:ascii="Cambria Math" w:hAnsi="Cambria Math"/>
                  </w:rPr>
                  <m:t xml:space="preserve">W</m:t>
                </m:r>
              </m:e>
              <m:sub>
                <m:r>
                  <w:rPr>
                    <w:rFonts w:ascii="Cambria Math" w:hAnsi="Cambria Math"/>
                  </w:rPr>
                  <m:t xml:space="preserve">g</m:t>
                </m:r>
              </m:sub>
            </m:sSub>
            <m:r>
              <w:rPr>
                <w:rFonts w:ascii="Cambria Math" w:hAnsi="Cambria Math"/>
              </w:rPr>
              <m:t xml:space="preserve">−</m:t>
            </m:r>
            <m:sSub>
              <m:e>
                <m:r>
                  <w:rPr>
                    <w:rFonts w:ascii="Cambria Math" w:hAnsi="Cambria Math"/>
                  </w:rPr>
                  <m:t xml:space="preserve">W</m:t>
                </m:r>
              </m:e>
              <m:sub>
                <m:r>
                  <w:rPr>
                    <w:rFonts w:ascii="Cambria Math" w:hAnsi="Cambria Math"/>
                  </w:rPr>
                  <m:t xml:space="preserve">0</m:t>
                </m:r>
              </m:sub>
            </m:sSub>
          </m:num>
          <m:den>
            <m:sSub>
              <m:e>
                <m:r>
                  <w:rPr>
                    <w:rFonts w:ascii="Cambria Math" w:hAnsi="Cambria Math"/>
                  </w:rPr>
                  <m:t xml:space="preserve">W</m:t>
                </m:r>
              </m:e>
              <m:sub>
                <m:r>
                  <w:rPr>
                    <w:rFonts w:ascii="Cambria Math" w:hAnsi="Cambria Math"/>
                  </w:rPr>
                  <m:t xml:space="preserve">0</m:t>
                </m:r>
              </m:sub>
            </m:sSub>
          </m:den>
        </m:f>
        <m:r>
          <w:rPr>
            <w:rFonts w:ascii="Cambria Math" w:hAnsi="Cambria Math"/>
          </w:rPr>
          <m:t xml:space="preserve">×</m:t>
        </m:r>
        <m:r>
          <m:rPr>
            <m:lit/>
            <m:nor/>
          </m:rPr>
          <w:rPr>
            <w:rFonts w:ascii="Cambria Math" w:hAnsi="Cambria Math"/>
          </w:rPr>
          <m:t xml:space="preserve">100</m:t>
        </m:r>
        <m:r>
          <m:rPr>
            <m:lit/>
            <m:nor/>
          </m:rPr>
          <w:rPr>
            <w:rFonts w:ascii="Cambria Math" w:hAnsi="Cambria Math"/>
          </w:rPr>
          <m:t xml:space="preserve">%</m:t>
        </m:r>
      </m:oMath>
      <w:r>
        <w:rPr>
          <w:rFonts w:eastAsia="Times New Roman"/>
          <w:sz w:val="18"/>
          <w:szCs w:val="18"/>
        </w:rPr>
        <w:t xml:space="preserve">                    </w:t>
      </w:r>
      <w:r>
        <w:rPr>
          <w:rFonts w:eastAsia="Times New Roman"/>
          <w:sz w:val="18"/>
          <w:szCs w:val="18"/>
        </w:rPr>
        <w:t xml:space="preserve">   </w:t>
      </w:r>
      <w:r>
        <w:rPr>
          <w:rFonts w:eastAsia="Times New Roman"/>
          <w:sz w:val="18"/>
          <w:szCs w:val="18"/>
        </w:rPr>
        <w:t xml:space="preserve">    </w:t>
      </w:r>
      <w:r>
        <w:rPr>
          <w:sz w:val="18"/>
          <w:szCs w:val="18"/>
        </w:rPr>
        <w:t>(1)</w:t>
      </w:r>
    </w:p>
    <w:p>
      <w:pPr>
        <w:pStyle w:val="Normal"/>
        <w:rPr>
          <w:color w:val="FF0000"/>
        </w:rPr>
      </w:pPr>
      <w:r>
        <w:rPr>
          <w:color w:val="FF0000"/>
        </w:rPr>
        <w:t>公式依全文中出现的顺序统一编号，半角括号加数字。物理量符号注意用斜体（下脚一般为正体，变量为斜体）。请使用</w:t>
      </w:r>
      <w:r>
        <w:rPr>
          <w:color w:val="FF0000"/>
        </w:rPr>
        <w:t>Mathtype</w:t>
      </w:r>
      <w:r>
        <w:rPr>
          <w:color w:val="FF0000"/>
        </w:rPr>
        <w:t>等公式编辑器，不要使用文本输入或</w:t>
      </w:r>
      <w:r>
        <w:rPr>
          <w:color w:val="FF0000"/>
        </w:rPr>
        <w:t>word</w:t>
      </w:r>
      <w:r>
        <w:rPr>
          <w:color w:val="FF0000"/>
        </w:rPr>
        <w:t>自带的公式编辑器；避免以文字、图片的形式插入；不要放在表格、文本框中。</w:t>
      </w:r>
    </w:p>
    <w:p>
      <w:pPr>
        <w:pStyle w:val="Normal"/>
        <w:rPr>
          <w:b/>
          <w:b/>
          <w:bCs/>
        </w:rPr>
      </w:pPr>
      <w:r>
        <w:rPr>
          <w:b/>
          <w:bCs/>
        </w:rPr>
        <w:t xml:space="preserve">1.5  </w:t>
      </w:r>
      <w:r>
        <w:rPr>
          <w:b/>
          <w:bCs/>
        </w:rPr>
        <w:t>PNIPAM</w:t>
      </w:r>
      <w:r>
        <w:rPr>
          <w:rFonts w:ascii="黑体;SimHei" w:hAnsi="黑体;SimHei" w:cs="黑体;SimHei" w:eastAsia="黑体;SimHei"/>
          <w:bCs/>
        </w:rPr>
        <w:t>接枝开关膜的温度感应性能实验</w:t>
      </w:r>
    </w:p>
    <w:p>
      <w:pPr>
        <w:pStyle w:val="Normal"/>
        <w:ind w:firstLine="419"/>
        <w:rPr/>
      </w:pPr>
      <w:r>
        <w:rPr/>
        <w:t>PNIPAM</w:t>
      </w:r>
      <w:r>
        <w:rPr/>
        <w:t>接枝开关膜的温度感应开关特性用其在不同温度条件下真空过滤时水通量（</w:t>
      </w:r>
      <w:r>
        <w:rPr>
          <w:i/>
          <w:iCs/>
        </w:rPr>
        <w:t>J</w:t>
      </w:r>
      <w:r>
        <w:rPr/>
        <w:t>）</w:t>
      </w:r>
      <w:r>
        <w:rPr>
          <w:color w:val="FF0000"/>
        </w:rPr>
        <w:t>（物理量符号在文中首次出现时，前面应有其中文名词，后文重复出现时可直接用符号表示）</w:t>
      </w:r>
      <w:r>
        <w:rPr/>
        <w:t>的变化来进行表征。在不同温度条件下，真空过滤压差恒定为</w:t>
      </w:r>
      <w:r>
        <w:rPr>
          <w:rFonts w:eastAsia="Times New Roman"/>
        </w:rPr>
        <w:t xml:space="preserve"> </w:t>
      </w:r>
      <w:r>
        <w:rPr>
          <w:rFonts w:cs="宋体;SimSun" w:ascii="宋体;SimSun" w:hAnsi="宋体;SimSun"/>
        </w:rPr>
        <w:t>-</w:t>
      </w:r>
      <w:r>
        <w:rPr/>
        <w:t>90kPa</w:t>
      </w:r>
      <w:r>
        <w:rPr/>
        <w:t>。由于</w:t>
      </w:r>
      <w:r>
        <w:rPr/>
        <w:t>PNIPAM</w:t>
      </w:r>
      <w:r>
        <w:rPr/>
        <w:t>的低临界溶解温度（</w:t>
      </w:r>
      <w:r>
        <w:rPr/>
        <w:t>LCST</w:t>
      </w:r>
      <w:r>
        <w:rPr/>
        <w:t>）一般在</w:t>
      </w:r>
      <w:r>
        <w:rPr/>
        <w:t>32</w:t>
      </w:r>
      <w:r>
        <w:rPr>
          <w:rFonts w:cs="宋体;SimSun" w:ascii="宋体;SimSun" w:hAnsi="宋体;SimSun"/>
        </w:rPr>
        <w:t>℃</w:t>
      </w:r>
      <w:r>
        <w:rPr/>
        <w:t>左右，所以将膜的环境温度变化范围设定为</w:t>
      </w:r>
      <w:r>
        <w:rPr/>
        <w:t>25</w:t>
      </w:r>
      <w:r>
        <w:rPr>
          <w:rFonts w:ascii="宋体;SimSun" w:hAnsi="宋体;SimSun" w:cs="宋体;SimSun"/>
        </w:rPr>
        <w:t>～</w:t>
      </w:r>
      <w:r>
        <w:rPr/>
        <w:t>40</w:t>
      </w:r>
      <w:r>
        <w:rPr>
          <w:rFonts w:cs="宋体;SimSun" w:ascii="宋体;SimSun" w:hAnsi="宋体;SimSun"/>
        </w:rPr>
        <w:t>℃</w:t>
      </w:r>
      <w:r>
        <w:rPr/>
        <w:t>。</w:t>
      </w:r>
    </w:p>
    <w:p>
      <w:pPr>
        <w:pStyle w:val="Normal"/>
        <w:rPr>
          <w:rFonts w:eastAsia="仿宋_GB2312"/>
          <w:sz w:val="28"/>
        </w:rPr>
      </w:pPr>
      <w:r>
        <w:rPr>
          <w:rFonts w:eastAsia="仿宋_GB2312"/>
          <w:sz w:val="28"/>
        </w:rPr>
        <w:t xml:space="preserve">2  </w:t>
      </w:r>
      <w:r>
        <w:rPr>
          <w:rFonts w:ascii="仿宋" w:hAnsi="仿宋" w:cs="仿宋" w:eastAsia="仿宋"/>
          <w:sz w:val="28"/>
        </w:rPr>
        <w:t>结果与讨论</w:t>
      </w:r>
    </w:p>
    <w:p>
      <w:pPr>
        <w:pStyle w:val="Normal"/>
        <w:rPr>
          <w:b/>
          <w:b/>
          <w:bCs/>
        </w:rPr>
      </w:pPr>
      <w:r>
        <w:rPr>
          <w:b/>
          <w:bCs/>
        </w:rPr>
        <w:t xml:space="preserve">2.1  </w:t>
      </w:r>
      <w:r>
        <w:rPr>
          <w:rFonts w:ascii="黑体;SimHei" w:hAnsi="黑体;SimHei" w:cs="黑体;SimHei" w:eastAsia="黑体;SimHei"/>
          <w:bCs/>
        </w:rPr>
        <w:t>温敏型</w:t>
      </w:r>
      <w:r>
        <w:rPr>
          <w:rFonts w:eastAsia="黑体;SimHei"/>
          <w:b/>
          <w:bCs/>
        </w:rPr>
        <w:t>PNIPAM</w:t>
      </w:r>
      <w:r>
        <w:rPr>
          <w:rFonts w:ascii="黑体;SimHei" w:hAnsi="黑体;SimHei" w:cs="黑体;SimHei" w:eastAsia="黑体;SimHei"/>
          <w:bCs/>
        </w:rPr>
        <w:t>接枝开关膜的制备与表征</w:t>
      </w:r>
    </w:p>
    <w:p>
      <w:pPr>
        <w:pStyle w:val="Normal"/>
        <w:rPr>
          <w:kern w:val="0"/>
        </w:rPr>
      </w:pPr>
      <w:r>
        <w:rPr/>
        <w:t xml:space="preserve">2.1.1  </w:t>
      </w:r>
      <w:r>
        <w:rPr>
          <w:kern w:val="0"/>
        </w:rPr>
        <w:t>等离子体诱导填孔接枝聚合原理</w:t>
      </w:r>
    </w:p>
    <w:p>
      <w:pPr>
        <w:pStyle w:val="Normal"/>
        <w:ind w:firstLine="419"/>
        <w:rPr>
          <w:kern w:val="0"/>
        </w:rPr>
      </w:pPr>
      <w:r>
        <w:rPr>
          <w:kern w:val="0"/>
        </w:rPr>
        <w:t>等离子体（无论是惰性气体还是活性气体）只要与高分子材料短时间（数十秒到几分钟）接触就能有效地使高分子材料表面层中产生大量自由基。本实验所采用的是</w:t>
      </w:r>
      <w:r>
        <w:rPr>
          <w:kern w:val="0"/>
        </w:rPr>
        <w:t>Ar</w:t>
      </w:r>
      <w:r>
        <w:rPr>
          <w:kern w:val="0"/>
        </w:rPr>
        <w:t>气辉光放电等离子体，基材膜为</w:t>
      </w:r>
      <w:r>
        <w:rPr>
          <w:kern w:val="0"/>
        </w:rPr>
        <w:t>PVDF</w:t>
      </w:r>
      <w:r>
        <w:rPr>
          <w:kern w:val="0"/>
        </w:rPr>
        <w:t>微孔膜。产生自由基的反应可表示为</w:t>
      </w:r>
      <w:r>
        <w:rPr>
          <w:kern w:val="0"/>
        </w:rPr>
        <w:t>式</w:t>
      </w:r>
      <w:r>
        <w:rPr>
          <w:kern w:val="0"/>
        </w:rPr>
        <w:t>(2)</w:t>
      </w:r>
      <w:r>
        <w:rPr>
          <w:kern w:val="0"/>
        </w:rPr>
        <w:t>。</w:t>
      </w:r>
    </w:p>
    <w:p>
      <w:pPr>
        <w:pStyle w:val="Normal"/>
        <w:widowControl/>
        <w:tabs>
          <w:tab w:val="clear" w:pos="420"/>
          <w:tab w:val="left" w:pos="2205" w:leader="none"/>
        </w:tabs>
        <w:jc w:val="right"/>
        <w:rPr>
          <w:kern w:val="0"/>
          <w:sz w:val="18"/>
          <w:szCs w:val="18"/>
        </w:rPr>
      </w:pPr>
      <w:r>
        <w:rPr>
          <w:kern w:val="0"/>
          <w:sz w:val="18"/>
          <w:szCs w:val="18"/>
        </w:rPr>
        <w:t>Ar</w:t>
      </w:r>
      <w:r>
        <w:rPr>
          <w:rFonts w:cs="宋体;SimSun" w:ascii="宋体;SimSun" w:hAnsi="宋体;SimSun"/>
          <w:kern w:val="0"/>
          <w:sz w:val="18"/>
          <w:szCs w:val="18"/>
        </w:rPr>
        <w:t>→</w:t>
      </w:r>
      <w:r>
        <w:rPr>
          <w:i/>
          <w:iCs/>
          <w:kern w:val="0"/>
          <w:sz w:val="18"/>
          <w:szCs w:val="18"/>
        </w:rPr>
        <w:t>h</w:t>
      </w:r>
      <w:r>
        <w:rPr>
          <w:rFonts w:eastAsia="Symbol" w:cs="Symbol" w:ascii="Symbol" w:hAnsi="Symbol"/>
          <w:i/>
          <w:iCs/>
          <w:kern w:val="0"/>
          <w:sz w:val="18"/>
          <w:szCs w:val="18"/>
        </w:rPr>
        <w:t></w:t>
      </w:r>
      <w:r>
        <w:rPr>
          <w:kern w:val="0"/>
          <w:sz w:val="18"/>
          <w:szCs w:val="18"/>
        </w:rPr>
        <w:t>＋</w:t>
      </w:r>
      <w:r>
        <w:rPr>
          <w:kern w:val="0"/>
          <w:sz w:val="18"/>
          <w:szCs w:val="18"/>
        </w:rPr>
        <w:t>e</w:t>
      </w:r>
      <w:r>
        <w:rPr>
          <w:kern w:val="0"/>
          <w:sz w:val="18"/>
          <w:szCs w:val="18"/>
        </w:rPr>
        <w:t>＋</w:t>
      </w:r>
      <w:r>
        <w:rPr>
          <w:kern w:val="0"/>
          <w:sz w:val="18"/>
          <w:szCs w:val="18"/>
        </w:rPr>
        <w:t>Ar</w:t>
      </w:r>
      <w:r>
        <w:rPr>
          <w:kern w:val="0"/>
          <w:sz w:val="18"/>
          <w:szCs w:val="18"/>
          <w:vertAlign w:val="superscript"/>
        </w:rPr>
        <w:t>+</w:t>
      </w:r>
      <w:r>
        <w:rPr>
          <w:kern w:val="0"/>
          <w:sz w:val="18"/>
          <w:szCs w:val="18"/>
        </w:rPr>
        <w:t>＋</w:t>
      </w:r>
      <w:r>
        <w:rPr>
          <w:kern w:val="0"/>
          <w:sz w:val="18"/>
          <w:szCs w:val="18"/>
        </w:rPr>
        <w:t>Ar</w:t>
      </w:r>
      <w:r>
        <w:rPr>
          <w:kern w:val="0"/>
          <w:sz w:val="18"/>
          <w:szCs w:val="18"/>
          <w:vertAlign w:val="superscript"/>
        </w:rPr>
        <w:t>－</w:t>
      </w:r>
      <w:r>
        <w:rPr>
          <w:kern w:val="0"/>
          <w:sz w:val="18"/>
          <w:szCs w:val="18"/>
        </w:rPr>
        <w:t>＋</w:t>
      </w:r>
      <w:r>
        <w:rPr>
          <w:kern w:val="0"/>
          <w:sz w:val="18"/>
          <w:szCs w:val="18"/>
        </w:rPr>
        <w:t>Ar</w:t>
      </w:r>
      <w:r>
        <w:rPr>
          <w:kern w:val="0"/>
          <w:sz w:val="18"/>
          <w:szCs w:val="18"/>
          <w:vertAlign w:val="superscript"/>
        </w:rPr>
        <w:t>*</w:t>
      </w:r>
      <w:r>
        <w:rPr>
          <w:kern w:val="0"/>
          <w:sz w:val="18"/>
          <w:szCs w:val="18"/>
        </w:rPr>
        <w:t>＋…</w:t>
      </w:r>
      <w:r>
        <w:rPr>
          <w:rFonts w:eastAsia="Times New Roman"/>
          <w:kern w:val="0"/>
          <w:sz w:val="18"/>
          <w:szCs w:val="18"/>
        </w:rPr>
        <w:t xml:space="preserve">  </w:t>
      </w:r>
      <w:r>
        <w:rPr>
          <w:kern w:val="0"/>
          <w:sz w:val="18"/>
          <w:szCs w:val="18"/>
        </w:rPr>
        <w:t>(</w:t>
      </w:r>
      <w:r>
        <w:rPr>
          <w:kern w:val="0"/>
          <w:sz w:val="18"/>
          <w:szCs w:val="18"/>
        </w:rPr>
        <w:t>等离子体化</w:t>
      </w:r>
      <w:r>
        <w:rPr>
          <w:kern w:val="0"/>
          <w:sz w:val="18"/>
          <w:szCs w:val="18"/>
        </w:rPr>
        <w:t>)</w:t>
      </w:r>
      <w:r>
        <w:rPr>
          <w:kern w:val="0"/>
          <w:sz w:val="18"/>
          <w:szCs w:val="18"/>
        </w:rPr>
        <w:t xml:space="preserve">                    (2)</w:t>
      </w:r>
    </w:p>
    <w:p>
      <w:pPr>
        <w:pStyle w:val="Normal"/>
        <w:widowControl/>
        <w:tabs>
          <w:tab w:val="clear" w:pos="420"/>
          <w:tab w:val="left" w:pos="1785" w:leader="none"/>
        </w:tabs>
        <w:ind w:firstLine="419"/>
        <w:jc w:val="left"/>
        <w:rPr>
          <w:kern w:val="0"/>
        </w:rPr>
      </w:pPr>
      <w:r>
        <w:rPr>
          <w:kern w:val="0"/>
        </w:rPr>
        <w:t>式中，</w:t>
      </w:r>
      <w:r>
        <w:rPr>
          <w:i/>
          <w:iCs/>
          <w:kern w:val="0"/>
        </w:rPr>
        <w:t>h</w:t>
      </w:r>
      <w:r>
        <w:rPr>
          <w:rFonts w:eastAsia="Symbol" w:cs="Symbol" w:ascii="Symbol" w:hAnsi="Symbol"/>
          <w:i/>
          <w:iCs/>
          <w:kern w:val="0"/>
        </w:rPr>
        <w:t></w:t>
      </w:r>
      <w:r>
        <w:rPr>
          <w:kern w:val="0"/>
        </w:rPr>
        <w:t>为等离子体辐射的紫外光；</w:t>
      </w:r>
      <w:r>
        <w:rPr>
          <w:kern w:val="0"/>
        </w:rPr>
        <w:t>Ar</w:t>
      </w:r>
      <w:r>
        <w:rPr>
          <w:kern w:val="0"/>
          <w:vertAlign w:val="superscript"/>
        </w:rPr>
        <w:t>*</w:t>
      </w:r>
      <w:r>
        <w:rPr>
          <w:kern w:val="0"/>
        </w:rPr>
        <w:t>为激发态氩分子。等离子体的这些活性物种与</w:t>
      </w:r>
      <w:r>
        <w:rPr>
          <w:kern w:val="0"/>
        </w:rPr>
        <w:t>PVDF</w:t>
      </w:r>
      <w:r>
        <w:rPr>
          <w:kern w:val="0"/>
        </w:rPr>
        <w:t>膜孔表面（包括膜孔内表面）将会发生如</w:t>
      </w:r>
      <w:r>
        <w:rPr>
          <w:kern w:val="0"/>
        </w:rPr>
        <w:t>式</w:t>
      </w:r>
      <w:r>
        <w:rPr>
          <w:kern w:val="0"/>
        </w:rPr>
        <w:t>(3)</w:t>
      </w:r>
      <w:r>
        <w:rPr>
          <w:kern w:val="0"/>
        </w:rPr>
        <w:t>、式</w:t>
      </w:r>
      <w:r>
        <w:rPr>
          <w:kern w:val="0"/>
        </w:rPr>
        <w:t>(4)</w:t>
      </w:r>
      <w:r>
        <w:rPr>
          <w:kern w:val="0"/>
        </w:rPr>
        <w:t>的</w:t>
      </w:r>
      <w:r>
        <w:rPr>
          <w:kern w:val="0"/>
        </w:rPr>
        <w:t>一些生成自由基的反应</w:t>
      </w:r>
      <w:r>
        <w:rPr>
          <w:kern w:val="0"/>
        </w:rPr>
        <w:t>。</w:t>
      </w:r>
    </w:p>
    <w:p>
      <w:pPr>
        <w:pStyle w:val="Normal"/>
        <w:widowControl/>
        <w:tabs>
          <w:tab w:val="clear" w:pos="420"/>
          <w:tab w:val="left" w:pos="1995" w:leader="none"/>
        </w:tabs>
        <w:jc w:val="right"/>
        <w:rPr>
          <w:kern w:val="0"/>
          <w:sz w:val="18"/>
          <w:szCs w:val="18"/>
        </w:rPr>
      </w:pPr>
      <w:r>
        <w:rPr>
          <w:kern w:val="0"/>
          <w:sz w:val="18"/>
          <w:szCs w:val="18"/>
        </w:rPr>
        <w:t>RF</w:t>
      </w:r>
      <w:r>
        <w:rPr>
          <w:rFonts w:cs="宋体;SimSun" w:ascii="宋体;SimSun" w:hAnsi="宋体;SimSun"/>
          <w:kern w:val="0"/>
          <w:sz w:val="18"/>
          <w:szCs w:val="18"/>
        </w:rPr>
        <w:t>→</w:t>
      </w:r>
      <w:r>
        <w:rPr>
          <w:kern w:val="0"/>
          <w:sz w:val="18"/>
          <w:szCs w:val="18"/>
        </w:rPr>
        <w:t>R•</w:t>
      </w:r>
      <w:r>
        <w:rPr>
          <w:kern w:val="0"/>
          <w:sz w:val="18"/>
          <w:szCs w:val="18"/>
        </w:rPr>
        <w:t>＋</w:t>
      </w:r>
      <w:r>
        <w:rPr>
          <w:kern w:val="0"/>
          <w:sz w:val="18"/>
          <w:szCs w:val="18"/>
        </w:rPr>
        <w:t xml:space="preserve">F•  </w:t>
      </w:r>
      <w:r>
        <w:rPr>
          <w:kern w:val="0"/>
          <w:sz w:val="18"/>
          <w:szCs w:val="18"/>
        </w:rPr>
        <w:t xml:space="preserve">               </w:t>
      </w:r>
      <w:r>
        <w:rPr>
          <w:kern w:val="0"/>
          <w:sz w:val="18"/>
          <w:szCs w:val="18"/>
        </w:rPr>
        <w:t xml:space="preserve">  </w:t>
      </w:r>
      <w:r>
        <w:rPr>
          <w:kern w:val="0"/>
          <w:sz w:val="18"/>
          <w:szCs w:val="18"/>
        </w:rPr>
        <w:t>（受紫外光的作用）</w:t>
      </w:r>
      <w:r>
        <w:rPr>
          <w:rFonts w:eastAsia="Times New Roman"/>
          <w:kern w:val="0"/>
          <w:sz w:val="18"/>
          <w:szCs w:val="18"/>
        </w:rPr>
        <w:t xml:space="preserve">              </w:t>
      </w:r>
      <w:r>
        <w:rPr>
          <w:kern w:val="0"/>
          <w:sz w:val="18"/>
          <w:szCs w:val="18"/>
        </w:rPr>
        <w:t>(3)</w:t>
      </w:r>
    </w:p>
    <w:p>
      <w:pPr>
        <w:pStyle w:val="Normal"/>
        <w:widowControl/>
        <w:tabs>
          <w:tab w:val="clear" w:pos="420"/>
          <w:tab w:val="left" w:pos="1785" w:leader="none"/>
        </w:tabs>
        <w:jc w:val="right"/>
        <w:rPr>
          <w:kern w:val="0"/>
          <w:sz w:val="18"/>
          <w:szCs w:val="18"/>
        </w:rPr>
      </w:pPr>
      <w:r>
        <w:rPr>
          <w:kern w:val="0"/>
          <w:sz w:val="18"/>
          <w:szCs w:val="18"/>
        </w:rPr>
        <w:t>RF</w:t>
      </w:r>
      <w:r>
        <w:rPr>
          <w:kern w:val="0"/>
          <w:sz w:val="18"/>
          <w:szCs w:val="18"/>
        </w:rPr>
        <w:t>＋</w:t>
      </w:r>
      <w:r>
        <w:rPr>
          <w:kern w:val="0"/>
          <w:sz w:val="18"/>
          <w:szCs w:val="18"/>
        </w:rPr>
        <w:t>Ar</w:t>
      </w:r>
      <w:r>
        <w:rPr>
          <w:kern w:val="0"/>
          <w:sz w:val="18"/>
          <w:szCs w:val="18"/>
          <w:vertAlign w:val="superscript"/>
        </w:rPr>
        <w:t>*</w:t>
      </w:r>
      <w:r>
        <w:rPr>
          <w:rFonts w:cs="宋体;SimSun" w:ascii="宋体;SimSun" w:hAnsi="宋体;SimSun"/>
          <w:kern w:val="0"/>
          <w:sz w:val="18"/>
          <w:szCs w:val="18"/>
        </w:rPr>
        <w:t>→</w:t>
      </w:r>
      <w:r>
        <w:rPr>
          <w:kern w:val="0"/>
          <w:sz w:val="18"/>
          <w:szCs w:val="18"/>
        </w:rPr>
        <w:t>RF</w:t>
      </w:r>
      <w:r>
        <w:rPr>
          <w:kern w:val="0"/>
          <w:sz w:val="18"/>
          <w:szCs w:val="18"/>
          <w:vertAlign w:val="superscript"/>
        </w:rPr>
        <w:t>*</w:t>
      </w:r>
      <w:r>
        <w:rPr>
          <w:kern w:val="0"/>
          <w:sz w:val="18"/>
          <w:szCs w:val="18"/>
        </w:rPr>
        <w:t>＋</w:t>
      </w:r>
      <w:r>
        <w:rPr>
          <w:kern w:val="0"/>
          <w:sz w:val="18"/>
          <w:szCs w:val="18"/>
        </w:rPr>
        <w:t xml:space="preserve">Ar </w:t>
      </w:r>
      <w:r>
        <w:rPr>
          <w:kern w:val="0"/>
          <w:sz w:val="18"/>
          <w:szCs w:val="18"/>
        </w:rPr>
        <w:t>或</w:t>
      </w:r>
      <w:r>
        <w:rPr>
          <w:rFonts w:eastAsia="Times New Roman"/>
          <w:kern w:val="0"/>
          <w:sz w:val="18"/>
          <w:szCs w:val="18"/>
        </w:rPr>
        <w:t xml:space="preserve"> </w:t>
      </w:r>
      <w:r>
        <w:rPr>
          <w:kern w:val="0"/>
          <w:sz w:val="18"/>
          <w:szCs w:val="18"/>
        </w:rPr>
        <w:t>R•</w:t>
      </w:r>
      <w:r>
        <w:rPr>
          <w:kern w:val="0"/>
          <w:sz w:val="18"/>
          <w:szCs w:val="18"/>
        </w:rPr>
        <w:t>＋</w:t>
      </w:r>
      <w:r>
        <w:rPr>
          <w:kern w:val="0"/>
          <w:sz w:val="18"/>
          <w:szCs w:val="18"/>
        </w:rPr>
        <w:t>F•</w:t>
      </w:r>
      <w:r>
        <w:rPr>
          <w:kern w:val="0"/>
          <w:sz w:val="18"/>
          <w:szCs w:val="18"/>
        </w:rPr>
        <w:t>＋</w:t>
      </w:r>
      <w:r>
        <w:rPr>
          <w:kern w:val="0"/>
          <w:sz w:val="18"/>
          <w:szCs w:val="18"/>
        </w:rPr>
        <w:t xml:space="preserve">Ar    </w:t>
      </w:r>
      <w:r>
        <w:rPr>
          <w:kern w:val="0"/>
          <w:sz w:val="18"/>
          <w:szCs w:val="18"/>
        </w:rPr>
        <w:t>（与激发态的原子或分子反应）</w:t>
      </w:r>
      <w:r>
        <w:rPr>
          <w:rFonts w:eastAsia="Times New Roman"/>
          <w:kern w:val="0"/>
          <w:sz w:val="18"/>
          <w:szCs w:val="18"/>
        </w:rPr>
        <w:t xml:space="preserve">    </w:t>
      </w:r>
      <w:r>
        <w:rPr>
          <w:kern w:val="0"/>
          <w:sz w:val="18"/>
          <w:szCs w:val="18"/>
        </w:rPr>
        <w:t>(4)</w:t>
      </w:r>
    </w:p>
    <w:p>
      <w:pPr>
        <w:pStyle w:val="Normal"/>
        <w:ind w:firstLine="419"/>
        <w:rPr/>
      </w:pPr>
      <w:r>
        <w:rPr/>
        <w:t>新产生的自由基可以继续参与各种反应，若导入各种官能团则可接枝生成表面功能层。在膜孔内表面上接枝的</w:t>
      </w:r>
      <w:r>
        <w:rPr/>
        <w:t>PNIPAM</w:t>
      </w:r>
      <w:r>
        <w:rPr/>
        <w:t>链将会起到温度感应开关的作用。</w:t>
      </w:r>
    </w:p>
    <w:p>
      <w:pPr>
        <w:pStyle w:val="Normal"/>
        <w:rPr/>
      </w:pPr>
      <w:r>
        <w:rPr/>
        <w:t>2.1.2  PNIPAM</w:t>
      </w:r>
      <w:r>
        <w:rPr/>
        <w:t>接枝膜的</w:t>
      </w:r>
      <w:r>
        <w:rPr/>
        <w:t>FTIR</w:t>
      </w:r>
      <w:r>
        <w:rPr/>
        <w:t>表征</w:t>
      </w:r>
    </w:p>
    <w:p>
      <w:pPr>
        <w:pStyle w:val="Normal"/>
        <w:ind w:firstLine="419"/>
        <w:rPr/>
      </w:pPr>
      <w:r>
        <w:rPr/>
        <w:t>图</w:t>
      </w:r>
      <w:r>
        <w:rPr/>
        <w:t>2</w:t>
      </w:r>
      <w:r>
        <w:rPr/>
        <w:t>所示为聚偏氟乙烯膜接枝</w:t>
      </w:r>
      <w:r>
        <w:rPr/>
        <w:t>PNIPAM</w:t>
      </w:r>
      <w:r>
        <w:rPr/>
        <w:t>前后的红外光谱图，其中谱线</w:t>
      </w:r>
      <w:r>
        <w:rPr/>
        <w:t>a</w:t>
      </w:r>
      <w:r>
        <w:rPr/>
        <w:t>所示的是接枝前的基材膜，谱线</w:t>
      </w:r>
      <w:r>
        <w:rPr/>
        <w:t>b</w:t>
      </w:r>
      <w:r>
        <w:rPr/>
        <w:t>所示的是接枝</w:t>
      </w:r>
      <w:r>
        <w:rPr/>
        <w:t>PNIPAM</w:t>
      </w:r>
      <w:r>
        <w:rPr/>
        <w:t>后的膜。从图</w:t>
      </w:r>
      <w:r>
        <w:rPr/>
        <w:t>2</w:t>
      </w:r>
      <w:r>
        <w:rPr/>
        <w:t>中可见，同基材膜的</w:t>
      </w:r>
      <w:r>
        <w:rPr/>
        <w:t>IR</w:t>
      </w:r>
      <w:r>
        <w:rPr/>
        <w:t>谱线相比，接枝后的膜的</w:t>
      </w:r>
      <w:r>
        <w:rPr/>
        <w:t>IR</w:t>
      </w:r>
      <w:r>
        <w:rPr/>
        <w:t>谱线在</w:t>
      </w:r>
      <w:r>
        <w:rPr/>
        <w:t>1658.91cm</w:t>
      </w:r>
      <w:r>
        <w:rPr>
          <w:vertAlign w:val="superscript"/>
        </w:rPr>
        <w:t>-1</w:t>
      </w:r>
      <w:r>
        <w:rPr/>
        <w:t>处新增有明显的酰胺</w:t>
      </w:r>
      <w:r>
        <w:rPr>
          <w:rFonts w:ascii="宋体;SimSun" w:hAnsi="宋体;SimSun" w:cs="宋体;SimSun"/>
        </w:rPr>
        <w:t>Ⅰ</w:t>
      </w:r>
      <w:r>
        <w:rPr/>
        <w:t>特征峰（羰基吸收），在</w:t>
      </w:r>
      <w:r>
        <w:rPr/>
        <w:t>1548.60cm</w:t>
      </w:r>
      <w:r>
        <w:rPr>
          <w:vertAlign w:val="superscript"/>
        </w:rPr>
        <w:t>-1</w:t>
      </w:r>
      <w:r>
        <w:rPr/>
        <w:t>处新增有酰胺</w:t>
      </w:r>
      <w:r>
        <w:rPr>
          <w:rFonts w:ascii="宋体;SimSun" w:hAnsi="宋体;SimSun" w:cs="宋体;SimSun"/>
        </w:rPr>
        <w:t>Ⅱ</w:t>
      </w:r>
      <w:r>
        <w:rPr/>
        <w:t>特征峰（酰胺基中</w:t>
      </w:r>
      <w:r>
        <w:rPr/>
        <w:t>N—H</w:t>
      </w:r>
      <w:r>
        <w:rPr/>
        <w:t>及</w:t>
      </w:r>
      <w:r>
        <w:rPr/>
        <w:t>C—N</w:t>
      </w:r>
      <w:r>
        <w:rPr/>
        <w:t>吸收）。这充分证明</w:t>
      </w:r>
      <w:r>
        <w:rPr/>
        <w:t>PNIPAM</w:t>
      </w:r>
      <w:r>
        <w:rPr/>
        <w:t>已成功地接枝到</w:t>
      </w:r>
      <w:r>
        <w:rPr/>
        <w:t>PVDF</w:t>
      </w:r>
      <w:r>
        <w:rPr/>
        <w:t>膜上。</w:t>
      </w:r>
    </w:p>
    <w:p>
      <w:pPr>
        <w:pStyle w:val="Style15"/>
        <w:spacing w:lineRule="auto" w:line="240" w:before="0" w:after="0"/>
        <w:rPr>
          <w:color w:val="000000"/>
          <w:sz w:val="18"/>
          <w:szCs w:val="18"/>
        </w:rPr>
      </w:pPr>
      <w:r>
        <w:rPr>
          <w:color w:val="000000"/>
          <w:lang w:val="en-US" w:eastAsia="en-US"/>
        </w:rPr>
        <w:drawing>
          <wp:inline distT="0" distB="0" distL="0" distR="0">
            <wp:extent cx="2713990" cy="5443855"/>
            <wp:effectExtent l="0" t="0" r="0" b="0"/>
            <wp:docPr id="3" name="图片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6" descr=""/>
                    <pic:cNvPicPr>
                      <a:picLocks noChangeAspect="1" noChangeArrowheads="1"/>
                    </pic:cNvPicPr>
                  </pic:nvPicPr>
                  <pic:blipFill>
                    <a:blip r:embed="rId6"/>
                    <a:srcRect l="-13" t="-7" r="-13" b="-7"/>
                    <a:stretch>
                      <a:fillRect/>
                    </a:stretch>
                  </pic:blipFill>
                  <pic:spPr bwMode="auto">
                    <a:xfrm>
                      <a:off x="0" y="0"/>
                      <a:ext cx="2713990" cy="5443855"/>
                    </a:xfrm>
                    <a:prstGeom prst="rect">
                      <a:avLst/>
                    </a:prstGeom>
                  </pic:spPr>
                </pic:pic>
              </a:graphicData>
            </a:graphic>
          </wp:inline>
        </w:drawing>
      </w:r>
    </w:p>
    <w:p>
      <w:pPr>
        <w:pStyle w:val="Style17"/>
        <w:spacing w:lineRule="auto" w:line="240" w:before="0" w:after="0"/>
        <w:rPr>
          <w:color w:val="000000"/>
        </w:rPr>
      </w:pPr>
      <w:r>
        <w:rPr>
          <w:color w:val="000000"/>
        </w:rPr>
        <w:t>图</w:t>
      </w:r>
      <w:r>
        <w:rPr>
          <w:color w:val="000000"/>
        </w:rPr>
        <w:t xml:space="preserve">2 </w:t>
      </w:r>
      <w:r>
        <w:rPr>
          <w:color w:val="000000"/>
        </w:rPr>
        <w:t xml:space="preserve"> </w:t>
      </w:r>
      <w:r>
        <w:rPr>
          <w:color w:val="000000"/>
        </w:rPr>
        <w:t>不同沉浸比下气泡泵理论值与实验值的对比</w:t>
      </w:r>
    </w:p>
    <w:p>
      <w:pPr>
        <w:pStyle w:val="Normal"/>
        <w:rPr>
          <w:color w:val="FF0000"/>
        </w:rPr>
      </w:pPr>
      <w:r>
        <w:rPr>
          <w:color w:val="FF0000"/>
        </w:rPr>
        <w:t>坐标图一律采用封闭图，端线尽量取在刻度线上。</w:t>
      </w:r>
    </w:p>
    <w:p>
      <w:pPr>
        <w:pStyle w:val="Normal"/>
        <w:rPr>
          <w:color w:val="FF0000"/>
        </w:rPr>
      </w:pPr>
      <w:r>
        <w:rPr>
          <w:color w:val="FF0000"/>
        </w:rPr>
        <w:t>横、竖坐标必须垂直，坐标刻度线的疏密程度要相近，刻度线朝向图内，一般去掉无数字对应的刻度线，不用背景网格线。标度数字尽量圆整，过大或过小时可用指数表示，如</w:t>
      </w:r>
      <w:r>
        <w:rPr>
          <w:color w:val="FF0000"/>
        </w:rPr>
        <w:t>10</w:t>
      </w:r>
      <w:r>
        <w:rPr>
          <w:color w:val="FF0000"/>
          <w:vertAlign w:val="superscript"/>
        </w:rPr>
        <w:t>2</w:t>
      </w:r>
      <w:r>
        <w:rPr>
          <w:color w:val="FF0000"/>
        </w:rPr>
        <w:t>、</w:t>
      </w:r>
      <w:r>
        <w:rPr>
          <w:color w:val="FF0000"/>
        </w:rPr>
        <w:t>10</w:t>
      </w:r>
      <w:r>
        <w:rPr>
          <w:color w:val="FF0000"/>
          <w:vertAlign w:val="superscript"/>
        </w:rPr>
        <w:t>-2</w:t>
      </w:r>
      <w:r>
        <w:rPr>
          <w:color w:val="FF0000"/>
        </w:rPr>
        <w:t>。图四边框大小（不含坐标文字）一般为高</w:t>
      </w:r>
      <w:r>
        <w:rPr>
          <w:color w:val="FF0000"/>
        </w:rPr>
        <w:t>4cm</w:t>
      </w:r>
      <w:r>
        <w:rPr>
          <w:color w:val="FF0000"/>
        </w:rPr>
        <w:t>、宽</w:t>
      </w:r>
      <w:r>
        <w:rPr>
          <w:color w:val="FF0000"/>
        </w:rPr>
        <w:t>6cm</w:t>
      </w:r>
      <w:r>
        <w:rPr>
          <w:color w:val="FF0000"/>
        </w:rPr>
        <w:t>、</w:t>
      </w:r>
      <w:r>
        <w:rPr>
          <w:color w:val="FF0000"/>
        </w:rPr>
        <w:t>线粗</w:t>
      </w:r>
      <w:r>
        <w:rPr>
          <w:color w:val="FF0000"/>
        </w:rPr>
        <w:t>0</w:t>
      </w:r>
      <w:r>
        <w:rPr>
          <w:color w:val="FF0000"/>
        </w:rPr>
        <w:t>.5</w:t>
      </w:r>
      <w:r>
        <w:rPr>
          <w:color w:val="FF0000"/>
        </w:rPr>
        <w:t>磅</w:t>
      </w:r>
      <w:r>
        <w:rPr>
          <w:color w:val="FF0000"/>
        </w:rPr>
        <w:t>，文字大小为</w:t>
      </w:r>
      <w:r>
        <w:rPr>
          <w:color w:val="FF0000"/>
        </w:rPr>
        <w:t>6</w:t>
      </w:r>
      <w:r>
        <w:rPr>
          <w:color w:val="FF0000"/>
        </w:rPr>
        <w:t>号。</w:t>
      </w:r>
    </w:p>
    <w:p>
      <w:pPr>
        <w:pStyle w:val="Normal"/>
        <w:rPr>
          <w:color w:val="FF0000"/>
        </w:rPr>
      </w:pPr>
      <w:r>
        <w:rPr>
          <w:color w:val="FF0000"/>
        </w:rPr>
        <w:t>图注的各项间用分号，结束无标点。</w:t>
      </w:r>
    </w:p>
    <w:p>
      <w:pPr>
        <w:pStyle w:val="Normal"/>
        <w:rPr>
          <w:color w:val="FF0000"/>
        </w:rPr>
      </w:pPr>
      <w:r>
        <w:rPr>
          <w:color w:val="FF0000"/>
        </w:rPr>
        <w:t>图内的空间较大时可将图注列在图内空白处。</w:t>
      </w:r>
    </w:p>
    <w:p>
      <w:pPr>
        <w:pStyle w:val="Normal"/>
        <w:rPr>
          <w:color w:val="FF0000"/>
        </w:rPr>
      </w:pPr>
      <w:r>
        <w:rPr>
          <w:color w:val="FF0000"/>
        </w:rPr>
        <w:t>坐标物理量尽量用符号表示，物理量与单位之间用斜线，单位用指数形式。</w:t>
      </w:r>
    </w:p>
    <w:p>
      <w:pPr>
        <w:pStyle w:val="Normal"/>
        <w:rPr>
          <w:color w:val="FF0000"/>
        </w:rPr>
      </w:pPr>
      <w:r>
        <w:rPr>
          <w:color w:val="FF0000"/>
        </w:rPr>
        <w:t>图在正文中的插入方式为“嵌入型”，不要放在表格或文本框中，图片尽量去掉四周多余白边。图中也尽量不要出现文本框，应组合为最终图片。</w:t>
      </w:r>
    </w:p>
    <w:p>
      <w:pPr>
        <w:pStyle w:val="Normal"/>
        <w:rPr>
          <w:color w:val="FF0000"/>
        </w:rPr>
      </w:pPr>
      <w:r>
        <w:rPr>
          <w:color w:val="FF0000"/>
        </w:rPr>
      </w:r>
    </w:p>
    <w:p>
      <w:pPr>
        <w:pStyle w:val="Normal"/>
        <w:rPr/>
      </w:pPr>
      <w:r>
        <w:rPr/>
        <w:t xml:space="preserve">2.1.3  </w:t>
      </w:r>
      <w:r>
        <w:rPr/>
        <w:t>具有不同接枝率的开关膜的形貌分析</w:t>
      </w:r>
    </w:p>
    <w:p>
      <w:pPr>
        <w:pStyle w:val="Normal"/>
        <w:ind w:firstLine="419"/>
        <w:rPr/>
      </w:pPr>
      <w:r>
        <w:rPr/>
        <w:t>通过改变射频电源放电功率、</w:t>
      </w:r>
      <w:r>
        <w:rPr/>
        <w:t>NIPAM</w:t>
      </w:r>
      <w:r>
        <w:rPr/>
        <w:t>单体浓度和接枝时间可以制备出具有不同接枝率的</w:t>
      </w:r>
      <w:r>
        <w:rPr/>
        <w:t>PNIPAM</w:t>
      </w:r>
      <w:r>
        <w:rPr/>
        <w:t>开关膜。表</w:t>
      </w:r>
      <w:r>
        <w:rPr/>
        <w:t>1</w:t>
      </w:r>
      <w:r>
        <w:rPr/>
        <w:t>所示为不同制备工况条件下制备出的一些</w:t>
      </w:r>
      <w:r>
        <w:rPr/>
        <w:t>PNIPAM</w:t>
      </w:r>
      <w:r>
        <w:rPr/>
        <w:t>开关膜代码及其相应的</w:t>
      </w:r>
      <w:r>
        <w:rPr/>
        <w:t>PNIPAM</w:t>
      </w:r>
      <w:r>
        <w:rPr/>
        <w:t>接枝率。从表</w:t>
      </w:r>
      <w:r>
        <w:rPr/>
        <w:t>1</w:t>
      </w:r>
      <w:r>
        <w:rPr/>
        <w:t>可以看出，当其他条件相同时，</w:t>
      </w:r>
      <w:r>
        <w:rPr/>
        <w:t>PNIPAM</w:t>
      </w:r>
      <w:r>
        <w:rPr/>
        <w:t>接枝率随着放电功率增加而增大。这是由于，放电功率越高，多孔基材膜孔表面因等离子体诱导而产生的自由基数量就会越多，于是在同样反应时间内接枝聚合到膜上的</w:t>
      </w:r>
      <w:r>
        <w:rPr/>
        <w:t>PNIPAM</w:t>
      </w:r>
      <w:r>
        <w:rPr/>
        <w:t>量就会越大。当放电功率相同时，单体溶液中</w:t>
      </w:r>
      <w:r>
        <w:rPr/>
        <w:t>NIPAM</w:t>
      </w:r>
      <w:r>
        <w:rPr/>
        <w:t>浓度增大会使多孔膜上的</w:t>
      </w:r>
      <w:r>
        <w:rPr/>
        <w:t>PNIPAM</w:t>
      </w:r>
      <w:r>
        <w:rPr/>
        <w:t>接枝量增加。因为随着</w:t>
      </w:r>
      <w:r>
        <w:rPr/>
        <w:t>NIPAM</w:t>
      </w:r>
      <w:r>
        <w:rPr/>
        <w:t>单体浓度的增大将有更多的</w:t>
      </w:r>
      <w:r>
        <w:rPr/>
        <w:t>NIPAM</w:t>
      </w:r>
      <w:r>
        <w:rPr/>
        <w:t>单体分子扩散到膜孔表面参与接枝反应。</w:t>
      </w:r>
    </w:p>
    <w:p>
      <w:pPr>
        <w:pStyle w:val="Normal"/>
        <w:jc w:val="center"/>
        <w:rPr>
          <w:b/>
          <w:b/>
          <w:bCs/>
          <w:sz w:val="18"/>
        </w:rPr>
      </w:pPr>
      <w:r>
        <w:rPr>
          <w:b/>
          <w:bCs/>
          <w:sz w:val="18"/>
        </w:rPr>
      </w:r>
    </w:p>
    <w:p>
      <w:pPr>
        <w:pStyle w:val="Style19"/>
        <w:snapToGrid w:val="true"/>
        <w:rPr/>
      </w:pPr>
      <w:r>
        <w:rPr>
          <w:lang w:val="en-US" w:eastAsia="en-US"/>
        </w:rPr>
        <w:t>表</w:t>
      </w:r>
      <w:r>
        <w:rPr>
          <w:lang w:val="en-US" w:eastAsia="en-US"/>
        </w:rPr>
        <w:t xml:space="preserve">1 </w:t>
      </w:r>
      <w:r>
        <w:rPr>
          <w:lang w:val="en-US" w:eastAsia="en-US"/>
        </w:rPr>
        <w:t xml:space="preserve"> </w:t>
      </w:r>
      <w:r>
        <w:rPr>
          <w:lang w:val="en-US" w:eastAsia="en-US"/>
        </w:rPr>
        <w:t>算例二</w:t>
      </w:r>
      <w:r>
        <w:rPr/>
        <w:t>流体参数表</w:t>
      </w:r>
    </w:p>
    <w:tbl>
      <w:tblPr>
        <w:tblW w:w="5536" w:type="dxa"/>
        <w:jc w:val="center"/>
        <w:tblInd w:w="0" w:type="dxa"/>
        <w:tblLayout w:type="fixed"/>
        <w:tblCellMar>
          <w:top w:w="0" w:type="dxa"/>
          <w:left w:w="108" w:type="dxa"/>
          <w:bottom w:w="0" w:type="dxa"/>
          <w:right w:w="108" w:type="dxa"/>
        </w:tblCellMar>
      </w:tblPr>
      <w:tblGrid>
        <w:gridCol w:w="516"/>
        <w:gridCol w:w="1006"/>
        <w:gridCol w:w="1006"/>
        <w:gridCol w:w="1371"/>
        <w:gridCol w:w="1637"/>
      </w:tblGrid>
      <w:tr>
        <w:trPr>
          <w:trHeight w:val="284" w:hRule="atLeast"/>
        </w:trPr>
        <w:tc>
          <w:tcPr>
            <w:tcW w:w="516" w:type="dxa"/>
            <w:tcBorders>
              <w:top w:val="single" w:sz="8" w:space="0" w:color="000000"/>
              <w:bottom w:val="single" w:sz="4" w:space="0" w:color="000000"/>
            </w:tcBorders>
            <w:vAlign w:val="center"/>
          </w:tcPr>
          <w:p>
            <w:pPr>
              <w:pStyle w:val="Style18"/>
              <w:snapToGrid w:val="false"/>
              <w:rPr/>
            </w:pPr>
            <w:r>
              <w:rPr/>
              <w:t>流股</w:t>
            </w:r>
          </w:p>
        </w:tc>
        <w:tc>
          <w:tcPr>
            <w:tcW w:w="1006" w:type="dxa"/>
            <w:tcBorders>
              <w:top w:val="single" w:sz="8" w:space="0" w:color="000000"/>
              <w:bottom w:val="single" w:sz="4" w:space="0" w:color="000000"/>
            </w:tcBorders>
            <w:vAlign w:val="center"/>
          </w:tcPr>
          <w:p>
            <w:pPr>
              <w:pStyle w:val="Style18"/>
              <w:snapToGrid w:val="false"/>
              <w:rPr>
                <w:rFonts w:ascii="宋体;SimSun" w:hAnsi="宋体;SimSun" w:cs="宋体;SimSun"/>
              </w:rPr>
            </w:pPr>
            <w:r>
              <w:rPr/>
              <w:t>进口温度</w:t>
            </w:r>
            <w:r>
              <w:rPr/>
              <w:t>/</w:t>
            </w:r>
            <w:r>
              <w:rPr>
                <w:rFonts w:cs="宋体;SimSun" w:ascii="宋体;SimSun" w:hAnsi="宋体;SimSun"/>
              </w:rPr>
              <w:t>℃</w:t>
            </w:r>
          </w:p>
        </w:tc>
        <w:tc>
          <w:tcPr>
            <w:tcW w:w="1006" w:type="dxa"/>
            <w:tcBorders>
              <w:top w:val="single" w:sz="8" w:space="0" w:color="000000"/>
              <w:bottom w:val="single" w:sz="4" w:space="0" w:color="000000"/>
            </w:tcBorders>
            <w:vAlign w:val="center"/>
          </w:tcPr>
          <w:p>
            <w:pPr>
              <w:pStyle w:val="Style18"/>
              <w:snapToGrid w:val="false"/>
              <w:rPr/>
            </w:pPr>
            <w:r>
              <w:rPr/>
              <w:t>出口温度</w:t>
            </w:r>
            <w:r>
              <w:rPr/>
              <w:t>/</w:t>
            </w:r>
            <w:r>
              <w:rPr>
                <w:rFonts w:cs="宋体;SimSun" w:ascii="宋体;SimSun" w:hAnsi="宋体;SimSun"/>
              </w:rPr>
              <w:t>℃</w:t>
            </w:r>
          </w:p>
        </w:tc>
        <w:tc>
          <w:tcPr>
            <w:tcW w:w="1371" w:type="dxa"/>
            <w:tcBorders>
              <w:top w:val="single" w:sz="8" w:space="0" w:color="000000"/>
              <w:bottom w:val="single" w:sz="4" w:space="0" w:color="000000"/>
            </w:tcBorders>
            <w:vAlign w:val="center"/>
          </w:tcPr>
          <w:p>
            <w:pPr>
              <w:pStyle w:val="Style18"/>
              <w:snapToGrid w:val="false"/>
              <w:rPr/>
            </w:pPr>
            <w:r>
              <w:rPr/>
              <w:t>热容流率</w:t>
            </w:r>
            <w:r>
              <w:rPr/>
              <w:t>/</w:t>
            </w:r>
            <w:r>
              <w:rPr/>
              <w:t>kW·</w:t>
            </w:r>
            <w:r>
              <w:rPr>
                <w:rFonts w:cs="宋体;SimSun" w:ascii="宋体;SimSun" w:hAnsi="宋体;SimSun"/>
              </w:rPr>
              <w:t>℃</w:t>
            </w:r>
            <w:r>
              <w:rPr>
                <w:vertAlign w:val="superscript"/>
              </w:rPr>
              <w:t>–</w:t>
            </w:r>
            <w:r>
              <w:rPr>
                <w:vertAlign w:val="superscript"/>
              </w:rPr>
              <w:t>1</w:t>
            </w:r>
          </w:p>
        </w:tc>
        <w:tc>
          <w:tcPr>
            <w:tcW w:w="1637" w:type="dxa"/>
            <w:tcBorders>
              <w:top w:val="single" w:sz="8" w:space="0" w:color="000000"/>
              <w:bottom w:val="single" w:sz="4" w:space="0" w:color="000000"/>
            </w:tcBorders>
            <w:vAlign w:val="center"/>
          </w:tcPr>
          <w:p>
            <w:pPr>
              <w:pStyle w:val="Style18"/>
              <w:snapToGrid w:val="false"/>
              <w:rPr/>
            </w:pPr>
            <w:r>
              <w:rPr/>
              <w:t>换热系数</w:t>
            </w:r>
            <w:r>
              <w:rPr/>
              <w:t>/</w:t>
            </w:r>
            <w:r>
              <w:rPr/>
              <w:t>kW·</w:t>
            </w:r>
            <w:r>
              <w:rPr/>
              <w:t>m</w:t>
            </w:r>
            <w:r>
              <w:rPr>
                <w:vertAlign w:val="superscript"/>
              </w:rPr>
              <w:t>–</w:t>
            </w:r>
            <w:r>
              <w:rPr>
                <w:vertAlign w:val="superscript"/>
              </w:rPr>
              <w:t>2</w:t>
            </w:r>
            <w:r>
              <w:rPr/>
              <w:t>·</w:t>
            </w:r>
            <w:r>
              <w:rPr>
                <w:rFonts w:cs="宋体;SimSun" w:ascii="宋体;SimSun" w:hAnsi="宋体;SimSun"/>
              </w:rPr>
              <w:t>℃</w:t>
            </w:r>
            <w:r>
              <w:rPr>
                <w:vertAlign w:val="superscript"/>
              </w:rPr>
              <w:t>–</w:t>
            </w:r>
            <w:r>
              <w:rPr>
                <w:vertAlign w:val="superscript"/>
              </w:rPr>
              <w:t>1</w:t>
            </w:r>
          </w:p>
        </w:tc>
      </w:tr>
      <w:tr>
        <w:trPr>
          <w:trHeight w:val="284" w:hRule="atLeast"/>
        </w:trPr>
        <w:tc>
          <w:tcPr>
            <w:tcW w:w="516" w:type="dxa"/>
            <w:tcBorders>
              <w:top w:val="single" w:sz="4" w:space="0" w:color="000000"/>
            </w:tcBorders>
            <w:vAlign w:val="center"/>
          </w:tcPr>
          <w:p>
            <w:pPr>
              <w:pStyle w:val="Style18"/>
              <w:snapToGrid w:val="false"/>
              <w:rPr/>
            </w:pPr>
            <w:r>
              <w:rPr/>
              <w:t>H1</w:t>
            </w:r>
          </w:p>
        </w:tc>
        <w:tc>
          <w:tcPr>
            <w:tcW w:w="1006" w:type="dxa"/>
            <w:tcBorders>
              <w:top w:val="single" w:sz="4" w:space="0" w:color="000000"/>
            </w:tcBorders>
            <w:vAlign w:val="center"/>
          </w:tcPr>
          <w:p>
            <w:pPr>
              <w:pStyle w:val="Style18"/>
              <w:snapToGrid w:val="false"/>
              <w:rPr/>
            </w:pPr>
            <w:r>
              <w:rPr/>
              <w:t>180</w:t>
            </w:r>
          </w:p>
        </w:tc>
        <w:tc>
          <w:tcPr>
            <w:tcW w:w="1006" w:type="dxa"/>
            <w:tcBorders>
              <w:top w:val="single" w:sz="4" w:space="0" w:color="000000"/>
            </w:tcBorders>
            <w:vAlign w:val="center"/>
          </w:tcPr>
          <w:p>
            <w:pPr>
              <w:pStyle w:val="Style18"/>
              <w:snapToGrid w:val="false"/>
              <w:rPr/>
            </w:pPr>
            <w:r>
              <w:rPr/>
              <w:t>75</w:t>
            </w:r>
          </w:p>
        </w:tc>
        <w:tc>
          <w:tcPr>
            <w:tcW w:w="1371" w:type="dxa"/>
            <w:tcBorders>
              <w:top w:val="single" w:sz="4" w:space="0" w:color="000000"/>
            </w:tcBorders>
            <w:vAlign w:val="center"/>
          </w:tcPr>
          <w:p>
            <w:pPr>
              <w:pStyle w:val="Style18"/>
              <w:snapToGrid w:val="false"/>
              <w:rPr/>
            </w:pPr>
            <w:r>
              <w:rPr/>
              <w:t>30</w:t>
            </w:r>
          </w:p>
        </w:tc>
        <w:tc>
          <w:tcPr>
            <w:tcW w:w="1637" w:type="dxa"/>
            <w:tcBorders>
              <w:top w:val="single" w:sz="4" w:space="0" w:color="000000"/>
            </w:tcBorders>
            <w:vAlign w:val="center"/>
          </w:tcPr>
          <w:p>
            <w:pPr>
              <w:pStyle w:val="Style18"/>
              <w:snapToGrid w:val="false"/>
              <w:rPr/>
            </w:pPr>
            <w:r>
              <w:rPr/>
              <w:t>2.0</w:t>
            </w:r>
          </w:p>
        </w:tc>
      </w:tr>
      <w:tr>
        <w:trPr>
          <w:trHeight w:val="284" w:hRule="atLeast"/>
        </w:trPr>
        <w:tc>
          <w:tcPr>
            <w:tcW w:w="516" w:type="dxa"/>
            <w:tcBorders/>
            <w:vAlign w:val="center"/>
          </w:tcPr>
          <w:p>
            <w:pPr>
              <w:pStyle w:val="Style18"/>
              <w:snapToGrid w:val="false"/>
              <w:rPr/>
            </w:pPr>
            <w:r>
              <w:rPr/>
              <w:t>H2</w:t>
            </w:r>
          </w:p>
        </w:tc>
        <w:tc>
          <w:tcPr>
            <w:tcW w:w="1006" w:type="dxa"/>
            <w:tcBorders/>
            <w:vAlign w:val="center"/>
          </w:tcPr>
          <w:p>
            <w:pPr>
              <w:pStyle w:val="Style18"/>
              <w:snapToGrid w:val="false"/>
              <w:rPr/>
            </w:pPr>
            <w:r>
              <w:rPr/>
              <w:t>280</w:t>
            </w:r>
          </w:p>
        </w:tc>
        <w:tc>
          <w:tcPr>
            <w:tcW w:w="1006" w:type="dxa"/>
            <w:tcBorders/>
            <w:vAlign w:val="center"/>
          </w:tcPr>
          <w:p>
            <w:pPr>
              <w:pStyle w:val="Style18"/>
              <w:snapToGrid w:val="false"/>
              <w:rPr/>
            </w:pPr>
            <w:r>
              <w:rPr/>
              <w:t>120</w:t>
            </w:r>
          </w:p>
        </w:tc>
        <w:tc>
          <w:tcPr>
            <w:tcW w:w="1371" w:type="dxa"/>
            <w:tcBorders/>
            <w:vAlign w:val="center"/>
          </w:tcPr>
          <w:p>
            <w:pPr>
              <w:pStyle w:val="Style18"/>
              <w:snapToGrid w:val="false"/>
              <w:rPr/>
            </w:pPr>
            <w:r>
              <w:rPr/>
              <w:t>60</w:t>
            </w:r>
          </w:p>
        </w:tc>
        <w:tc>
          <w:tcPr>
            <w:tcW w:w="1637" w:type="dxa"/>
            <w:tcBorders/>
            <w:vAlign w:val="center"/>
          </w:tcPr>
          <w:p>
            <w:pPr>
              <w:pStyle w:val="Style18"/>
              <w:snapToGrid w:val="false"/>
              <w:rPr/>
            </w:pPr>
            <w:r>
              <w:rPr/>
              <w:t>1.0</w:t>
            </w:r>
          </w:p>
        </w:tc>
      </w:tr>
      <w:tr>
        <w:trPr>
          <w:trHeight w:val="284" w:hRule="atLeast"/>
        </w:trPr>
        <w:tc>
          <w:tcPr>
            <w:tcW w:w="516" w:type="dxa"/>
            <w:tcBorders/>
            <w:vAlign w:val="center"/>
          </w:tcPr>
          <w:p>
            <w:pPr>
              <w:pStyle w:val="Style18"/>
              <w:snapToGrid w:val="false"/>
              <w:rPr/>
            </w:pPr>
            <w:r>
              <w:rPr/>
              <w:t>H3</w:t>
            </w:r>
          </w:p>
        </w:tc>
        <w:tc>
          <w:tcPr>
            <w:tcW w:w="1006" w:type="dxa"/>
            <w:tcBorders/>
            <w:vAlign w:val="center"/>
          </w:tcPr>
          <w:p>
            <w:pPr>
              <w:pStyle w:val="Style18"/>
              <w:snapToGrid w:val="false"/>
              <w:rPr/>
            </w:pPr>
            <w:r>
              <w:rPr/>
              <w:t>180</w:t>
            </w:r>
          </w:p>
        </w:tc>
        <w:tc>
          <w:tcPr>
            <w:tcW w:w="1006" w:type="dxa"/>
            <w:tcBorders/>
            <w:vAlign w:val="center"/>
          </w:tcPr>
          <w:p>
            <w:pPr>
              <w:pStyle w:val="Style18"/>
              <w:snapToGrid w:val="false"/>
              <w:rPr/>
            </w:pPr>
            <w:r>
              <w:rPr/>
              <w:t>75</w:t>
            </w:r>
          </w:p>
        </w:tc>
        <w:tc>
          <w:tcPr>
            <w:tcW w:w="1371" w:type="dxa"/>
            <w:tcBorders/>
            <w:vAlign w:val="center"/>
          </w:tcPr>
          <w:p>
            <w:pPr>
              <w:pStyle w:val="Style18"/>
              <w:snapToGrid w:val="false"/>
              <w:rPr/>
            </w:pPr>
            <w:r>
              <w:rPr/>
              <w:t>30</w:t>
            </w:r>
          </w:p>
        </w:tc>
        <w:tc>
          <w:tcPr>
            <w:tcW w:w="1637" w:type="dxa"/>
            <w:tcBorders/>
            <w:vAlign w:val="center"/>
          </w:tcPr>
          <w:p>
            <w:pPr>
              <w:pStyle w:val="Style18"/>
              <w:snapToGrid w:val="false"/>
              <w:rPr/>
            </w:pPr>
            <w:r>
              <w:rPr/>
              <w:t>2.0</w:t>
            </w:r>
          </w:p>
        </w:tc>
      </w:tr>
      <w:tr>
        <w:trPr>
          <w:trHeight w:val="284" w:hRule="atLeast"/>
        </w:trPr>
        <w:tc>
          <w:tcPr>
            <w:tcW w:w="516" w:type="dxa"/>
            <w:tcBorders/>
            <w:vAlign w:val="center"/>
          </w:tcPr>
          <w:p>
            <w:pPr>
              <w:pStyle w:val="Style18"/>
              <w:snapToGrid w:val="false"/>
              <w:rPr/>
            </w:pPr>
            <w:r>
              <w:rPr/>
              <w:t>H4</w:t>
            </w:r>
          </w:p>
        </w:tc>
        <w:tc>
          <w:tcPr>
            <w:tcW w:w="1006" w:type="dxa"/>
            <w:tcBorders/>
            <w:vAlign w:val="center"/>
          </w:tcPr>
          <w:p>
            <w:pPr>
              <w:pStyle w:val="Style18"/>
              <w:snapToGrid w:val="false"/>
              <w:rPr/>
            </w:pPr>
            <w:r>
              <w:rPr/>
              <w:t>140</w:t>
            </w:r>
          </w:p>
        </w:tc>
        <w:tc>
          <w:tcPr>
            <w:tcW w:w="1006" w:type="dxa"/>
            <w:tcBorders/>
            <w:vAlign w:val="center"/>
          </w:tcPr>
          <w:p>
            <w:pPr>
              <w:pStyle w:val="Style18"/>
              <w:snapToGrid w:val="false"/>
              <w:rPr/>
            </w:pPr>
            <w:r>
              <w:rPr/>
              <w:t>40</w:t>
            </w:r>
          </w:p>
        </w:tc>
        <w:tc>
          <w:tcPr>
            <w:tcW w:w="1371" w:type="dxa"/>
            <w:tcBorders/>
            <w:vAlign w:val="center"/>
          </w:tcPr>
          <w:p>
            <w:pPr>
              <w:pStyle w:val="Style18"/>
              <w:snapToGrid w:val="false"/>
              <w:rPr/>
            </w:pPr>
            <w:r>
              <w:rPr/>
              <w:t>30</w:t>
            </w:r>
          </w:p>
        </w:tc>
        <w:tc>
          <w:tcPr>
            <w:tcW w:w="1637" w:type="dxa"/>
            <w:tcBorders/>
            <w:vAlign w:val="center"/>
          </w:tcPr>
          <w:p>
            <w:pPr>
              <w:pStyle w:val="Style18"/>
              <w:snapToGrid w:val="false"/>
              <w:rPr/>
            </w:pPr>
            <w:r>
              <w:rPr/>
              <w:t>1.0</w:t>
            </w:r>
          </w:p>
        </w:tc>
      </w:tr>
      <w:tr>
        <w:trPr>
          <w:trHeight w:val="284" w:hRule="atLeast"/>
        </w:trPr>
        <w:tc>
          <w:tcPr>
            <w:tcW w:w="516" w:type="dxa"/>
            <w:tcBorders/>
            <w:vAlign w:val="center"/>
          </w:tcPr>
          <w:p>
            <w:pPr>
              <w:pStyle w:val="Style18"/>
              <w:snapToGrid w:val="false"/>
              <w:rPr/>
            </w:pPr>
            <w:r>
              <w:rPr/>
              <w:t>H5</w:t>
            </w:r>
          </w:p>
        </w:tc>
        <w:tc>
          <w:tcPr>
            <w:tcW w:w="1006" w:type="dxa"/>
            <w:tcBorders/>
            <w:vAlign w:val="center"/>
          </w:tcPr>
          <w:p>
            <w:pPr>
              <w:pStyle w:val="Style18"/>
              <w:snapToGrid w:val="false"/>
              <w:rPr/>
            </w:pPr>
            <w:r>
              <w:rPr/>
              <w:t>220</w:t>
            </w:r>
          </w:p>
        </w:tc>
        <w:tc>
          <w:tcPr>
            <w:tcW w:w="1006" w:type="dxa"/>
            <w:tcBorders/>
            <w:vAlign w:val="center"/>
          </w:tcPr>
          <w:p>
            <w:pPr>
              <w:pStyle w:val="Style18"/>
              <w:snapToGrid w:val="false"/>
              <w:rPr/>
            </w:pPr>
            <w:r>
              <w:rPr/>
              <w:t>120</w:t>
            </w:r>
          </w:p>
        </w:tc>
        <w:tc>
          <w:tcPr>
            <w:tcW w:w="1371" w:type="dxa"/>
            <w:tcBorders/>
            <w:vAlign w:val="center"/>
          </w:tcPr>
          <w:p>
            <w:pPr>
              <w:pStyle w:val="Style18"/>
              <w:snapToGrid w:val="false"/>
              <w:rPr/>
            </w:pPr>
            <w:r>
              <w:rPr/>
              <w:t>50</w:t>
            </w:r>
          </w:p>
        </w:tc>
        <w:tc>
          <w:tcPr>
            <w:tcW w:w="1637" w:type="dxa"/>
            <w:tcBorders/>
            <w:vAlign w:val="center"/>
          </w:tcPr>
          <w:p>
            <w:pPr>
              <w:pStyle w:val="Style18"/>
              <w:snapToGrid w:val="false"/>
              <w:rPr/>
            </w:pPr>
            <w:r>
              <w:rPr/>
              <w:t>1.0</w:t>
            </w:r>
          </w:p>
        </w:tc>
      </w:tr>
      <w:tr>
        <w:trPr>
          <w:trHeight w:val="284" w:hRule="atLeast"/>
        </w:trPr>
        <w:tc>
          <w:tcPr>
            <w:tcW w:w="516" w:type="dxa"/>
            <w:tcBorders/>
            <w:vAlign w:val="center"/>
          </w:tcPr>
          <w:p>
            <w:pPr>
              <w:pStyle w:val="Style18"/>
              <w:snapToGrid w:val="false"/>
              <w:rPr/>
            </w:pPr>
            <w:r>
              <w:rPr/>
              <w:t>H6</w:t>
            </w:r>
          </w:p>
        </w:tc>
        <w:tc>
          <w:tcPr>
            <w:tcW w:w="1006" w:type="dxa"/>
            <w:tcBorders/>
            <w:vAlign w:val="center"/>
          </w:tcPr>
          <w:p>
            <w:pPr>
              <w:pStyle w:val="Style18"/>
              <w:snapToGrid w:val="false"/>
              <w:rPr/>
            </w:pPr>
            <w:r>
              <w:rPr/>
              <w:t>180</w:t>
            </w:r>
          </w:p>
        </w:tc>
        <w:tc>
          <w:tcPr>
            <w:tcW w:w="1006" w:type="dxa"/>
            <w:tcBorders/>
            <w:vAlign w:val="center"/>
          </w:tcPr>
          <w:p>
            <w:pPr>
              <w:pStyle w:val="Style18"/>
              <w:snapToGrid w:val="false"/>
              <w:rPr/>
            </w:pPr>
            <w:r>
              <w:rPr/>
              <w:t>55</w:t>
            </w:r>
          </w:p>
        </w:tc>
        <w:tc>
          <w:tcPr>
            <w:tcW w:w="1371" w:type="dxa"/>
            <w:tcBorders/>
            <w:vAlign w:val="center"/>
          </w:tcPr>
          <w:p>
            <w:pPr>
              <w:pStyle w:val="Style18"/>
              <w:snapToGrid w:val="false"/>
              <w:rPr/>
            </w:pPr>
            <w:r>
              <w:rPr/>
              <w:t>35</w:t>
            </w:r>
          </w:p>
        </w:tc>
        <w:tc>
          <w:tcPr>
            <w:tcW w:w="1637" w:type="dxa"/>
            <w:tcBorders/>
            <w:vAlign w:val="center"/>
          </w:tcPr>
          <w:p>
            <w:pPr>
              <w:pStyle w:val="Style18"/>
              <w:snapToGrid w:val="false"/>
              <w:rPr/>
            </w:pPr>
            <w:r>
              <w:rPr/>
              <w:t>2.0</w:t>
            </w:r>
          </w:p>
        </w:tc>
      </w:tr>
      <w:tr>
        <w:trPr>
          <w:trHeight w:val="284" w:hRule="atLeast"/>
        </w:trPr>
        <w:tc>
          <w:tcPr>
            <w:tcW w:w="516" w:type="dxa"/>
            <w:tcBorders/>
            <w:vAlign w:val="center"/>
          </w:tcPr>
          <w:p>
            <w:pPr>
              <w:pStyle w:val="Style18"/>
              <w:snapToGrid w:val="false"/>
              <w:rPr/>
            </w:pPr>
            <w:r>
              <w:rPr/>
              <w:t>H7</w:t>
            </w:r>
          </w:p>
        </w:tc>
        <w:tc>
          <w:tcPr>
            <w:tcW w:w="1006" w:type="dxa"/>
            <w:tcBorders/>
            <w:vAlign w:val="center"/>
          </w:tcPr>
          <w:p>
            <w:pPr>
              <w:pStyle w:val="Style18"/>
              <w:snapToGrid w:val="false"/>
              <w:rPr/>
            </w:pPr>
            <w:r>
              <w:rPr/>
              <w:t>200</w:t>
            </w:r>
          </w:p>
        </w:tc>
        <w:tc>
          <w:tcPr>
            <w:tcW w:w="1006" w:type="dxa"/>
            <w:tcBorders/>
            <w:vAlign w:val="center"/>
          </w:tcPr>
          <w:p>
            <w:pPr>
              <w:pStyle w:val="Style18"/>
              <w:snapToGrid w:val="false"/>
              <w:rPr/>
            </w:pPr>
            <w:r>
              <w:rPr/>
              <w:t>60</w:t>
            </w:r>
          </w:p>
        </w:tc>
        <w:tc>
          <w:tcPr>
            <w:tcW w:w="1371" w:type="dxa"/>
            <w:tcBorders/>
            <w:vAlign w:val="center"/>
          </w:tcPr>
          <w:p>
            <w:pPr>
              <w:pStyle w:val="Style18"/>
              <w:snapToGrid w:val="false"/>
              <w:rPr/>
            </w:pPr>
            <w:r>
              <w:rPr/>
              <w:t>30</w:t>
            </w:r>
          </w:p>
        </w:tc>
        <w:tc>
          <w:tcPr>
            <w:tcW w:w="1637" w:type="dxa"/>
            <w:tcBorders/>
            <w:vAlign w:val="center"/>
          </w:tcPr>
          <w:p>
            <w:pPr>
              <w:pStyle w:val="Style18"/>
              <w:snapToGrid w:val="false"/>
              <w:rPr/>
            </w:pPr>
            <w:r>
              <w:rPr/>
              <w:t>0.4</w:t>
            </w:r>
          </w:p>
        </w:tc>
      </w:tr>
      <w:tr>
        <w:trPr>
          <w:trHeight w:val="284" w:hRule="atLeast"/>
        </w:trPr>
        <w:tc>
          <w:tcPr>
            <w:tcW w:w="516" w:type="dxa"/>
            <w:tcBorders/>
            <w:vAlign w:val="center"/>
          </w:tcPr>
          <w:p>
            <w:pPr>
              <w:pStyle w:val="Style18"/>
              <w:snapToGrid w:val="false"/>
              <w:rPr/>
            </w:pPr>
            <w:r>
              <w:rPr/>
              <w:t>H8</w:t>
            </w:r>
          </w:p>
        </w:tc>
        <w:tc>
          <w:tcPr>
            <w:tcW w:w="1006" w:type="dxa"/>
            <w:tcBorders/>
            <w:vAlign w:val="center"/>
          </w:tcPr>
          <w:p>
            <w:pPr>
              <w:pStyle w:val="Style18"/>
              <w:snapToGrid w:val="false"/>
              <w:rPr/>
            </w:pPr>
            <w:r>
              <w:rPr/>
              <w:t>120</w:t>
            </w:r>
          </w:p>
        </w:tc>
        <w:tc>
          <w:tcPr>
            <w:tcW w:w="1006" w:type="dxa"/>
            <w:tcBorders/>
            <w:vAlign w:val="center"/>
          </w:tcPr>
          <w:p>
            <w:pPr>
              <w:pStyle w:val="Style18"/>
              <w:snapToGrid w:val="false"/>
              <w:rPr/>
            </w:pPr>
            <w:r>
              <w:rPr/>
              <w:t>40</w:t>
            </w:r>
          </w:p>
        </w:tc>
        <w:tc>
          <w:tcPr>
            <w:tcW w:w="1371" w:type="dxa"/>
            <w:tcBorders/>
            <w:vAlign w:val="center"/>
          </w:tcPr>
          <w:p>
            <w:pPr>
              <w:pStyle w:val="Style18"/>
              <w:snapToGrid w:val="false"/>
              <w:rPr/>
            </w:pPr>
            <w:r>
              <w:rPr/>
              <w:t>100</w:t>
            </w:r>
          </w:p>
        </w:tc>
        <w:tc>
          <w:tcPr>
            <w:tcW w:w="1637" w:type="dxa"/>
            <w:tcBorders/>
            <w:vAlign w:val="center"/>
          </w:tcPr>
          <w:p>
            <w:pPr>
              <w:pStyle w:val="Style18"/>
              <w:snapToGrid w:val="false"/>
              <w:rPr/>
            </w:pPr>
            <w:r>
              <w:rPr/>
              <w:t>0.5</w:t>
            </w:r>
          </w:p>
        </w:tc>
      </w:tr>
      <w:tr>
        <w:trPr>
          <w:trHeight w:val="284" w:hRule="atLeast"/>
        </w:trPr>
        <w:tc>
          <w:tcPr>
            <w:tcW w:w="516" w:type="dxa"/>
            <w:tcBorders/>
            <w:vAlign w:val="center"/>
          </w:tcPr>
          <w:p>
            <w:pPr>
              <w:pStyle w:val="Style18"/>
              <w:snapToGrid w:val="false"/>
              <w:rPr/>
            </w:pPr>
            <w:r>
              <w:rPr/>
              <w:t>C1</w:t>
            </w:r>
          </w:p>
        </w:tc>
        <w:tc>
          <w:tcPr>
            <w:tcW w:w="1006" w:type="dxa"/>
            <w:tcBorders/>
            <w:vAlign w:val="center"/>
          </w:tcPr>
          <w:p>
            <w:pPr>
              <w:pStyle w:val="Style18"/>
              <w:snapToGrid w:val="false"/>
              <w:rPr/>
            </w:pPr>
            <w:r>
              <w:rPr/>
              <w:t>40</w:t>
            </w:r>
          </w:p>
        </w:tc>
        <w:tc>
          <w:tcPr>
            <w:tcW w:w="1006" w:type="dxa"/>
            <w:tcBorders/>
            <w:vAlign w:val="center"/>
          </w:tcPr>
          <w:p>
            <w:pPr>
              <w:pStyle w:val="Style18"/>
              <w:snapToGrid w:val="false"/>
              <w:rPr/>
            </w:pPr>
            <w:r>
              <w:rPr/>
              <w:t>230</w:t>
            </w:r>
          </w:p>
        </w:tc>
        <w:tc>
          <w:tcPr>
            <w:tcW w:w="1371" w:type="dxa"/>
            <w:tcBorders/>
            <w:vAlign w:val="center"/>
          </w:tcPr>
          <w:p>
            <w:pPr>
              <w:pStyle w:val="Style18"/>
              <w:snapToGrid w:val="false"/>
              <w:rPr/>
            </w:pPr>
            <w:r>
              <w:rPr/>
              <w:t>2</w:t>
            </w:r>
            <w:r>
              <w:rPr/>
              <w:t>0</w:t>
            </w:r>
          </w:p>
        </w:tc>
        <w:tc>
          <w:tcPr>
            <w:tcW w:w="1637" w:type="dxa"/>
            <w:tcBorders/>
            <w:vAlign w:val="center"/>
          </w:tcPr>
          <w:p>
            <w:pPr>
              <w:pStyle w:val="Style18"/>
              <w:snapToGrid w:val="false"/>
              <w:rPr/>
            </w:pPr>
            <w:r>
              <w:rPr/>
              <w:t>1.0</w:t>
            </w:r>
          </w:p>
        </w:tc>
      </w:tr>
      <w:tr>
        <w:trPr>
          <w:trHeight w:val="284" w:hRule="atLeast"/>
        </w:trPr>
        <w:tc>
          <w:tcPr>
            <w:tcW w:w="516" w:type="dxa"/>
            <w:tcBorders/>
            <w:vAlign w:val="center"/>
          </w:tcPr>
          <w:p>
            <w:pPr>
              <w:pStyle w:val="Style18"/>
              <w:snapToGrid w:val="false"/>
              <w:rPr/>
            </w:pPr>
            <w:r>
              <w:rPr/>
              <w:t>C2</w:t>
            </w:r>
          </w:p>
        </w:tc>
        <w:tc>
          <w:tcPr>
            <w:tcW w:w="1006" w:type="dxa"/>
            <w:tcBorders/>
            <w:vAlign w:val="center"/>
          </w:tcPr>
          <w:p>
            <w:pPr>
              <w:pStyle w:val="Style18"/>
              <w:snapToGrid w:val="false"/>
              <w:rPr/>
            </w:pPr>
            <w:r>
              <w:rPr/>
              <w:t>100</w:t>
            </w:r>
          </w:p>
        </w:tc>
        <w:tc>
          <w:tcPr>
            <w:tcW w:w="1006" w:type="dxa"/>
            <w:tcBorders/>
            <w:vAlign w:val="center"/>
          </w:tcPr>
          <w:p>
            <w:pPr>
              <w:pStyle w:val="Style18"/>
              <w:snapToGrid w:val="false"/>
              <w:rPr/>
            </w:pPr>
            <w:r>
              <w:rPr/>
              <w:t>220</w:t>
            </w:r>
          </w:p>
        </w:tc>
        <w:tc>
          <w:tcPr>
            <w:tcW w:w="1371" w:type="dxa"/>
            <w:tcBorders/>
            <w:vAlign w:val="center"/>
          </w:tcPr>
          <w:p>
            <w:pPr>
              <w:pStyle w:val="Style18"/>
              <w:snapToGrid w:val="false"/>
              <w:rPr/>
            </w:pPr>
            <w:r>
              <w:rPr/>
              <w:t>60</w:t>
            </w:r>
          </w:p>
        </w:tc>
        <w:tc>
          <w:tcPr>
            <w:tcW w:w="1637" w:type="dxa"/>
            <w:tcBorders/>
            <w:vAlign w:val="center"/>
          </w:tcPr>
          <w:p>
            <w:pPr>
              <w:pStyle w:val="Style18"/>
              <w:snapToGrid w:val="false"/>
              <w:rPr/>
            </w:pPr>
            <w:r>
              <w:rPr/>
              <w:t>1.0</w:t>
            </w:r>
          </w:p>
        </w:tc>
      </w:tr>
      <w:tr>
        <w:trPr>
          <w:trHeight w:val="284" w:hRule="atLeast"/>
        </w:trPr>
        <w:tc>
          <w:tcPr>
            <w:tcW w:w="516" w:type="dxa"/>
            <w:tcBorders/>
            <w:vAlign w:val="center"/>
          </w:tcPr>
          <w:p>
            <w:pPr>
              <w:pStyle w:val="Style18"/>
              <w:snapToGrid w:val="false"/>
              <w:rPr/>
            </w:pPr>
            <w:r>
              <w:rPr/>
              <w:t>C3</w:t>
            </w:r>
          </w:p>
        </w:tc>
        <w:tc>
          <w:tcPr>
            <w:tcW w:w="1006" w:type="dxa"/>
            <w:tcBorders/>
            <w:vAlign w:val="center"/>
          </w:tcPr>
          <w:p>
            <w:pPr>
              <w:pStyle w:val="Style18"/>
              <w:snapToGrid w:val="false"/>
              <w:rPr/>
            </w:pPr>
            <w:r>
              <w:rPr/>
              <w:t>40</w:t>
            </w:r>
          </w:p>
        </w:tc>
        <w:tc>
          <w:tcPr>
            <w:tcW w:w="1006" w:type="dxa"/>
            <w:tcBorders/>
            <w:vAlign w:val="center"/>
          </w:tcPr>
          <w:p>
            <w:pPr>
              <w:pStyle w:val="Style18"/>
              <w:snapToGrid w:val="false"/>
              <w:rPr/>
            </w:pPr>
            <w:r>
              <w:rPr/>
              <w:t>190</w:t>
            </w:r>
          </w:p>
        </w:tc>
        <w:tc>
          <w:tcPr>
            <w:tcW w:w="1371" w:type="dxa"/>
            <w:tcBorders/>
            <w:vAlign w:val="center"/>
          </w:tcPr>
          <w:p>
            <w:pPr>
              <w:pStyle w:val="Style18"/>
              <w:snapToGrid w:val="false"/>
              <w:rPr/>
            </w:pPr>
            <w:r>
              <w:rPr/>
              <w:t>35</w:t>
            </w:r>
          </w:p>
        </w:tc>
        <w:tc>
          <w:tcPr>
            <w:tcW w:w="1637" w:type="dxa"/>
            <w:tcBorders/>
            <w:vAlign w:val="center"/>
          </w:tcPr>
          <w:p>
            <w:pPr>
              <w:pStyle w:val="Style18"/>
              <w:snapToGrid w:val="false"/>
              <w:rPr/>
            </w:pPr>
            <w:r>
              <w:rPr/>
              <w:t>2.0</w:t>
            </w:r>
          </w:p>
        </w:tc>
      </w:tr>
      <w:tr>
        <w:trPr>
          <w:trHeight w:val="284" w:hRule="atLeast"/>
        </w:trPr>
        <w:tc>
          <w:tcPr>
            <w:tcW w:w="516" w:type="dxa"/>
            <w:tcBorders/>
            <w:vAlign w:val="center"/>
          </w:tcPr>
          <w:p>
            <w:pPr>
              <w:pStyle w:val="Style18"/>
              <w:snapToGrid w:val="false"/>
              <w:rPr/>
            </w:pPr>
            <w:r>
              <w:rPr/>
              <w:t>C4</w:t>
            </w:r>
          </w:p>
        </w:tc>
        <w:tc>
          <w:tcPr>
            <w:tcW w:w="1006" w:type="dxa"/>
            <w:tcBorders/>
            <w:vAlign w:val="center"/>
          </w:tcPr>
          <w:p>
            <w:pPr>
              <w:pStyle w:val="Style18"/>
              <w:snapToGrid w:val="false"/>
              <w:rPr/>
            </w:pPr>
            <w:r>
              <w:rPr/>
              <w:t>50</w:t>
            </w:r>
          </w:p>
        </w:tc>
        <w:tc>
          <w:tcPr>
            <w:tcW w:w="1006" w:type="dxa"/>
            <w:tcBorders/>
            <w:vAlign w:val="center"/>
          </w:tcPr>
          <w:p>
            <w:pPr>
              <w:pStyle w:val="Style18"/>
              <w:snapToGrid w:val="false"/>
              <w:rPr/>
            </w:pPr>
            <w:r>
              <w:rPr/>
              <w:t>190</w:t>
            </w:r>
          </w:p>
        </w:tc>
        <w:tc>
          <w:tcPr>
            <w:tcW w:w="1371" w:type="dxa"/>
            <w:tcBorders/>
            <w:vAlign w:val="center"/>
          </w:tcPr>
          <w:p>
            <w:pPr>
              <w:pStyle w:val="Style18"/>
              <w:snapToGrid w:val="false"/>
              <w:rPr/>
            </w:pPr>
            <w:r>
              <w:rPr/>
              <w:t>30</w:t>
            </w:r>
          </w:p>
        </w:tc>
        <w:tc>
          <w:tcPr>
            <w:tcW w:w="1637" w:type="dxa"/>
            <w:tcBorders/>
            <w:vAlign w:val="center"/>
          </w:tcPr>
          <w:p>
            <w:pPr>
              <w:pStyle w:val="Style18"/>
              <w:snapToGrid w:val="false"/>
              <w:rPr/>
            </w:pPr>
            <w:r>
              <w:rPr/>
              <w:t>2.0</w:t>
            </w:r>
          </w:p>
        </w:tc>
      </w:tr>
      <w:tr>
        <w:trPr>
          <w:trHeight w:val="284" w:hRule="atLeast"/>
        </w:trPr>
        <w:tc>
          <w:tcPr>
            <w:tcW w:w="516" w:type="dxa"/>
            <w:tcBorders/>
            <w:vAlign w:val="center"/>
          </w:tcPr>
          <w:p>
            <w:pPr>
              <w:pStyle w:val="Style18"/>
              <w:snapToGrid w:val="false"/>
              <w:rPr/>
            </w:pPr>
            <w:r>
              <w:rPr/>
              <w:t>C5</w:t>
            </w:r>
          </w:p>
        </w:tc>
        <w:tc>
          <w:tcPr>
            <w:tcW w:w="1006" w:type="dxa"/>
            <w:tcBorders/>
            <w:vAlign w:val="center"/>
          </w:tcPr>
          <w:p>
            <w:pPr>
              <w:pStyle w:val="Style18"/>
              <w:snapToGrid w:val="false"/>
              <w:rPr/>
            </w:pPr>
            <w:r>
              <w:rPr/>
              <w:t>50</w:t>
            </w:r>
          </w:p>
        </w:tc>
        <w:tc>
          <w:tcPr>
            <w:tcW w:w="1006" w:type="dxa"/>
            <w:tcBorders/>
            <w:vAlign w:val="center"/>
          </w:tcPr>
          <w:p>
            <w:pPr>
              <w:pStyle w:val="Style18"/>
              <w:snapToGrid w:val="false"/>
              <w:rPr/>
            </w:pPr>
            <w:r>
              <w:rPr/>
              <w:t>250</w:t>
            </w:r>
          </w:p>
        </w:tc>
        <w:tc>
          <w:tcPr>
            <w:tcW w:w="1371" w:type="dxa"/>
            <w:tcBorders/>
            <w:vAlign w:val="center"/>
          </w:tcPr>
          <w:p>
            <w:pPr>
              <w:pStyle w:val="Style18"/>
              <w:snapToGrid w:val="false"/>
              <w:rPr/>
            </w:pPr>
            <w:r>
              <w:rPr/>
              <w:t>60</w:t>
            </w:r>
          </w:p>
        </w:tc>
        <w:tc>
          <w:tcPr>
            <w:tcW w:w="1637" w:type="dxa"/>
            <w:tcBorders/>
            <w:vAlign w:val="center"/>
          </w:tcPr>
          <w:p>
            <w:pPr>
              <w:pStyle w:val="Style18"/>
              <w:snapToGrid w:val="false"/>
              <w:rPr/>
            </w:pPr>
            <w:r>
              <w:rPr/>
              <w:t>1.0</w:t>
            </w:r>
          </w:p>
        </w:tc>
      </w:tr>
      <w:tr>
        <w:trPr>
          <w:trHeight w:val="284" w:hRule="atLeast"/>
        </w:trPr>
        <w:tc>
          <w:tcPr>
            <w:tcW w:w="516" w:type="dxa"/>
            <w:tcBorders/>
            <w:vAlign w:val="center"/>
          </w:tcPr>
          <w:p>
            <w:pPr>
              <w:pStyle w:val="Style18"/>
              <w:snapToGrid w:val="false"/>
              <w:rPr/>
            </w:pPr>
            <w:r>
              <w:rPr/>
              <w:t>C6</w:t>
            </w:r>
          </w:p>
        </w:tc>
        <w:tc>
          <w:tcPr>
            <w:tcW w:w="1006" w:type="dxa"/>
            <w:tcBorders/>
            <w:vAlign w:val="center"/>
          </w:tcPr>
          <w:p>
            <w:pPr>
              <w:pStyle w:val="Style18"/>
              <w:snapToGrid w:val="false"/>
              <w:rPr/>
            </w:pPr>
            <w:r>
              <w:rPr/>
              <w:t>90</w:t>
            </w:r>
          </w:p>
        </w:tc>
        <w:tc>
          <w:tcPr>
            <w:tcW w:w="1006" w:type="dxa"/>
            <w:tcBorders/>
            <w:vAlign w:val="center"/>
          </w:tcPr>
          <w:p>
            <w:pPr>
              <w:pStyle w:val="Style18"/>
              <w:snapToGrid w:val="false"/>
              <w:rPr/>
            </w:pPr>
            <w:r>
              <w:rPr/>
              <w:t>190</w:t>
            </w:r>
          </w:p>
        </w:tc>
        <w:tc>
          <w:tcPr>
            <w:tcW w:w="1371" w:type="dxa"/>
            <w:tcBorders/>
            <w:vAlign w:val="center"/>
          </w:tcPr>
          <w:p>
            <w:pPr>
              <w:pStyle w:val="Style18"/>
              <w:snapToGrid w:val="false"/>
              <w:rPr/>
            </w:pPr>
            <w:r>
              <w:rPr/>
              <w:t>50</w:t>
            </w:r>
          </w:p>
        </w:tc>
        <w:tc>
          <w:tcPr>
            <w:tcW w:w="1637" w:type="dxa"/>
            <w:tcBorders/>
            <w:vAlign w:val="center"/>
          </w:tcPr>
          <w:p>
            <w:pPr>
              <w:pStyle w:val="Style18"/>
              <w:snapToGrid w:val="false"/>
              <w:rPr/>
            </w:pPr>
            <w:r>
              <w:rPr/>
              <w:t>3.0</w:t>
            </w:r>
          </w:p>
        </w:tc>
      </w:tr>
      <w:tr>
        <w:trPr>
          <w:trHeight w:val="284" w:hRule="atLeast"/>
        </w:trPr>
        <w:tc>
          <w:tcPr>
            <w:tcW w:w="516" w:type="dxa"/>
            <w:tcBorders/>
            <w:vAlign w:val="center"/>
          </w:tcPr>
          <w:p>
            <w:pPr>
              <w:pStyle w:val="Style18"/>
              <w:snapToGrid w:val="false"/>
              <w:rPr/>
            </w:pPr>
            <w:r>
              <w:rPr/>
              <w:t>C7</w:t>
            </w:r>
          </w:p>
        </w:tc>
        <w:tc>
          <w:tcPr>
            <w:tcW w:w="1006" w:type="dxa"/>
            <w:tcBorders/>
            <w:vAlign w:val="center"/>
          </w:tcPr>
          <w:p>
            <w:pPr>
              <w:pStyle w:val="Style18"/>
              <w:snapToGrid w:val="false"/>
              <w:rPr/>
            </w:pPr>
            <w:r>
              <w:rPr/>
              <w:t>160</w:t>
            </w:r>
          </w:p>
        </w:tc>
        <w:tc>
          <w:tcPr>
            <w:tcW w:w="1006" w:type="dxa"/>
            <w:tcBorders/>
            <w:vAlign w:val="center"/>
          </w:tcPr>
          <w:p>
            <w:pPr>
              <w:pStyle w:val="Style18"/>
              <w:snapToGrid w:val="false"/>
              <w:rPr/>
            </w:pPr>
            <w:r>
              <w:rPr/>
              <w:t>250</w:t>
            </w:r>
          </w:p>
        </w:tc>
        <w:tc>
          <w:tcPr>
            <w:tcW w:w="1371" w:type="dxa"/>
            <w:tcBorders/>
            <w:vAlign w:val="center"/>
          </w:tcPr>
          <w:p>
            <w:pPr>
              <w:pStyle w:val="Style18"/>
              <w:snapToGrid w:val="false"/>
              <w:rPr/>
            </w:pPr>
            <w:r>
              <w:rPr/>
              <w:t>60</w:t>
            </w:r>
          </w:p>
        </w:tc>
        <w:tc>
          <w:tcPr>
            <w:tcW w:w="1637" w:type="dxa"/>
            <w:tcBorders/>
            <w:vAlign w:val="center"/>
          </w:tcPr>
          <w:p>
            <w:pPr>
              <w:pStyle w:val="Style18"/>
              <w:snapToGrid w:val="false"/>
              <w:rPr/>
            </w:pPr>
            <w:r>
              <w:rPr/>
              <w:t>2.0</w:t>
            </w:r>
          </w:p>
        </w:tc>
      </w:tr>
      <w:tr>
        <w:trPr>
          <w:trHeight w:val="284" w:hRule="atLeast"/>
        </w:trPr>
        <w:tc>
          <w:tcPr>
            <w:tcW w:w="516" w:type="dxa"/>
            <w:tcBorders/>
            <w:vAlign w:val="center"/>
          </w:tcPr>
          <w:p>
            <w:pPr>
              <w:pStyle w:val="Style18"/>
              <w:snapToGrid w:val="false"/>
              <w:rPr/>
            </w:pPr>
            <w:r>
              <w:rPr/>
              <w:t>HU</w:t>
            </w:r>
          </w:p>
        </w:tc>
        <w:tc>
          <w:tcPr>
            <w:tcW w:w="1006" w:type="dxa"/>
            <w:tcBorders/>
            <w:vAlign w:val="center"/>
          </w:tcPr>
          <w:p>
            <w:pPr>
              <w:pStyle w:val="Style18"/>
              <w:snapToGrid w:val="false"/>
              <w:rPr/>
            </w:pPr>
            <w:r>
              <w:rPr/>
              <w:t>325</w:t>
            </w:r>
          </w:p>
        </w:tc>
        <w:tc>
          <w:tcPr>
            <w:tcW w:w="1006" w:type="dxa"/>
            <w:tcBorders/>
            <w:vAlign w:val="center"/>
          </w:tcPr>
          <w:p>
            <w:pPr>
              <w:pStyle w:val="Style18"/>
              <w:snapToGrid w:val="false"/>
              <w:rPr/>
            </w:pPr>
            <w:r>
              <w:rPr/>
              <w:t>325</w:t>
            </w:r>
          </w:p>
        </w:tc>
        <w:tc>
          <w:tcPr>
            <w:tcW w:w="1371" w:type="dxa"/>
            <w:tcBorders/>
            <w:vAlign w:val="center"/>
          </w:tcPr>
          <w:p>
            <w:pPr>
              <w:pStyle w:val="Style18"/>
              <w:snapToGrid w:val="false"/>
              <w:rPr>
                <w:rFonts w:ascii="宋体;SimSun" w:hAnsi="宋体;SimSun" w:cs="宋体;SimSun"/>
              </w:rPr>
            </w:pPr>
            <w:r>
              <w:rPr>
                <w:rFonts w:cs="宋体;SimSun" w:ascii="宋体;SimSun" w:hAnsi="宋体;SimSun"/>
              </w:rPr>
              <w:t>—</w:t>
            </w:r>
          </w:p>
        </w:tc>
        <w:tc>
          <w:tcPr>
            <w:tcW w:w="1637" w:type="dxa"/>
            <w:tcBorders/>
            <w:vAlign w:val="center"/>
          </w:tcPr>
          <w:p>
            <w:pPr>
              <w:pStyle w:val="Style18"/>
              <w:snapToGrid w:val="false"/>
              <w:rPr/>
            </w:pPr>
            <w:r>
              <w:rPr/>
              <w:t>1.0</w:t>
            </w:r>
          </w:p>
        </w:tc>
      </w:tr>
      <w:tr>
        <w:trPr>
          <w:trHeight w:val="284" w:hRule="atLeast"/>
        </w:trPr>
        <w:tc>
          <w:tcPr>
            <w:tcW w:w="516" w:type="dxa"/>
            <w:tcBorders>
              <w:bottom w:val="single" w:sz="8" w:space="0" w:color="000000"/>
            </w:tcBorders>
            <w:vAlign w:val="center"/>
          </w:tcPr>
          <w:p>
            <w:pPr>
              <w:pStyle w:val="Style18"/>
              <w:snapToGrid w:val="false"/>
              <w:rPr/>
            </w:pPr>
            <w:r>
              <w:rPr/>
              <w:t>CU</w:t>
            </w:r>
          </w:p>
        </w:tc>
        <w:tc>
          <w:tcPr>
            <w:tcW w:w="1006" w:type="dxa"/>
            <w:tcBorders>
              <w:bottom w:val="single" w:sz="8" w:space="0" w:color="000000"/>
            </w:tcBorders>
            <w:vAlign w:val="center"/>
          </w:tcPr>
          <w:p>
            <w:pPr>
              <w:pStyle w:val="Style18"/>
              <w:snapToGrid w:val="false"/>
              <w:rPr/>
            </w:pPr>
            <w:r>
              <w:rPr/>
              <w:t>25</w:t>
            </w:r>
          </w:p>
        </w:tc>
        <w:tc>
          <w:tcPr>
            <w:tcW w:w="1006" w:type="dxa"/>
            <w:tcBorders>
              <w:bottom w:val="single" w:sz="8" w:space="0" w:color="000000"/>
            </w:tcBorders>
            <w:vAlign w:val="center"/>
          </w:tcPr>
          <w:p>
            <w:pPr>
              <w:pStyle w:val="Style18"/>
              <w:snapToGrid w:val="false"/>
              <w:rPr/>
            </w:pPr>
            <w:r>
              <w:rPr/>
              <w:t>40</w:t>
            </w:r>
          </w:p>
        </w:tc>
        <w:tc>
          <w:tcPr>
            <w:tcW w:w="1371" w:type="dxa"/>
            <w:tcBorders>
              <w:bottom w:val="single" w:sz="8" w:space="0" w:color="000000"/>
            </w:tcBorders>
            <w:vAlign w:val="center"/>
          </w:tcPr>
          <w:p>
            <w:pPr>
              <w:pStyle w:val="Style18"/>
              <w:snapToGrid w:val="false"/>
              <w:rPr>
                <w:rFonts w:ascii="宋体;SimSun" w:hAnsi="宋体;SimSun" w:cs="宋体;SimSun"/>
              </w:rPr>
            </w:pPr>
            <w:r>
              <w:rPr>
                <w:rFonts w:cs="宋体;SimSun" w:ascii="宋体;SimSun" w:hAnsi="宋体;SimSun"/>
              </w:rPr>
              <w:t>—</w:t>
            </w:r>
          </w:p>
        </w:tc>
        <w:tc>
          <w:tcPr>
            <w:tcW w:w="1637" w:type="dxa"/>
            <w:tcBorders>
              <w:bottom w:val="single" w:sz="8" w:space="0" w:color="000000"/>
            </w:tcBorders>
            <w:vAlign w:val="center"/>
          </w:tcPr>
          <w:p>
            <w:pPr>
              <w:pStyle w:val="Style18"/>
              <w:snapToGrid w:val="false"/>
              <w:rPr/>
            </w:pPr>
            <w:r>
              <w:rPr/>
              <w:t>2.0</w:t>
            </w:r>
          </w:p>
        </w:tc>
      </w:tr>
    </w:tbl>
    <w:p>
      <w:pPr>
        <w:pStyle w:val="Normal"/>
        <w:rPr>
          <w:color w:val="FF0000"/>
        </w:rPr>
      </w:pPr>
      <w:r>
        <w:rPr>
          <w:color w:val="FF0000"/>
        </w:rPr>
        <w:t>表的上方须注出表序和表题。表</w:t>
      </w:r>
      <w:r>
        <w:rPr>
          <w:color w:val="FF0000"/>
        </w:rPr>
        <w:t>题</w:t>
      </w:r>
      <w:r>
        <w:rPr>
          <w:color w:val="FF0000"/>
        </w:rPr>
        <w:t>、表注、表内文字，除专有名词外，本刊目前要求均用中文。</w:t>
      </w:r>
    </w:p>
    <w:p>
      <w:pPr>
        <w:pStyle w:val="Normal"/>
        <w:rPr>
          <w:color w:val="FF0000"/>
        </w:rPr>
      </w:pPr>
      <w:r>
        <w:rPr>
          <w:color w:val="FF0000"/>
        </w:rPr>
        <w:t>表的结构应简洁，具有自明性，采用三线表。表头物理量对应数据应纵向可读。</w:t>
      </w:r>
    </w:p>
    <w:p>
      <w:pPr>
        <w:pStyle w:val="Normal"/>
        <w:rPr>
          <w:color w:val="FF0000"/>
        </w:rPr>
      </w:pPr>
      <w:r>
        <w:rPr>
          <w:color w:val="FF0000"/>
        </w:rPr>
        <w:t>表注分两种：一种是对全表的综合性注释，以不加括号的阿拉伯数字编号，数字前冠以“注：”，注文回行时左边顶格，每注末加句号；另一种表注与表内某处文字或数字对应，这时表内文字或数字右上角加“①、②”字样，表注也以“①、②”引出注释文字。</w:t>
      </w:r>
    </w:p>
    <w:p>
      <w:pPr>
        <w:pStyle w:val="Normal"/>
        <w:rPr>
          <w:color w:val="FF0000"/>
        </w:rPr>
      </w:pPr>
      <w:r>
        <w:rPr>
          <w:color w:val="FF0000"/>
        </w:rPr>
        <w:t>表内物理量尽量用符号表示。物理量与单位之间用斜线，单位用指数形式。</w:t>
      </w:r>
    </w:p>
    <w:p>
      <w:pPr>
        <w:pStyle w:val="Normal"/>
        <w:rPr>
          <w:color w:val="FF0000"/>
        </w:rPr>
      </w:pPr>
      <w:r>
        <w:rPr>
          <w:color w:val="FF0000"/>
        </w:rPr>
      </w:r>
    </w:p>
    <w:p>
      <w:pPr>
        <w:pStyle w:val="Normal"/>
        <w:ind w:firstLine="421"/>
        <w:rPr/>
      </w:pPr>
      <w:r>
        <w:rPr/>
        <w:t>为了观察具有不同接枝率的</w:t>
      </w:r>
      <w:r>
        <w:rPr/>
        <w:t>PNIPAM</w:t>
      </w:r>
      <w:r>
        <w:rPr/>
        <w:t>开关膜的微观形态，将膜放入液氮中深冷，然后脆断制样，镀金，用扫描电镜观测断面。图</w:t>
      </w:r>
      <w:r>
        <w:rPr/>
        <w:t>3</w:t>
      </w:r>
      <w:r>
        <w:rPr/>
        <w:t>所示为具有不同接枝率的</w:t>
      </w:r>
      <w:r>
        <w:rPr/>
        <w:t>PNIPAM</w:t>
      </w:r>
      <w:r>
        <w:rPr/>
        <w:t>开关膜的断面</w:t>
      </w:r>
      <w:r>
        <w:rPr/>
        <w:t>SEM</w:t>
      </w:r>
      <w:r>
        <w:rPr/>
        <w:t>图。可以看出，</w:t>
      </w:r>
      <w:r>
        <w:rPr/>
        <w:t>3</w:t>
      </w:r>
      <w:r>
        <w:rPr/>
        <w:t>张</w:t>
      </w:r>
      <w:r>
        <w:rPr/>
        <w:t>SEM</w:t>
      </w:r>
      <w:r>
        <w:rPr/>
        <w:t>照片所示的膜结构有明显的区别。图</w:t>
      </w:r>
      <w:r>
        <w:rPr/>
        <w:t>3</w:t>
      </w:r>
      <w:r>
        <w:rPr/>
        <w:t>(a)</w:t>
      </w:r>
      <w:r>
        <w:rPr/>
        <w:t>为未接枝的</w:t>
      </w:r>
      <w:r>
        <w:rPr/>
        <w:t>PVDF</w:t>
      </w:r>
      <w:r>
        <w:rPr/>
        <w:t>微孔基材膜，可以明显看出膜表层以及较疏松的支撑层结构；图</w:t>
      </w:r>
      <w:r>
        <w:rPr/>
        <w:t>3(b)</w:t>
      </w:r>
      <w:r>
        <w:rPr/>
        <w:t>和图</w:t>
      </w:r>
      <w:r>
        <w:rPr/>
        <w:t>3(c)</w:t>
      </w:r>
      <w:r>
        <w:rPr/>
        <w:t>均为</w:t>
      </w:r>
      <w:r>
        <w:rPr/>
        <w:t>PNIPAM</w:t>
      </w:r>
      <w:r>
        <w:rPr/>
        <w:t>接枝后的</w:t>
      </w:r>
      <w:r>
        <w:rPr/>
        <w:t>PVDF</w:t>
      </w:r>
      <w:r>
        <w:rPr/>
        <w:t>膜，可以看出，包括支撑层在内的整个膜厚度范围内膜结构都发生了变化，比基材膜显得致密，这说明沿整个膜厚度方向都较均匀地接枝上了</w:t>
      </w:r>
      <w:r>
        <w:rPr/>
        <w:t>PNIPAM</w:t>
      </w:r>
      <w:r>
        <w:rPr/>
        <w:t>。比较图</w:t>
      </w:r>
      <w:r>
        <w:rPr/>
        <w:t>3(b)</w:t>
      </w:r>
      <w:r>
        <w:rPr/>
        <w:t>和图</w:t>
      </w:r>
      <w:r>
        <w:rPr/>
        <w:t>3(c)</w:t>
      </w:r>
      <w:r>
        <w:rPr/>
        <w:t>还可以看出，随着</w:t>
      </w:r>
      <w:r>
        <w:rPr/>
        <w:t>PNIPAM</w:t>
      </w:r>
      <w:r>
        <w:rPr/>
        <w:t>接枝率的增大，膜断面变得更加致密，也就是说膜孔隙会随接枝率的增大而变小。</w:t>
      </w:r>
    </w:p>
    <w:p>
      <w:pPr>
        <w:pStyle w:val="Style15"/>
        <w:spacing w:lineRule="auto" w:line="240" w:before="0" w:after="0"/>
        <w:rPr>
          <w:color w:val="000000"/>
        </w:rPr>
      </w:pPr>
      <w:r>
        <w:rPr>
          <w:color w:val="000000"/>
          <w:lang w:val="en-US" w:eastAsia="en-US"/>
        </w:rPr>
        <w:drawing>
          <wp:inline distT="0" distB="0" distL="0" distR="0">
            <wp:extent cx="2416810" cy="3444875"/>
            <wp:effectExtent l="0" t="0" r="0" b="0"/>
            <wp:docPr id="4" name="图片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7" descr=""/>
                    <pic:cNvPicPr>
                      <a:picLocks noChangeAspect="1" noChangeArrowheads="1"/>
                    </pic:cNvPicPr>
                  </pic:nvPicPr>
                  <pic:blipFill>
                    <a:blip r:embed="rId7"/>
                    <a:srcRect l="-15" t="-10" r="-15" b="-10"/>
                    <a:stretch>
                      <a:fillRect/>
                    </a:stretch>
                  </pic:blipFill>
                  <pic:spPr bwMode="auto">
                    <a:xfrm>
                      <a:off x="0" y="0"/>
                      <a:ext cx="2416810" cy="3444875"/>
                    </a:xfrm>
                    <a:prstGeom prst="rect">
                      <a:avLst/>
                    </a:prstGeom>
                  </pic:spPr>
                </pic:pic>
              </a:graphicData>
            </a:graphic>
          </wp:inline>
        </w:drawing>
      </w:r>
    </w:p>
    <w:p>
      <w:pPr>
        <w:pStyle w:val="Style17"/>
        <w:spacing w:lineRule="auto" w:line="240" w:before="0" w:after="0"/>
        <w:rPr>
          <w:color w:val="000000"/>
        </w:rPr>
      </w:pPr>
      <w:r>
        <w:rPr>
          <w:color w:val="000000"/>
        </w:rPr>
        <w:t>图</w:t>
      </w:r>
      <w:r>
        <w:rPr>
          <w:color w:val="000000"/>
        </w:rPr>
        <w:t>3</w:t>
      </w:r>
      <w:r>
        <w:rPr>
          <w:color w:val="000000"/>
        </w:rPr>
        <w:t xml:space="preserve">  </w:t>
      </w:r>
      <w:r>
        <w:rPr>
          <w:color w:val="000000"/>
        </w:rPr>
        <w:t>均相流摩阻压降模型的模拟评价结果</w:t>
      </w:r>
    </w:p>
    <w:p>
      <w:pPr>
        <w:pStyle w:val="Style15"/>
        <w:spacing w:lineRule="auto" w:line="240" w:before="0" w:after="0"/>
        <w:rPr>
          <w:color w:val="000000"/>
        </w:rPr>
      </w:pPr>
      <w:r>
        <w:rPr>
          <w:color w:val="000000"/>
          <w:lang w:val="en-US" w:eastAsia="en-US"/>
        </w:rPr>
        <w:drawing>
          <wp:inline distT="0" distB="0" distL="0" distR="0">
            <wp:extent cx="2416810" cy="3503295"/>
            <wp:effectExtent l="0" t="0" r="0" b="0"/>
            <wp:docPr id="5" name="图片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8" descr=""/>
                    <pic:cNvPicPr>
                      <a:picLocks noChangeAspect="1" noChangeArrowheads="1"/>
                    </pic:cNvPicPr>
                  </pic:nvPicPr>
                  <pic:blipFill>
                    <a:blip r:embed="rId8"/>
                    <a:srcRect l="-15" t="-10" r="-15" b="-10"/>
                    <a:stretch>
                      <a:fillRect/>
                    </a:stretch>
                  </pic:blipFill>
                  <pic:spPr bwMode="auto">
                    <a:xfrm>
                      <a:off x="0" y="0"/>
                      <a:ext cx="2416810" cy="3503295"/>
                    </a:xfrm>
                    <a:prstGeom prst="rect">
                      <a:avLst/>
                    </a:prstGeom>
                  </pic:spPr>
                </pic:pic>
              </a:graphicData>
            </a:graphic>
          </wp:inline>
        </w:drawing>
      </w:r>
    </w:p>
    <w:p>
      <w:pPr>
        <w:pStyle w:val="Style17"/>
        <w:spacing w:lineRule="auto" w:line="240" w:before="0" w:after="0"/>
        <w:rPr>
          <w:color w:val="000000"/>
        </w:rPr>
      </w:pPr>
      <w:r>
        <w:rPr>
          <w:color w:val="000000"/>
        </w:rPr>
        <w:t>图</w:t>
      </w:r>
      <w:r>
        <w:rPr>
          <w:color w:val="000000"/>
        </w:rPr>
        <w:t>4</w:t>
      </w:r>
      <w:r>
        <w:rPr>
          <w:color w:val="000000"/>
        </w:rPr>
        <w:t xml:space="preserve">  </w:t>
      </w:r>
      <w:r>
        <w:rPr>
          <w:color w:val="000000"/>
        </w:rPr>
        <w:t>分相流摩阻压降模型的模拟评价结果</w:t>
      </w:r>
    </w:p>
    <w:p>
      <w:pPr>
        <w:pStyle w:val="Normal"/>
        <w:rPr>
          <w:color w:val="FF0000"/>
        </w:rPr>
      </w:pPr>
      <w:r>
        <w:rPr>
          <w:color w:val="FF0000"/>
        </w:rPr>
        <w:t>分图用</w:t>
      </w:r>
      <w:r>
        <w:rPr>
          <w:rFonts w:eastAsia="Times New Roman"/>
          <w:color w:val="FF0000"/>
        </w:rPr>
        <w:t xml:space="preserve"> </w:t>
      </w:r>
      <w:r>
        <w:rPr>
          <w:color w:val="FF0000"/>
        </w:rPr>
        <w:t>(a)</w:t>
      </w:r>
      <w:r>
        <w:rPr>
          <w:color w:val="FF0000"/>
        </w:rPr>
        <w:t>、</w:t>
      </w:r>
      <w:r>
        <w:rPr>
          <w:color w:val="FF0000"/>
        </w:rPr>
        <w:t xml:space="preserve">(b) </w:t>
      </w:r>
      <w:r>
        <w:rPr>
          <w:color w:val="FF0000"/>
        </w:rPr>
        <w:t>等区分，分图题置于各分图下方。</w:t>
      </w:r>
    </w:p>
    <w:p>
      <w:pPr>
        <w:pStyle w:val="Normal"/>
        <w:rPr>
          <w:color w:val="FF0000"/>
        </w:rPr>
      </w:pPr>
      <w:r>
        <w:rPr>
          <w:color w:val="FF0000"/>
        </w:rPr>
        <w:t>照片图必须清晰，层次分明，放大倍数（或比例尺）应清晰易辨。</w:t>
      </w:r>
    </w:p>
    <w:p>
      <w:pPr>
        <w:pStyle w:val="Normal"/>
        <w:rPr>
          <w:color w:val="FF0000"/>
        </w:rPr>
      </w:pPr>
      <w:r>
        <w:rPr>
          <w:color w:val="FF0000"/>
        </w:rPr>
        <w:t>图尽量</w:t>
      </w:r>
      <w:r>
        <w:rPr>
          <w:color w:val="FF0000"/>
        </w:rPr>
        <w:t>采用黑白图</w:t>
      </w:r>
      <w:r>
        <w:rPr>
          <w:color w:val="FF0000"/>
        </w:rPr>
        <w:t>（必须能看清和区分）</w:t>
      </w:r>
      <w:r>
        <w:rPr>
          <w:color w:val="FF0000"/>
        </w:rPr>
        <w:t>，如有必要可采用彩色图</w:t>
      </w:r>
      <w:r>
        <w:rPr>
          <w:color w:val="FF0000"/>
        </w:rPr>
        <w:t>。</w:t>
      </w:r>
    </w:p>
    <w:p>
      <w:pPr>
        <w:pStyle w:val="Normal"/>
        <w:rPr>
          <w:color w:val="FF0000"/>
        </w:rPr>
      </w:pPr>
      <w:r>
        <w:rPr>
          <w:color w:val="FF0000"/>
        </w:rPr>
      </w:r>
    </w:p>
    <w:p>
      <w:pPr>
        <w:pStyle w:val="Normal"/>
        <w:rPr>
          <w:rFonts w:eastAsia="仿宋_GB2312"/>
          <w:sz w:val="28"/>
        </w:rPr>
      </w:pPr>
      <w:r>
        <w:rPr>
          <w:rFonts w:eastAsia="仿宋_GB2312"/>
          <w:sz w:val="28"/>
        </w:rPr>
        <w:t xml:space="preserve">3  </w:t>
      </w:r>
      <w:r>
        <w:rPr>
          <w:rFonts w:ascii="仿宋" w:hAnsi="仿宋" w:cs="仿宋" w:eastAsia="仿宋"/>
          <w:sz w:val="28"/>
        </w:rPr>
        <w:t>结论</w:t>
      </w:r>
      <w:r>
        <w:rPr>
          <w:rFonts w:ascii="仿宋" w:hAnsi="仿宋" w:cs="仿宋" w:eastAsia="仿宋"/>
          <w:color w:val="FF0000"/>
          <w:sz w:val="28"/>
        </w:rPr>
        <w:t>（综述性文章一般用“结语”）</w:t>
      </w:r>
    </w:p>
    <w:p>
      <w:pPr>
        <w:pStyle w:val="Normal"/>
        <w:ind w:firstLine="419"/>
        <w:rPr/>
      </w:pPr>
      <w:r>
        <w:rPr/>
        <w:t>（</w:t>
      </w:r>
      <w:r>
        <w:rPr/>
        <w:t>1</w:t>
      </w:r>
      <w:r>
        <w:rPr/>
        <w:t>）</w:t>
      </w:r>
      <w:r>
        <w:rPr/>
        <w:t>FTIR</w:t>
      </w:r>
      <w:r>
        <w:rPr/>
        <w:t>图谱分析、</w:t>
      </w:r>
      <w:r>
        <w:rPr/>
        <w:t>SEM</w:t>
      </w:r>
      <w:r>
        <w:rPr/>
        <w:t>观测和过滤性能实验结果都表明</w:t>
      </w:r>
      <w:r>
        <w:rPr/>
        <w:t>P</w:t>
      </w:r>
      <w:r>
        <w:rPr/>
        <w:t>NIPAM</w:t>
      </w:r>
      <w:r>
        <w:rPr/>
        <w:t>能被均匀接枝在</w:t>
      </w:r>
      <w:r>
        <w:rPr/>
        <w:t>PVDF</w:t>
      </w:r>
      <w:r>
        <w:rPr/>
        <w:t>膜孔上。</w:t>
      </w:r>
    </w:p>
    <w:p>
      <w:pPr>
        <w:pStyle w:val="Normal"/>
        <w:ind w:firstLine="419"/>
        <w:rPr/>
      </w:pPr>
      <w:r>
        <w:rPr/>
        <w:t>（</w:t>
      </w:r>
      <w:r>
        <w:rPr/>
        <w:t>2</w:t>
      </w:r>
      <w:r>
        <w:rPr/>
        <w:t>）射频放电功率增加、单体溶液中</w:t>
      </w:r>
      <w:r>
        <w:rPr/>
        <w:t>NIPAM</w:t>
      </w:r>
      <w:r>
        <w:rPr/>
        <w:t>浓度增大或者接枝反应时间延长，均会使多孔膜上的</w:t>
      </w:r>
      <w:r>
        <w:rPr/>
        <w:t>PNIPAM</w:t>
      </w:r>
      <w:r>
        <w:rPr/>
        <w:t>接枝率增加。</w:t>
      </w:r>
    </w:p>
    <w:p>
      <w:pPr>
        <w:pStyle w:val="Normal"/>
        <w:ind w:firstLine="419"/>
        <w:rPr/>
      </w:pPr>
      <w:r>
        <w:rPr/>
        <w:t>（</w:t>
      </w:r>
      <w:r>
        <w:rPr/>
        <w:t>3</w:t>
      </w:r>
      <w:r>
        <w:rPr/>
        <w:t>）接枝率适中（</w:t>
      </w:r>
      <w:r>
        <w:rPr/>
        <w:t>0.19%</w:t>
      </w:r>
      <w:r>
        <w:rPr>
          <w:rFonts w:ascii="宋体;SimSun" w:hAnsi="宋体;SimSun" w:cs="宋体;SimSun"/>
        </w:rPr>
        <w:t>～</w:t>
      </w:r>
      <w:r>
        <w:rPr/>
        <w:t>2.81%</w:t>
      </w:r>
      <w:r>
        <w:rPr/>
        <w:t>）的</w:t>
      </w:r>
      <w:r>
        <w:rPr/>
        <w:t>P</w:t>
      </w:r>
      <w:r>
        <w:rPr/>
        <w:t>NIPAM</w:t>
      </w:r>
      <w:r>
        <w:rPr/>
        <w:t>接枝多孔膜，温度感应孔径变化倍数和水通量在</w:t>
      </w:r>
      <w:r>
        <w:rPr/>
        <w:t>32</w:t>
      </w:r>
      <w:r>
        <w:rPr>
          <w:rFonts w:cs="宋体;SimSun" w:ascii="宋体;SimSun" w:hAnsi="宋体;SimSun"/>
        </w:rPr>
        <w:t>℃</w:t>
      </w:r>
      <w:r>
        <w:rPr/>
        <w:t>附近发生较显著的变化，膜孔内接枝的</w:t>
      </w:r>
      <w:r>
        <w:rPr/>
        <w:t>P</w:t>
      </w:r>
      <w:r>
        <w:rPr/>
        <w:t>NIPAM</w:t>
      </w:r>
      <w:r>
        <w:rPr/>
        <w:t>分子链可以起到智能化温度感应开关的作用。</w:t>
      </w:r>
    </w:p>
    <w:p>
      <w:pPr>
        <w:pStyle w:val="Normal"/>
        <w:ind w:firstLine="419"/>
        <w:rPr/>
      </w:pPr>
      <w:r>
        <w:rPr/>
        <w:t>（</w:t>
      </w:r>
      <w:r>
        <w:rPr/>
        <w:t>4</w:t>
      </w:r>
      <w:r>
        <w:rPr/>
        <w:t>）在设计和制备环境感应型智能化开关膜时，一定要将接枝率控制在适当的范围，才能获得预期的开关膜效果。</w:t>
      </w:r>
    </w:p>
    <w:p>
      <w:pPr>
        <w:pStyle w:val="Normal"/>
        <w:ind w:firstLine="419"/>
        <w:rPr>
          <w:color w:val="FF0000"/>
        </w:rPr>
      </w:pPr>
      <w:r>
        <w:rPr>
          <w:color w:val="FF0000"/>
        </w:rPr>
        <w:t>在研究结果与讨论的基础上总结出本研究得到的重要论点，建议可包括以下内容：（</w:t>
      </w:r>
      <w:r>
        <w:rPr>
          <w:color w:val="FF0000"/>
        </w:rPr>
        <w:t>1</w:t>
      </w:r>
      <w:r>
        <w:rPr>
          <w:color w:val="FF0000"/>
        </w:rPr>
        <w:t>）解释结果；（</w:t>
      </w:r>
      <w:r>
        <w:rPr>
          <w:color w:val="FF0000"/>
        </w:rPr>
        <w:t>2</w:t>
      </w:r>
      <w:r>
        <w:rPr>
          <w:color w:val="FF0000"/>
        </w:rPr>
        <w:t>）将结果与之前提出的研究目的或假设相联系，阐明结果的重要性；（</w:t>
      </w:r>
      <w:r>
        <w:rPr>
          <w:color w:val="FF0000"/>
        </w:rPr>
        <w:t>3</w:t>
      </w:r>
      <w:r>
        <w:rPr>
          <w:color w:val="FF0000"/>
        </w:rPr>
        <w:t>）将结果与其他已有研究工作进行比较；（</w:t>
      </w:r>
      <w:r>
        <w:rPr>
          <w:color w:val="FF0000"/>
        </w:rPr>
        <w:t>4</w:t>
      </w:r>
      <w:r>
        <w:rPr>
          <w:color w:val="FF0000"/>
        </w:rPr>
        <w:t>）尽可能得出一个很清晰的结论。对每一个结论需要总结证据。同时也可以指出本工作的不足和将要开展工作的展望。</w:t>
      </w:r>
    </w:p>
    <w:p>
      <w:pPr>
        <w:pStyle w:val="Normal"/>
        <w:ind w:firstLine="419"/>
        <w:rPr>
          <w:color w:val="FF0000"/>
        </w:rPr>
      </w:pPr>
      <w:r>
        <w:rPr>
          <w:color w:val="FF0000"/>
        </w:rPr>
        <w:t>请注意不能简单重复摘要和引言。</w:t>
      </w:r>
    </w:p>
    <w:p>
      <w:pPr>
        <w:pStyle w:val="Normal"/>
        <w:rPr>
          <w:color w:val="FF0000"/>
        </w:rPr>
      </w:pPr>
      <w:r>
        <w:rPr>
          <w:color w:val="FF0000"/>
        </w:rPr>
      </w:r>
    </w:p>
    <w:p>
      <w:pPr>
        <w:pStyle w:val="Normal"/>
        <w:jc w:val="center"/>
        <w:rPr>
          <w:rFonts w:ascii="黑体;SimHei" w:hAnsi="黑体;SimHei" w:eastAsia="黑体;SimHei" w:cs="黑体;SimHei"/>
          <w:bCs/>
        </w:rPr>
      </w:pPr>
      <w:r>
        <w:rPr>
          <w:rFonts w:ascii="黑体;SimHei" w:hAnsi="黑体;SimHei" w:cs="黑体;SimHei" w:eastAsia="黑体;SimHei"/>
          <w:bCs/>
        </w:rPr>
        <w:t>符号说明</w:t>
      </w:r>
    </w:p>
    <w:p>
      <w:pPr>
        <w:pStyle w:val="Normal"/>
        <w:rPr>
          <w:color w:val="FF0000"/>
        </w:rPr>
      </w:pPr>
      <w:r>
        <w:rPr>
          <w:color w:val="FF0000"/>
        </w:rPr>
        <w:t>按英文字母顺序排列，同一字母先排大写后排小写；希腊文接英文后排，也按字母顺序排列。采用如下表格形式。</w:t>
      </w:r>
    </w:p>
    <w:p>
      <w:pPr>
        <w:pStyle w:val="Normal"/>
        <w:rPr>
          <w:color w:val="FF0000"/>
        </w:rPr>
      </w:pPr>
      <w:r>
        <w:rPr>
          <w:color w:val="FF0000"/>
        </w:rPr>
        <w:t>符号与说明间用二字线，说明文字与单位间用逗号。</w:t>
      </w:r>
    </w:p>
    <w:p>
      <w:pPr>
        <w:pStyle w:val="Normal"/>
        <w:rPr>
          <w:color w:val="FF0000"/>
        </w:rPr>
      </w:pPr>
      <w:r>
        <w:rPr>
          <w:color w:val="FF0000"/>
        </w:rPr>
        <w:t>一个符号只代表一个物理含义，一个物理量只用一个符号表示。符号尽量简化，最好以单字母表示。有计量单位的，一定要给出单位，尽量使用国际制标准单位。</w:t>
      </w:r>
    </w:p>
    <w:p>
      <w:pPr>
        <w:pStyle w:val="Normal"/>
        <w:rPr>
          <w:color w:val="FF0000"/>
        </w:rPr>
      </w:pPr>
      <w:r>
        <w:rPr>
          <w:color w:val="FF0000"/>
        </w:rPr>
        <w:t>物理量符号采用国家标准中的规定，如压力用</w:t>
      </w:r>
      <w:r>
        <w:rPr>
          <w:i/>
          <w:iCs/>
          <w:color w:val="FF0000"/>
        </w:rPr>
        <w:t>p</w:t>
      </w:r>
      <w:r>
        <w:rPr>
          <w:color w:val="FF0000"/>
        </w:rPr>
        <w:t>、温度用</w:t>
      </w:r>
      <w:r>
        <w:rPr>
          <w:i/>
          <w:iCs/>
          <w:color w:val="FF0000"/>
        </w:rPr>
        <w:t>T</w:t>
      </w:r>
      <w:r>
        <w:rPr>
          <w:color w:val="FF0000"/>
        </w:rPr>
        <w:t>，均用斜体。矢量、张量、矩阵用粗斜体。</w:t>
      </w:r>
    </w:p>
    <w:p>
      <w:pPr>
        <w:pStyle w:val="Normal"/>
        <w:rPr>
          <w:color w:val="FF0000"/>
        </w:rPr>
      </w:pPr>
      <w:r>
        <w:rPr>
          <w:color w:val="FF0000"/>
        </w:rPr>
        <w:t>下角一般用小写正体，只有下列情况除外：（</w:t>
      </w:r>
      <w:r>
        <w:rPr>
          <w:color w:val="FF0000"/>
        </w:rPr>
        <w:t>1</w:t>
      </w:r>
      <w:r>
        <w:rPr>
          <w:color w:val="FF0000"/>
        </w:rPr>
        <w:t>）表示数、变量用小写斜体，如</w:t>
      </w:r>
      <w:r>
        <w:rPr>
          <w:i/>
          <w:iCs/>
          <w:color w:val="FF0000"/>
        </w:rPr>
        <w:t>S</w:t>
      </w:r>
      <w:r>
        <w:rPr>
          <w:i/>
          <w:iCs/>
          <w:color w:val="FF0000"/>
          <w:vertAlign w:val="subscript"/>
        </w:rPr>
        <w:t>i</w:t>
      </w:r>
      <w:r>
        <w:rPr>
          <w:color w:val="FF0000"/>
        </w:rPr>
        <w:t>，</w:t>
      </w:r>
      <w:r>
        <w:rPr>
          <w:i/>
          <w:iCs/>
          <w:color w:val="FF0000"/>
        </w:rPr>
        <w:t>i</w:t>
      </w:r>
      <w:r>
        <w:rPr>
          <w:color w:val="FF0000"/>
        </w:rPr>
        <w:t>=1</w:t>
      </w:r>
      <w:r>
        <w:rPr>
          <w:color w:val="FF0000"/>
        </w:rPr>
        <w:t>,</w:t>
      </w:r>
      <w:r>
        <w:rPr>
          <w:color w:val="FF0000"/>
        </w:rPr>
        <w:t>2</w:t>
      </w:r>
      <w:r>
        <w:rPr>
          <w:color w:val="FF0000"/>
        </w:rPr>
        <w:t>,</w:t>
      </w:r>
      <w:r>
        <w:rPr>
          <w:rFonts w:cs="宋体;SimSun" w:ascii="宋体;SimSun" w:hAnsi="宋体;SimSun"/>
          <w:color w:val="FF0000"/>
        </w:rPr>
        <w:t>…</w:t>
      </w:r>
      <w:r>
        <w:rPr>
          <w:color w:val="FF0000"/>
        </w:rPr>
        <w:t>,</w:t>
      </w:r>
      <w:r>
        <w:rPr>
          <w:i/>
          <w:iCs/>
          <w:color w:val="FF0000"/>
        </w:rPr>
        <w:t>i</w:t>
      </w:r>
      <w:r>
        <w:rPr>
          <w:color w:val="FF0000"/>
        </w:rPr>
        <w:t>用斜体；（</w:t>
      </w:r>
      <w:r>
        <w:rPr>
          <w:color w:val="FF0000"/>
        </w:rPr>
        <w:t>2</w:t>
      </w:r>
      <w:r>
        <w:rPr>
          <w:color w:val="FF0000"/>
        </w:rPr>
        <w:t>）保留原物理含义，如比定压热容</w:t>
      </w:r>
      <w:r>
        <w:rPr>
          <w:i/>
          <w:iCs/>
          <w:color w:val="FF0000"/>
        </w:rPr>
        <w:t>c</w:t>
      </w:r>
      <w:r>
        <w:rPr>
          <w:i/>
          <w:iCs/>
          <w:color w:val="FF0000"/>
          <w:vertAlign w:val="subscript"/>
        </w:rPr>
        <w:t>p</w:t>
      </w:r>
      <w:r>
        <w:rPr>
          <w:color w:val="FF0000"/>
        </w:rPr>
        <w:t>中的</w:t>
      </w:r>
      <w:r>
        <w:rPr>
          <w:i/>
          <w:iCs/>
          <w:color w:val="FF0000"/>
        </w:rPr>
        <w:t>p</w:t>
      </w:r>
      <w:r>
        <w:rPr>
          <w:color w:val="FF0000"/>
        </w:rPr>
        <w:t>为小写斜体。</w:t>
      </w:r>
    </w:p>
    <w:tbl>
      <w:tblPr>
        <w:tblW w:w="4850" w:type="pct"/>
        <w:jc w:val="left"/>
        <w:tblInd w:w="0" w:type="dxa"/>
        <w:tblLayout w:type="fixed"/>
        <w:tblCellMar>
          <w:top w:w="0" w:type="dxa"/>
          <w:left w:w="108" w:type="dxa"/>
          <w:bottom w:w="0" w:type="dxa"/>
          <w:right w:w="108" w:type="dxa"/>
        </w:tblCellMar>
      </w:tblPr>
      <w:tblGrid>
        <w:gridCol w:w="2339"/>
        <w:gridCol w:w="562"/>
        <w:gridCol w:w="6424"/>
      </w:tblGrid>
      <w:tr>
        <w:trPr/>
        <w:tc>
          <w:tcPr>
            <w:tcW w:w="2339" w:type="dxa"/>
            <w:tcBorders/>
          </w:tcPr>
          <w:p>
            <w:pPr>
              <w:pStyle w:val="Normal"/>
              <w:jc w:val="right"/>
              <w:rPr>
                <w:b/>
                <w:b/>
                <w:bCs/>
                <w:sz w:val="18"/>
              </w:rPr>
            </w:pPr>
            <w:r>
              <w:rPr>
                <w:i/>
                <w:iCs/>
                <w:sz w:val="18"/>
              </w:rPr>
              <w:t>d</w:t>
            </w:r>
            <w:r>
              <w:rPr>
                <w:sz w:val="18"/>
                <w:vertAlign w:val="subscript"/>
              </w:rPr>
              <w:t xml:space="preserve">g, </w:t>
            </w:r>
            <w:r>
              <w:rPr>
                <w:i/>
                <w:iCs/>
                <w:sz w:val="18"/>
                <w:vertAlign w:val="subscript"/>
              </w:rPr>
              <w:t>T</w:t>
            </w:r>
            <w:r>
              <w:rPr>
                <w:sz w:val="18"/>
              </w:rPr>
              <w:t>，</w:t>
            </w:r>
            <w:r>
              <w:rPr>
                <w:i/>
                <w:iCs/>
                <w:sz w:val="18"/>
              </w:rPr>
              <w:t>d</w:t>
            </w:r>
            <w:r>
              <w:rPr>
                <w:sz w:val="18"/>
                <w:vertAlign w:val="subscript"/>
              </w:rPr>
              <w:t>g, 25</w:t>
            </w:r>
          </w:p>
        </w:tc>
        <w:tc>
          <w:tcPr>
            <w:tcW w:w="562" w:type="dxa"/>
            <w:tcBorders/>
          </w:tcPr>
          <w:p>
            <w:pPr>
              <w:pStyle w:val="Normal"/>
              <w:jc w:val="center"/>
              <w:rPr>
                <w:sz w:val="18"/>
              </w:rPr>
            </w:pPr>
            <w:r>
              <w:rPr>
                <w:b/>
                <w:bCs/>
                <w:sz w:val="18"/>
              </w:rPr>
              <w:t>——</w:t>
            </w:r>
          </w:p>
        </w:tc>
        <w:tc>
          <w:tcPr>
            <w:tcW w:w="6424" w:type="dxa"/>
            <w:tcBorders/>
          </w:tcPr>
          <w:p>
            <w:pPr>
              <w:pStyle w:val="Normal"/>
              <w:rPr>
                <w:b/>
                <w:b/>
                <w:bCs/>
                <w:sz w:val="18"/>
              </w:rPr>
            </w:pPr>
            <w:r>
              <w:rPr>
                <w:sz w:val="18"/>
              </w:rPr>
              <w:t>分别为接枝</w:t>
            </w:r>
            <w:r>
              <w:rPr>
                <w:sz w:val="18"/>
              </w:rPr>
              <w:t>PNIPAM</w:t>
            </w:r>
            <w:r>
              <w:rPr>
                <w:sz w:val="18"/>
              </w:rPr>
              <w:t>后的膜在温度</w:t>
            </w:r>
            <w:r>
              <w:rPr>
                <w:i/>
                <w:iCs/>
                <w:sz w:val="18"/>
              </w:rPr>
              <w:t>T</w:t>
            </w:r>
            <w:r>
              <w:rPr>
                <w:sz w:val="18"/>
              </w:rPr>
              <w:t>、</w:t>
            </w:r>
            <w:r>
              <w:rPr>
                <w:sz w:val="18"/>
              </w:rPr>
              <w:t>25</w:t>
            </w:r>
            <w:r>
              <w:rPr>
                <w:rFonts w:cs="宋体;SimSun" w:ascii="宋体;SimSun" w:hAnsi="宋体;SimSun"/>
                <w:sz w:val="18"/>
              </w:rPr>
              <w:t>℃</w:t>
            </w:r>
            <w:r>
              <w:rPr>
                <w:sz w:val="18"/>
              </w:rPr>
              <w:t>时的有效膜孔径，</w:t>
            </w:r>
            <w:r>
              <w:rPr>
                <w:sz w:val="18"/>
              </w:rPr>
              <w:t>m</w:t>
            </w:r>
          </w:p>
        </w:tc>
      </w:tr>
      <w:tr>
        <w:trPr/>
        <w:tc>
          <w:tcPr>
            <w:tcW w:w="2339" w:type="dxa"/>
            <w:tcBorders/>
          </w:tcPr>
          <w:p>
            <w:pPr>
              <w:pStyle w:val="Normal"/>
              <w:jc w:val="right"/>
              <w:rPr>
                <w:b/>
                <w:b/>
                <w:bCs/>
                <w:sz w:val="18"/>
              </w:rPr>
            </w:pPr>
            <w:r>
              <w:rPr>
                <w:i/>
                <w:iCs/>
                <w:sz w:val="18"/>
              </w:rPr>
              <w:t>J</w:t>
            </w:r>
          </w:p>
        </w:tc>
        <w:tc>
          <w:tcPr>
            <w:tcW w:w="562" w:type="dxa"/>
            <w:tcBorders/>
          </w:tcPr>
          <w:p>
            <w:pPr>
              <w:pStyle w:val="Normal"/>
              <w:jc w:val="center"/>
              <w:rPr>
                <w:sz w:val="18"/>
              </w:rPr>
            </w:pPr>
            <w:r>
              <w:rPr>
                <w:b/>
                <w:bCs/>
                <w:sz w:val="18"/>
              </w:rPr>
              <w:t>——</w:t>
            </w:r>
          </w:p>
        </w:tc>
        <w:tc>
          <w:tcPr>
            <w:tcW w:w="6424" w:type="dxa"/>
            <w:tcBorders/>
          </w:tcPr>
          <w:p>
            <w:pPr>
              <w:pStyle w:val="Normal"/>
              <w:rPr>
                <w:b/>
                <w:b/>
                <w:bCs/>
                <w:sz w:val="18"/>
              </w:rPr>
            </w:pPr>
            <w:r>
              <w:rPr>
                <w:sz w:val="18"/>
              </w:rPr>
              <w:t>膜滤通量，</w:t>
            </w:r>
            <w:r>
              <w:rPr>
                <w:sz w:val="18"/>
              </w:rPr>
              <w:t>mL</w:t>
            </w:r>
            <w:r>
              <w:rPr>
                <w:sz w:val="18"/>
              </w:rPr>
              <w:t>/(</w:t>
            </w:r>
            <w:r>
              <w:rPr>
                <w:sz w:val="18"/>
              </w:rPr>
              <w:t>cm</w:t>
            </w:r>
            <w:r>
              <w:rPr>
                <w:sz w:val="18"/>
                <w:vertAlign w:val="superscript"/>
              </w:rPr>
              <w:t>2</w:t>
            </w:r>
            <w:r>
              <w:rPr>
                <w:sz w:val="18"/>
              </w:rPr>
              <w:t>·min</w:t>
            </w:r>
            <w:r>
              <w:rPr>
                <w:sz w:val="18"/>
              </w:rPr>
              <w:t>)</w:t>
            </w:r>
          </w:p>
        </w:tc>
      </w:tr>
      <w:tr>
        <w:trPr/>
        <w:tc>
          <w:tcPr>
            <w:tcW w:w="2339" w:type="dxa"/>
            <w:tcBorders/>
          </w:tcPr>
          <w:p>
            <w:pPr>
              <w:pStyle w:val="Normal"/>
              <w:jc w:val="right"/>
              <w:rPr>
                <w:b/>
                <w:b/>
                <w:bCs/>
                <w:sz w:val="18"/>
              </w:rPr>
            </w:pPr>
            <w:r>
              <w:rPr>
                <w:i/>
                <w:iCs/>
                <w:sz w:val="18"/>
              </w:rPr>
              <w:t>J</w:t>
            </w:r>
            <w:r>
              <w:rPr>
                <w:i/>
                <w:iCs/>
                <w:sz w:val="18"/>
                <w:vertAlign w:val="subscript"/>
              </w:rPr>
              <w:t>T</w:t>
            </w:r>
            <w:r>
              <w:rPr>
                <w:sz w:val="18"/>
              </w:rPr>
              <w:t>，</w:t>
            </w:r>
            <w:r>
              <w:rPr>
                <w:i/>
                <w:iCs/>
                <w:sz w:val="18"/>
              </w:rPr>
              <w:t>J</w:t>
            </w:r>
            <w:r>
              <w:rPr>
                <w:sz w:val="18"/>
                <w:vertAlign w:val="subscript"/>
              </w:rPr>
              <w:t>25</w:t>
            </w:r>
            <w:r>
              <w:rPr>
                <w:sz w:val="18"/>
              </w:rPr>
              <w:t>，</w:t>
            </w:r>
            <w:r>
              <w:rPr>
                <w:i/>
                <w:iCs/>
                <w:sz w:val="18"/>
              </w:rPr>
              <w:t>J</w:t>
            </w:r>
            <w:r>
              <w:rPr>
                <w:sz w:val="18"/>
                <w:vertAlign w:val="subscript"/>
              </w:rPr>
              <w:t>40</w:t>
            </w:r>
          </w:p>
        </w:tc>
        <w:tc>
          <w:tcPr>
            <w:tcW w:w="562" w:type="dxa"/>
            <w:tcBorders/>
          </w:tcPr>
          <w:p>
            <w:pPr>
              <w:pStyle w:val="Normal"/>
              <w:jc w:val="center"/>
              <w:rPr>
                <w:sz w:val="18"/>
              </w:rPr>
            </w:pPr>
            <w:r>
              <w:rPr>
                <w:b/>
                <w:bCs/>
                <w:sz w:val="18"/>
              </w:rPr>
              <w:t>——</w:t>
            </w:r>
          </w:p>
        </w:tc>
        <w:tc>
          <w:tcPr>
            <w:tcW w:w="6424" w:type="dxa"/>
            <w:tcBorders/>
          </w:tcPr>
          <w:p>
            <w:pPr>
              <w:pStyle w:val="Normal"/>
              <w:rPr>
                <w:b/>
                <w:b/>
                <w:bCs/>
                <w:sz w:val="18"/>
              </w:rPr>
            </w:pPr>
            <w:r>
              <w:rPr>
                <w:sz w:val="18"/>
              </w:rPr>
              <w:t>分别为环境温度为</w:t>
            </w:r>
            <w:r>
              <w:rPr>
                <w:i/>
                <w:iCs/>
                <w:sz w:val="18"/>
              </w:rPr>
              <w:t>T</w:t>
            </w:r>
            <w:r>
              <w:rPr>
                <w:sz w:val="18"/>
              </w:rPr>
              <w:t>、</w:t>
            </w:r>
            <w:r>
              <w:rPr>
                <w:sz w:val="18"/>
              </w:rPr>
              <w:t>25</w:t>
            </w:r>
            <w:r>
              <w:rPr>
                <w:rFonts w:cs="宋体;SimSun" w:ascii="宋体;SimSun" w:hAnsi="宋体;SimSun"/>
                <w:sz w:val="18"/>
              </w:rPr>
              <w:t>℃</w:t>
            </w:r>
            <w:r>
              <w:rPr>
                <w:sz w:val="18"/>
              </w:rPr>
              <w:t>、</w:t>
            </w:r>
            <w:r>
              <w:rPr>
                <w:sz w:val="18"/>
              </w:rPr>
              <w:t>40</w:t>
            </w:r>
            <w:r>
              <w:rPr>
                <w:rFonts w:cs="宋体;SimSun" w:ascii="宋体;SimSun" w:hAnsi="宋体;SimSun"/>
                <w:sz w:val="18"/>
              </w:rPr>
              <w:t>℃</w:t>
            </w:r>
            <w:r>
              <w:rPr>
                <w:sz w:val="18"/>
              </w:rPr>
              <w:t>时实测的膜的水通量，</w:t>
            </w:r>
            <w:r>
              <w:rPr>
                <w:sz w:val="18"/>
              </w:rPr>
              <w:t>mL</w:t>
            </w:r>
            <w:r>
              <w:rPr>
                <w:sz w:val="18"/>
              </w:rPr>
              <w:t>/(</w:t>
            </w:r>
            <w:r>
              <w:rPr>
                <w:sz w:val="18"/>
              </w:rPr>
              <w:t>cm</w:t>
            </w:r>
            <w:r>
              <w:rPr>
                <w:sz w:val="18"/>
                <w:vertAlign w:val="superscript"/>
              </w:rPr>
              <w:t>2</w:t>
            </w:r>
            <w:r>
              <w:rPr>
                <w:sz w:val="18"/>
              </w:rPr>
              <w:t>·min</w:t>
            </w:r>
            <w:r>
              <w:rPr>
                <w:sz w:val="18"/>
              </w:rPr>
              <w:t>)</w:t>
            </w:r>
          </w:p>
        </w:tc>
      </w:tr>
      <w:tr>
        <w:trPr/>
        <w:tc>
          <w:tcPr>
            <w:tcW w:w="2339" w:type="dxa"/>
            <w:tcBorders/>
          </w:tcPr>
          <w:p>
            <w:pPr>
              <w:pStyle w:val="Normal"/>
              <w:jc w:val="right"/>
              <w:rPr>
                <w:b/>
                <w:b/>
                <w:bCs/>
                <w:sz w:val="18"/>
              </w:rPr>
            </w:pPr>
            <w:r>
              <w:rPr>
                <w:i/>
                <w:iCs/>
                <w:sz w:val="18"/>
              </w:rPr>
              <w:t>N</w:t>
            </w:r>
            <w:r>
              <w:rPr>
                <w:i/>
                <w:iCs/>
                <w:sz w:val="18"/>
                <w:vertAlign w:val="subscript"/>
              </w:rPr>
              <w:t>d</w:t>
            </w:r>
            <w:r>
              <w:rPr>
                <w:iCs/>
                <w:sz w:val="18"/>
                <w:vertAlign w:val="subscript"/>
              </w:rPr>
              <w:t>,</w:t>
            </w:r>
            <w:r>
              <w:rPr>
                <w:i/>
                <w:iCs/>
                <w:sz w:val="18"/>
                <w:vertAlign w:val="subscript"/>
              </w:rPr>
              <w:t xml:space="preserve"> T</w:t>
            </w:r>
            <w:r>
              <w:rPr>
                <w:sz w:val="18"/>
                <w:vertAlign w:val="subscript"/>
              </w:rPr>
              <w:t>/25</w:t>
            </w:r>
          </w:p>
        </w:tc>
        <w:tc>
          <w:tcPr>
            <w:tcW w:w="562" w:type="dxa"/>
            <w:tcBorders/>
          </w:tcPr>
          <w:p>
            <w:pPr>
              <w:pStyle w:val="Normal"/>
              <w:jc w:val="center"/>
              <w:rPr>
                <w:sz w:val="18"/>
              </w:rPr>
            </w:pPr>
            <w:r>
              <w:rPr>
                <w:b/>
                <w:bCs/>
                <w:sz w:val="18"/>
              </w:rPr>
              <w:t>——</w:t>
            </w:r>
          </w:p>
        </w:tc>
        <w:tc>
          <w:tcPr>
            <w:tcW w:w="6424" w:type="dxa"/>
            <w:tcBorders/>
          </w:tcPr>
          <w:p>
            <w:pPr>
              <w:pStyle w:val="Normal"/>
              <w:rPr>
                <w:b/>
                <w:b/>
                <w:bCs/>
                <w:sz w:val="18"/>
              </w:rPr>
            </w:pPr>
            <w:r>
              <w:rPr>
                <w:sz w:val="18"/>
              </w:rPr>
              <w:t>PNIPAM</w:t>
            </w:r>
            <w:r>
              <w:rPr>
                <w:sz w:val="18"/>
              </w:rPr>
              <w:t>接枝膜的温度感应孔径变化倍数（</w:t>
            </w:r>
            <w:r>
              <w:rPr>
                <w:i/>
                <w:iCs/>
                <w:sz w:val="18"/>
              </w:rPr>
              <w:t>T</w:t>
            </w:r>
            <w:r>
              <w:rPr>
                <w:sz w:val="18"/>
              </w:rPr>
              <w:t>和</w:t>
            </w:r>
            <w:r>
              <w:rPr>
                <w:sz w:val="18"/>
              </w:rPr>
              <w:t>25</w:t>
            </w:r>
            <w:r>
              <w:rPr>
                <w:rFonts w:cs="宋体;SimSun" w:ascii="宋体;SimSun" w:hAnsi="宋体;SimSun"/>
                <w:sz w:val="18"/>
              </w:rPr>
              <w:t>℃</w:t>
            </w:r>
            <w:r>
              <w:rPr>
                <w:sz w:val="18"/>
              </w:rPr>
              <w:t>时的有效膜孔径的比值）</w:t>
            </w:r>
          </w:p>
        </w:tc>
      </w:tr>
      <w:tr>
        <w:trPr/>
        <w:tc>
          <w:tcPr>
            <w:tcW w:w="2339" w:type="dxa"/>
            <w:tcBorders/>
          </w:tcPr>
          <w:p>
            <w:pPr>
              <w:pStyle w:val="Normal"/>
              <w:jc w:val="right"/>
              <w:rPr>
                <w:b/>
                <w:b/>
                <w:bCs/>
                <w:sz w:val="18"/>
              </w:rPr>
            </w:pPr>
            <w:r>
              <w:rPr>
                <w:i/>
                <w:iCs/>
                <w:sz w:val="18"/>
              </w:rPr>
              <w:t>N</w:t>
            </w:r>
            <w:r>
              <w:rPr>
                <w:i/>
                <w:iCs/>
                <w:sz w:val="18"/>
                <w:vertAlign w:val="subscript"/>
              </w:rPr>
              <w:t>d</w:t>
            </w:r>
            <w:r>
              <w:rPr>
                <w:iCs/>
                <w:sz w:val="18"/>
                <w:vertAlign w:val="subscript"/>
              </w:rPr>
              <w:t xml:space="preserve">, </w:t>
            </w:r>
            <w:r>
              <w:rPr>
                <w:sz w:val="18"/>
                <w:vertAlign w:val="subscript"/>
              </w:rPr>
              <w:t>40</w:t>
            </w:r>
            <w:r>
              <w:rPr>
                <w:sz w:val="18"/>
                <w:vertAlign w:val="subscript"/>
              </w:rPr>
              <w:t>/25</w:t>
            </w:r>
          </w:p>
        </w:tc>
        <w:tc>
          <w:tcPr>
            <w:tcW w:w="562" w:type="dxa"/>
            <w:tcBorders/>
          </w:tcPr>
          <w:p>
            <w:pPr>
              <w:pStyle w:val="Normal"/>
              <w:jc w:val="center"/>
              <w:rPr>
                <w:sz w:val="18"/>
              </w:rPr>
            </w:pPr>
            <w:r>
              <w:rPr>
                <w:b/>
                <w:bCs/>
                <w:sz w:val="18"/>
              </w:rPr>
              <w:t>——</w:t>
            </w:r>
          </w:p>
        </w:tc>
        <w:tc>
          <w:tcPr>
            <w:tcW w:w="6424" w:type="dxa"/>
            <w:tcBorders/>
          </w:tcPr>
          <w:p>
            <w:pPr>
              <w:pStyle w:val="Normal"/>
              <w:rPr>
                <w:b/>
                <w:b/>
                <w:bCs/>
                <w:sz w:val="18"/>
              </w:rPr>
            </w:pPr>
            <w:r>
              <w:rPr>
                <w:sz w:val="18"/>
              </w:rPr>
              <w:t>PNIPAM</w:t>
            </w:r>
            <w:r>
              <w:rPr>
                <w:sz w:val="18"/>
              </w:rPr>
              <w:t>接枝膜孔径感温变化倍数（</w:t>
            </w:r>
            <w:r>
              <w:rPr>
                <w:sz w:val="18"/>
              </w:rPr>
              <w:t>40</w:t>
            </w:r>
            <w:r>
              <w:rPr>
                <w:rFonts w:cs="宋体;SimSun" w:ascii="宋体;SimSun" w:hAnsi="宋体;SimSun"/>
                <w:sz w:val="18"/>
              </w:rPr>
              <w:t>℃</w:t>
            </w:r>
            <w:r>
              <w:rPr>
                <w:sz w:val="18"/>
              </w:rPr>
              <w:t>和</w:t>
            </w:r>
            <w:r>
              <w:rPr>
                <w:sz w:val="18"/>
              </w:rPr>
              <w:t>25</w:t>
            </w:r>
            <w:r>
              <w:rPr>
                <w:rFonts w:cs="宋体;SimSun" w:ascii="宋体;SimSun" w:hAnsi="宋体;SimSun"/>
                <w:sz w:val="18"/>
              </w:rPr>
              <w:t>℃</w:t>
            </w:r>
            <w:r>
              <w:rPr>
                <w:sz w:val="18"/>
              </w:rPr>
              <w:t>时的有效膜孔径的比值）</w:t>
            </w:r>
          </w:p>
        </w:tc>
      </w:tr>
      <w:tr>
        <w:trPr/>
        <w:tc>
          <w:tcPr>
            <w:tcW w:w="2339" w:type="dxa"/>
            <w:tcBorders/>
          </w:tcPr>
          <w:p>
            <w:pPr>
              <w:pStyle w:val="Normal"/>
              <w:jc w:val="right"/>
              <w:rPr>
                <w:b/>
                <w:b/>
                <w:bCs/>
                <w:sz w:val="18"/>
              </w:rPr>
            </w:pPr>
            <w:r>
              <w:rPr>
                <w:i/>
                <w:iCs/>
                <w:sz w:val="18"/>
              </w:rPr>
              <w:t>p</w:t>
            </w:r>
          </w:p>
        </w:tc>
        <w:tc>
          <w:tcPr>
            <w:tcW w:w="562" w:type="dxa"/>
            <w:tcBorders/>
          </w:tcPr>
          <w:p>
            <w:pPr>
              <w:pStyle w:val="Normal"/>
              <w:jc w:val="center"/>
              <w:rPr>
                <w:sz w:val="18"/>
              </w:rPr>
            </w:pPr>
            <w:r>
              <w:rPr>
                <w:b/>
                <w:bCs/>
                <w:sz w:val="18"/>
              </w:rPr>
              <w:t>——</w:t>
            </w:r>
          </w:p>
        </w:tc>
        <w:tc>
          <w:tcPr>
            <w:tcW w:w="6424" w:type="dxa"/>
            <w:tcBorders/>
          </w:tcPr>
          <w:p>
            <w:pPr>
              <w:pStyle w:val="Normal"/>
              <w:rPr>
                <w:b/>
                <w:b/>
                <w:bCs/>
                <w:sz w:val="18"/>
              </w:rPr>
            </w:pPr>
            <w:r>
              <w:rPr>
                <w:sz w:val="18"/>
              </w:rPr>
              <w:t>膜过滤压力差，</w:t>
            </w:r>
            <w:r>
              <w:rPr>
                <w:sz w:val="18"/>
              </w:rPr>
              <w:t>Pa</w:t>
            </w:r>
          </w:p>
        </w:tc>
      </w:tr>
      <w:tr>
        <w:trPr/>
        <w:tc>
          <w:tcPr>
            <w:tcW w:w="2339" w:type="dxa"/>
            <w:tcBorders/>
          </w:tcPr>
          <w:p>
            <w:pPr>
              <w:pStyle w:val="Normal"/>
              <w:jc w:val="right"/>
              <w:rPr>
                <w:b/>
                <w:b/>
                <w:bCs/>
                <w:sz w:val="18"/>
              </w:rPr>
            </w:pPr>
            <w:r>
              <w:rPr>
                <w:i/>
                <w:iCs/>
                <w:sz w:val="18"/>
              </w:rPr>
              <w:t>W</w:t>
            </w:r>
            <w:r>
              <w:rPr>
                <w:sz w:val="18"/>
                <w:vertAlign w:val="subscript"/>
              </w:rPr>
              <w:t>0</w:t>
            </w:r>
            <w:r>
              <w:rPr>
                <w:sz w:val="18"/>
              </w:rPr>
              <w:t>，</w:t>
            </w:r>
            <w:r>
              <w:rPr>
                <w:i/>
                <w:iCs/>
                <w:sz w:val="18"/>
              </w:rPr>
              <w:t>W</w:t>
            </w:r>
            <w:r>
              <w:rPr>
                <w:sz w:val="18"/>
                <w:vertAlign w:val="subscript"/>
              </w:rPr>
              <w:t>g</w:t>
            </w:r>
          </w:p>
        </w:tc>
        <w:tc>
          <w:tcPr>
            <w:tcW w:w="562" w:type="dxa"/>
            <w:tcBorders/>
          </w:tcPr>
          <w:p>
            <w:pPr>
              <w:pStyle w:val="Normal"/>
              <w:jc w:val="center"/>
              <w:rPr>
                <w:sz w:val="18"/>
              </w:rPr>
            </w:pPr>
            <w:r>
              <w:rPr>
                <w:b/>
                <w:bCs/>
                <w:sz w:val="18"/>
              </w:rPr>
              <w:t>——</w:t>
            </w:r>
          </w:p>
        </w:tc>
        <w:tc>
          <w:tcPr>
            <w:tcW w:w="6424" w:type="dxa"/>
            <w:tcBorders/>
          </w:tcPr>
          <w:p>
            <w:pPr>
              <w:pStyle w:val="Normal"/>
              <w:rPr>
                <w:b/>
                <w:b/>
                <w:bCs/>
                <w:sz w:val="18"/>
              </w:rPr>
            </w:pPr>
            <w:r>
              <w:rPr>
                <w:sz w:val="18"/>
              </w:rPr>
              <w:t>分别为接枝前、后膜的质量，</w:t>
            </w:r>
            <w:r>
              <w:rPr>
                <w:sz w:val="18"/>
              </w:rPr>
              <w:t>g</w:t>
            </w:r>
          </w:p>
        </w:tc>
      </w:tr>
      <w:tr>
        <w:trPr/>
        <w:tc>
          <w:tcPr>
            <w:tcW w:w="2339" w:type="dxa"/>
            <w:tcBorders/>
          </w:tcPr>
          <w:p>
            <w:pPr>
              <w:pStyle w:val="Normal"/>
              <w:jc w:val="right"/>
              <w:rPr>
                <w:b/>
                <w:b/>
                <w:bCs/>
                <w:sz w:val="18"/>
              </w:rPr>
            </w:pPr>
            <w:r>
              <w:rPr>
                <w:i/>
                <w:iCs/>
                <w:sz w:val="18"/>
              </w:rPr>
              <w:t>Y</w:t>
            </w:r>
          </w:p>
        </w:tc>
        <w:tc>
          <w:tcPr>
            <w:tcW w:w="562" w:type="dxa"/>
            <w:tcBorders/>
          </w:tcPr>
          <w:p>
            <w:pPr>
              <w:pStyle w:val="Normal"/>
              <w:jc w:val="center"/>
              <w:rPr>
                <w:sz w:val="18"/>
              </w:rPr>
            </w:pPr>
            <w:r>
              <w:rPr>
                <w:b/>
                <w:bCs/>
                <w:sz w:val="18"/>
              </w:rPr>
              <w:t>——</w:t>
            </w:r>
          </w:p>
        </w:tc>
        <w:tc>
          <w:tcPr>
            <w:tcW w:w="6424" w:type="dxa"/>
            <w:tcBorders/>
          </w:tcPr>
          <w:p>
            <w:pPr>
              <w:pStyle w:val="Normal"/>
              <w:rPr>
                <w:b/>
                <w:b/>
                <w:bCs/>
                <w:sz w:val="18"/>
              </w:rPr>
            </w:pPr>
            <w:r>
              <w:rPr>
                <w:sz w:val="18"/>
              </w:rPr>
              <w:t>PNIPAM</w:t>
            </w:r>
            <w:r>
              <w:rPr>
                <w:sz w:val="18"/>
              </w:rPr>
              <w:t>在基材膜上的接枝率，</w:t>
            </w:r>
            <w:r>
              <w:rPr>
                <w:sz w:val="18"/>
              </w:rPr>
              <w:t>%</w:t>
            </w:r>
          </w:p>
        </w:tc>
      </w:tr>
      <w:tr>
        <w:trPr/>
        <w:tc>
          <w:tcPr>
            <w:tcW w:w="2339" w:type="dxa"/>
            <w:tcBorders/>
          </w:tcPr>
          <w:p>
            <w:pPr>
              <w:pStyle w:val="Normal"/>
              <w:jc w:val="right"/>
              <w:rPr>
                <w:b/>
                <w:b/>
                <w:bCs/>
                <w:sz w:val="18"/>
              </w:rPr>
            </w:pPr>
            <w:r>
              <w:rPr>
                <w:i/>
                <w:iCs/>
                <w:sz w:val="18"/>
              </w:rPr>
              <w:t>η</w:t>
            </w:r>
          </w:p>
        </w:tc>
        <w:tc>
          <w:tcPr>
            <w:tcW w:w="562" w:type="dxa"/>
            <w:tcBorders/>
          </w:tcPr>
          <w:p>
            <w:pPr>
              <w:pStyle w:val="Normal"/>
              <w:jc w:val="center"/>
              <w:rPr>
                <w:sz w:val="18"/>
              </w:rPr>
            </w:pPr>
            <w:r>
              <w:rPr>
                <w:b/>
                <w:bCs/>
                <w:sz w:val="18"/>
              </w:rPr>
              <w:t>——</w:t>
            </w:r>
          </w:p>
        </w:tc>
        <w:tc>
          <w:tcPr>
            <w:tcW w:w="6424" w:type="dxa"/>
            <w:tcBorders/>
          </w:tcPr>
          <w:p>
            <w:pPr>
              <w:pStyle w:val="Normal"/>
              <w:rPr>
                <w:b/>
                <w:b/>
                <w:bCs/>
                <w:sz w:val="18"/>
              </w:rPr>
            </w:pPr>
            <w:r>
              <w:rPr>
                <w:sz w:val="18"/>
              </w:rPr>
              <w:t>渗透液的黏度，</w:t>
            </w:r>
            <w:r>
              <w:rPr>
                <w:sz w:val="18"/>
              </w:rPr>
              <w:t>Pa</w:t>
            </w:r>
            <w:r>
              <w:rPr>
                <w:sz w:val="18"/>
              </w:rPr>
              <w:t>·</w:t>
            </w:r>
            <w:r>
              <w:rPr>
                <w:sz w:val="18"/>
              </w:rPr>
              <w:t>s</w:t>
            </w:r>
          </w:p>
        </w:tc>
      </w:tr>
      <w:tr>
        <w:trPr/>
        <w:tc>
          <w:tcPr>
            <w:tcW w:w="2339" w:type="dxa"/>
            <w:tcBorders/>
          </w:tcPr>
          <w:p>
            <w:pPr>
              <w:pStyle w:val="Normal"/>
              <w:jc w:val="right"/>
              <w:rPr>
                <w:b/>
                <w:b/>
                <w:bCs/>
                <w:sz w:val="18"/>
              </w:rPr>
            </w:pPr>
            <w:r>
              <w:rPr>
                <w:i/>
                <w:iCs/>
                <w:sz w:val="18"/>
              </w:rPr>
              <w:t>η</w:t>
            </w:r>
            <w:r>
              <w:rPr>
                <w:i/>
                <w:iCs/>
                <w:sz w:val="18"/>
                <w:vertAlign w:val="subscript"/>
              </w:rPr>
              <w:t>T</w:t>
            </w:r>
            <w:r>
              <w:rPr>
                <w:sz w:val="18"/>
              </w:rPr>
              <w:t>，</w:t>
            </w:r>
            <w:r>
              <w:rPr>
                <w:i/>
                <w:iCs/>
                <w:sz w:val="18"/>
              </w:rPr>
              <w:t>η</w:t>
            </w:r>
            <w:r>
              <w:rPr>
                <w:sz w:val="18"/>
                <w:vertAlign w:val="subscript"/>
              </w:rPr>
              <w:t>25</w:t>
            </w:r>
          </w:p>
        </w:tc>
        <w:tc>
          <w:tcPr>
            <w:tcW w:w="562" w:type="dxa"/>
            <w:tcBorders/>
          </w:tcPr>
          <w:p>
            <w:pPr>
              <w:pStyle w:val="Normal"/>
              <w:jc w:val="center"/>
              <w:rPr>
                <w:sz w:val="18"/>
              </w:rPr>
            </w:pPr>
            <w:r>
              <w:rPr>
                <w:b/>
                <w:bCs/>
                <w:sz w:val="18"/>
              </w:rPr>
              <w:t>——</w:t>
            </w:r>
          </w:p>
        </w:tc>
        <w:tc>
          <w:tcPr>
            <w:tcW w:w="6424" w:type="dxa"/>
            <w:tcBorders/>
          </w:tcPr>
          <w:p>
            <w:pPr>
              <w:pStyle w:val="Normal"/>
              <w:rPr>
                <w:b/>
                <w:b/>
                <w:bCs/>
                <w:sz w:val="18"/>
              </w:rPr>
            </w:pPr>
            <w:r>
              <w:rPr>
                <w:sz w:val="18"/>
              </w:rPr>
              <w:t>分别为温度为</w:t>
            </w:r>
            <w:r>
              <w:rPr>
                <w:i/>
                <w:iCs/>
                <w:sz w:val="18"/>
              </w:rPr>
              <w:t>T</w:t>
            </w:r>
            <w:r>
              <w:rPr>
                <w:sz w:val="18"/>
              </w:rPr>
              <w:t>、</w:t>
            </w:r>
            <w:r>
              <w:rPr>
                <w:sz w:val="18"/>
              </w:rPr>
              <w:t>25</w:t>
            </w:r>
            <w:r>
              <w:rPr>
                <w:rFonts w:cs="宋体;SimSun" w:ascii="宋体;SimSun" w:hAnsi="宋体;SimSun"/>
                <w:sz w:val="18"/>
              </w:rPr>
              <w:t>℃</w:t>
            </w:r>
            <w:r>
              <w:rPr>
                <w:sz w:val="18"/>
              </w:rPr>
              <w:t>时渗透液的黏度，</w:t>
            </w:r>
            <w:r>
              <w:rPr>
                <w:sz w:val="18"/>
              </w:rPr>
              <w:t>Pa·s</w:t>
            </w:r>
          </w:p>
        </w:tc>
      </w:tr>
      <w:tr>
        <w:trPr/>
        <w:tc>
          <w:tcPr>
            <w:tcW w:w="2339" w:type="dxa"/>
            <w:tcBorders/>
          </w:tcPr>
          <w:p>
            <w:pPr>
              <w:pStyle w:val="Normal"/>
              <w:jc w:val="right"/>
              <w:rPr>
                <w:rFonts w:ascii="黑体;SimHei" w:hAnsi="黑体;SimHei" w:eastAsia="黑体;SimHei" w:cs="黑体;SimHei"/>
                <w:bCs/>
                <w:sz w:val="18"/>
              </w:rPr>
            </w:pPr>
            <w:r>
              <w:rPr>
                <w:rFonts w:ascii="黑体;SimHei" w:hAnsi="黑体;SimHei" w:cs="黑体;SimHei" w:eastAsia="黑体;SimHei"/>
                <w:bCs/>
                <w:sz w:val="18"/>
              </w:rPr>
              <w:t>下角标</w:t>
            </w:r>
          </w:p>
        </w:tc>
        <w:tc>
          <w:tcPr>
            <w:tcW w:w="562" w:type="dxa"/>
            <w:tcBorders/>
          </w:tcPr>
          <w:p>
            <w:pPr>
              <w:pStyle w:val="Normal"/>
              <w:snapToGrid w:val="false"/>
              <w:jc w:val="center"/>
              <w:rPr>
                <w:rFonts w:ascii="黑体;SimHei" w:hAnsi="黑体;SimHei" w:eastAsia="黑体;SimHei" w:cs="黑体;SimHei"/>
                <w:b/>
                <w:b/>
                <w:bCs/>
                <w:sz w:val="18"/>
              </w:rPr>
            </w:pPr>
            <w:r>
              <w:rPr>
                <w:rFonts w:eastAsia="黑体;SimHei" w:cs="黑体;SimHei" w:ascii="黑体;SimHei" w:hAnsi="黑体;SimHei"/>
                <w:b/>
                <w:bCs/>
                <w:sz w:val="18"/>
              </w:rPr>
            </w:r>
          </w:p>
        </w:tc>
        <w:tc>
          <w:tcPr>
            <w:tcW w:w="6424" w:type="dxa"/>
            <w:tcBorders/>
          </w:tcPr>
          <w:p>
            <w:pPr>
              <w:pStyle w:val="Normal"/>
              <w:snapToGrid w:val="false"/>
              <w:rPr>
                <w:b/>
                <w:b/>
                <w:bCs/>
                <w:sz w:val="18"/>
              </w:rPr>
            </w:pPr>
            <w:r>
              <w:rPr>
                <w:b/>
                <w:bCs/>
                <w:sz w:val="18"/>
              </w:rPr>
            </w:r>
          </w:p>
        </w:tc>
      </w:tr>
      <w:tr>
        <w:trPr/>
        <w:tc>
          <w:tcPr>
            <w:tcW w:w="2339" w:type="dxa"/>
            <w:tcBorders/>
          </w:tcPr>
          <w:p>
            <w:pPr>
              <w:pStyle w:val="Normal"/>
              <w:jc w:val="right"/>
              <w:rPr>
                <w:sz w:val="18"/>
              </w:rPr>
            </w:pPr>
            <w:r>
              <w:rPr>
                <w:sz w:val="18"/>
              </w:rPr>
              <w:t>0</w:t>
            </w:r>
          </w:p>
        </w:tc>
        <w:tc>
          <w:tcPr>
            <w:tcW w:w="562" w:type="dxa"/>
            <w:tcBorders/>
          </w:tcPr>
          <w:p>
            <w:pPr>
              <w:pStyle w:val="Normal"/>
              <w:jc w:val="center"/>
              <w:rPr>
                <w:b/>
                <w:b/>
                <w:bCs/>
                <w:sz w:val="18"/>
              </w:rPr>
            </w:pPr>
            <w:r>
              <w:rPr>
                <w:b/>
                <w:bCs/>
                <w:sz w:val="18"/>
              </w:rPr>
              <w:t>——</w:t>
            </w:r>
          </w:p>
        </w:tc>
        <w:tc>
          <w:tcPr>
            <w:tcW w:w="6424" w:type="dxa"/>
            <w:tcBorders/>
          </w:tcPr>
          <w:p>
            <w:pPr>
              <w:pStyle w:val="Normal"/>
              <w:rPr>
                <w:sz w:val="18"/>
              </w:rPr>
            </w:pPr>
            <w:r>
              <w:rPr>
                <w:sz w:val="18"/>
              </w:rPr>
              <w:t>接枝前</w:t>
            </w:r>
          </w:p>
        </w:tc>
      </w:tr>
      <w:tr>
        <w:trPr/>
        <w:tc>
          <w:tcPr>
            <w:tcW w:w="2339" w:type="dxa"/>
            <w:tcBorders/>
          </w:tcPr>
          <w:p>
            <w:pPr>
              <w:pStyle w:val="Normal"/>
              <w:jc w:val="right"/>
              <w:rPr>
                <w:sz w:val="18"/>
              </w:rPr>
            </w:pPr>
            <w:r>
              <w:rPr>
                <w:sz w:val="18"/>
              </w:rPr>
              <w:t>g</w:t>
            </w:r>
          </w:p>
        </w:tc>
        <w:tc>
          <w:tcPr>
            <w:tcW w:w="562" w:type="dxa"/>
            <w:tcBorders/>
          </w:tcPr>
          <w:p>
            <w:pPr>
              <w:pStyle w:val="Normal"/>
              <w:jc w:val="center"/>
              <w:rPr>
                <w:b/>
                <w:b/>
                <w:bCs/>
                <w:sz w:val="18"/>
              </w:rPr>
            </w:pPr>
            <w:r>
              <w:rPr>
                <w:b/>
                <w:bCs/>
                <w:sz w:val="18"/>
              </w:rPr>
              <w:t>——</w:t>
            </w:r>
          </w:p>
        </w:tc>
        <w:tc>
          <w:tcPr>
            <w:tcW w:w="6424" w:type="dxa"/>
            <w:tcBorders/>
          </w:tcPr>
          <w:p>
            <w:pPr>
              <w:pStyle w:val="Normal"/>
              <w:rPr>
                <w:sz w:val="18"/>
              </w:rPr>
            </w:pPr>
            <w:r>
              <w:rPr>
                <w:sz w:val="18"/>
              </w:rPr>
              <w:t>接枝后</w:t>
            </w:r>
          </w:p>
        </w:tc>
      </w:tr>
    </w:tbl>
    <w:p>
      <w:pPr>
        <w:pStyle w:val="Normal"/>
        <w:jc w:val="center"/>
        <w:rPr>
          <w:rFonts w:eastAsia="黑体;SimHei"/>
          <w:szCs w:val="21"/>
        </w:rPr>
      </w:pPr>
      <w:r>
        <w:rPr>
          <w:rFonts w:eastAsia="黑体;SimHei"/>
          <w:szCs w:val="21"/>
        </w:rPr>
      </w:r>
    </w:p>
    <w:p>
      <w:pPr>
        <w:pStyle w:val="Normal"/>
        <w:jc w:val="center"/>
        <w:rPr>
          <w:rFonts w:eastAsia="黑体;SimHei"/>
          <w:b/>
          <w:b/>
          <w:szCs w:val="21"/>
        </w:rPr>
      </w:pPr>
      <w:r>
        <w:rPr>
          <w:rFonts w:eastAsia="黑体;SimHei"/>
          <w:szCs w:val="21"/>
        </w:rPr>
        <w:t>参考文献</w:t>
      </w:r>
    </w:p>
    <w:p>
      <w:pPr>
        <w:pStyle w:val="Normal"/>
        <w:rPr>
          <w:color w:val="FF0000"/>
        </w:rPr>
      </w:pPr>
      <w:r>
        <w:rPr>
          <w:color w:val="FF0000"/>
        </w:rPr>
        <w:t>参考文献按文中引用先后顺序列出，序号加方括号。</w:t>
      </w:r>
    </w:p>
    <w:p>
      <w:pPr>
        <w:pStyle w:val="Normal"/>
        <w:rPr>
          <w:color w:val="FF0000"/>
        </w:rPr>
      </w:pPr>
      <w:r>
        <w:rPr>
          <w:color w:val="FF0000"/>
        </w:rPr>
        <w:t>具体格式参见“《化工进展》参考文献著录规则”，并严格执行。注意，外文作者姓的所有字母在本部分正文后列序中均大写（正文中外文作者的姓只需首字母大写），中文文献下对应给出英文。标点符号用半角形式，注意间距。</w:t>
      </w:r>
    </w:p>
    <w:p>
      <w:pPr>
        <w:pStyle w:val="Normal"/>
        <w:rPr>
          <w:color w:val="FF0000"/>
        </w:rPr>
      </w:pPr>
      <w:r>
        <w:rPr>
          <w:color w:val="FF0000"/>
        </w:rPr>
        <w:t>文中引用参考文献不要采用域、超链接等形式关联。均应该以文本形式录用。</w:t>
      </w:r>
    </w:p>
    <w:p>
      <w:pPr>
        <w:pStyle w:val="Style20"/>
        <w:snapToGrid w:val="true"/>
        <w:spacing w:lineRule="auto" w:line="240"/>
        <w:ind w:left="482" w:hanging="413"/>
        <w:rPr>
          <w:sz w:val="18"/>
          <w:szCs w:val="18"/>
        </w:rPr>
      </w:pPr>
      <w:r>
        <w:rPr>
          <w:sz w:val="18"/>
          <w:szCs w:val="18"/>
        </w:rPr>
        <w:t>[1]</w:t>
      </w:r>
      <w:r>
        <w:rPr>
          <w:sz w:val="18"/>
          <w:szCs w:val="18"/>
        </w:rPr>
        <w:tab/>
      </w:r>
      <w:r>
        <w:rPr>
          <w:sz w:val="18"/>
          <w:szCs w:val="18"/>
        </w:rPr>
        <w:t>EINSTEIN A</w:t>
      </w:r>
      <w:r>
        <w:rPr>
          <w:kern w:val="0"/>
          <w:sz w:val="18"/>
          <w:szCs w:val="18"/>
        </w:rPr>
        <w:t xml:space="preserve">, </w:t>
      </w:r>
      <w:r>
        <w:rPr>
          <w:sz w:val="18"/>
          <w:szCs w:val="18"/>
        </w:rPr>
        <w:t xml:space="preserve">SZILARD L. </w:t>
      </w:r>
      <w:r>
        <w:rPr>
          <w:sz w:val="18"/>
          <w:szCs w:val="18"/>
        </w:rPr>
        <w:t xml:space="preserve">The Einstein-Szilard refrigerator: </w:t>
      </w:r>
      <w:r>
        <w:rPr>
          <w:kern w:val="0"/>
          <w:sz w:val="18"/>
          <w:szCs w:val="18"/>
        </w:rPr>
        <w:t>US</w:t>
      </w:r>
      <w:r>
        <w:rPr>
          <w:sz w:val="18"/>
          <w:szCs w:val="18"/>
        </w:rPr>
        <w:t>1781541[P]. 1930</w:t>
      </w:r>
      <w:r>
        <w:rPr>
          <w:sz w:val="18"/>
          <w:szCs w:val="18"/>
        </w:rPr>
        <w:t>-</w:t>
      </w:r>
      <w:r>
        <w:rPr>
          <w:sz w:val="18"/>
          <w:szCs w:val="18"/>
        </w:rPr>
        <w:t>11</w:t>
      </w:r>
      <w:r>
        <w:rPr>
          <w:sz w:val="18"/>
          <w:szCs w:val="18"/>
        </w:rPr>
        <w:t>-</w:t>
      </w:r>
      <w:r>
        <w:rPr>
          <w:sz w:val="18"/>
          <w:szCs w:val="18"/>
        </w:rPr>
        <w:t xml:space="preserve">11. </w:t>
      </w:r>
    </w:p>
    <w:p>
      <w:pPr>
        <w:pStyle w:val="Style20"/>
        <w:snapToGrid w:val="true"/>
        <w:spacing w:lineRule="auto" w:line="240"/>
        <w:ind w:left="482" w:hanging="413"/>
        <w:rPr/>
      </w:pPr>
      <w:r>
        <w:rPr>
          <w:sz w:val="18"/>
          <w:szCs w:val="18"/>
        </w:rPr>
        <w:t>[</w:t>
      </w:r>
      <w:r>
        <w:rPr>
          <w:kern w:val="0"/>
          <w:sz w:val="18"/>
          <w:szCs w:val="18"/>
        </w:rPr>
        <w:t>2]</w:t>
        <w:tab/>
      </w:r>
      <w:r>
        <w:rPr>
          <w:kern w:val="0"/>
          <w:sz w:val="18"/>
          <w:szCs w:val="18"/>
        </w:rPr>
        <w:t>方甲闯</w:t>
      </w:r>
      <w:r>
        <w:rPr>
          <w:kern w:val="0"/>
          <w:sz w:val="18"/>
          <w:szCs w:val="18"/>
        </w:rPr>
        <w:t xml:space="preserve">, </w:t>
      </w:r>
      <w:r>
        <w:rPr>
          <w:kern w:val="0"/>
          <w:sz w:val="18"/>
          <w:szCs w:val="18"/>
        </w:rPr>
        <w:t>郑宏飞</w:t>
      </w:r>
      <w:r>
        <w:rPr>
          <w:kern w:val="0"/>
          <w:sz w:val="18"/>
          <w:szCs w:val="18"/>
        </w:rPr>
        <w:t xml:space="preserve">, </w:t>
      </w:r>
      <w:r>
        <w:rPr>
          <w:kern w:val="0"/>
          <w:sz w:val="18"/>
          <w:szCs w:val="18"/>
        </w:rPr>
        <w:t>李正良</w:t>
      </w:r>
      <w:r>
        <w:rPr>
          <w:kern w:val="0"/>
          <w:sz w:val="18"/>
          <w:szCs w:val="18"/>
        </w:rPr>
        <w:t xml:space="preserve">, </w:t>
      </w:r>
      <w:r>
        <w:rPr>
          <w:kern w:val="0"/>
          <w:sz w:val="18"/>
          <w:szCs w:val="18"/>
        </w:rPr>
        <w:t>等</w:t>
      </w:r>
      <w:r>
        <w:rPr>
          <w:kern w:val="0"/>
          <w:sz w:val="18"/>
          <w:szCs w:val="18"/>
        </w:rPr>
        <w:t xml:space="preserve">. </w:t>
      </w:r>
      <w:r>
        <w:rPr>
          <w:kern w:val="0"/>
          <w:sz w:val="18"/>
          <w:szCs w:val="18"/>
        </w:rPr>
        <w:t>小型太阳能吸收式空调多管弦月形通道溶液提升泵的性能研究</w:t>
      </w:r>
      <w:r>
        <w:rPr>
          <w:kern w:val="0"/>
          <w:sz w:val="18"/>
          <w:szCs w:val="18"/>
        </w:rPr>
        <w:t xml:space="preserve">[J]. </w:t>
      </w:r>
      <w:r>
        <w:rPr>
          <w:kern w:val="0"/>
          <w:sz w:val="18"/>
          <w:szCs w:val="18"/>
        </w:rPr>
        <w:t>太阳能学报</w:t>
      </w:r>
      <w:r>
        <w:rPr>
          <w:kern w:val="0"/>
          <w:sz w:val="18"/>
          <w:szCs w:val="18"/>
        </w:rPr>
        <w:t xml:space="preserve">, 2007, </w:t>
      </w:r>
      <w:r>
        <w:rPr>
          <w:kern w:val="0"/>
          <w:sz w:val="18"/>
          <w:szCs w:val="18"/>
        </w:rPr>
        <w:t>28</w:t>
      </w:r>
      <w:r>
        <w:rPr>
          <w:kern w:val="0"/>
          <w:sz w:val="18"/>
          <w:szCs w:val="18"/>
        </w:rPr>
        <w:t>(3): 291-295.</w:t>
        <w:br/>
        <w:t>FANG Jiachuang, ZHENG Hongfei, LI Zhengliang</w:t>
      </w:r>
      <w:r>
        <w:rPr>
          <w:kern w:val="0"/>
          <w:sz w:val="18"/>
          <w:szCs w:val="18"/>
        </w:rPr>
        <w:t>, et al. Study on performance of the thermosiphon solution elevation pump with multi-lunate channels in minitype solar absorption type air-conditionding system[J]. Acta Energiae Solaris Sinica, 2007, 28(3): 291-295.</w:t>
      </w:r>
    </w:p>
    <w:p>
      <w:pPr>
        <w:pStyle w:val="Style20"/>
        <w:snapToGrid w:val="true"/>
        <w:spacing w:lineRule="auto" w:line="240"/>
        <w:ind w:left="482" w:hanging="413"/>
        <w:rPr>
          <w:kern w:val="0"/>
          <w:sz w:val="18"/>
          <w:szCs w:val="18"/>
        </w:rPr>
      </w:pPr>
      <w:r>
        <w:rPr>
          <w:kern w:val="0"/>
          <w:sz w:val="18"/>
          <w:szCs w:val="18"/>
        </w:rPr>
        <w:t>[</w:t>
      </w:r>
      <w:r>
        <w:rPr>
          <w:kern w:val="0"/>
          <w:sz w:val="18"/>
          <w:szCs w:val="18"/>
        </w:rPr>
        <w:t>3]</w:t>
        <w:tab/>
      </w:r>
      <w:r>
        <w:rPr>
          <w:kern w:val="0"/>
          <w:sz w:val="18"/>
          <w:szCs w:val="18"/>
        </w:rPr>
        <w:t>汤成伟</w:t>
      </w:r>
      <w:r>
        <w:rPr>
          <w:kern w:val="0"/>
          <w:sz w:val="18"/>
          <w:szCs w:val="18"/>
        </w:rPr>
        <w:t xml:space="preserve">, </w:t>
      </w:r>
      <w:r>
        <w:rPr>
          <w:kern w:val="0"/>
          <w:sz w:val="18"/>
          <w:szCs w:val="18"/>
        </w:rPr>
        <w:t>刘道平</w:t>
      </w:r>
      <w:r>
        <w:rPr>
          <w:kern w:val="0"/>
          <w:sz w:val="18"/>
          <w:szCs w:val="18"/>
        </w:rPr>
        <w:t xml:space="preserve">, </w:t>
      </w:r>
      <w:r>
        <w:rPr>
          <w:kern w:val="0"/>
          <w:sz w:val="18"/>
          <w:szCs w:val="18"/>
        </w:rPr>
        <w:t>祁影霞</w:t>
      </w:r>
      <w:r>
        <w:rPr>
          <w:kern w:val="0"/>
          <w:sz w:val="18"/>
          <w:szCs w:val="18"/>
        </w:rPr>
        <w:t xml:space="preserve">, </w:t>
      </w:r>
      <w:r>
        <w:rPr>
          <w:kern w:val="0"/>
          <w:sz w:val="18"/>
          <w:szCs w:val="18"/>
        </w:rPr>
        <w:t>等</w:t>
      </w:r>
      <w:r>
        <w:rPr>
          <w:kern w:val="0"/>
          <w:sz w:val="18"/>
          <w:szCs w:val="18"/>
        </w:rPr>
        <w:t xml:space="preserve">. </w:t>
      </w:r>
      <w:r>
        <w:rPr>
          <w:kern w:val="0"/>
          <w:sz w:val="18"/>
          <w:szCs w:val="18"/>
        </w:rPr>
        <w:t>单压吸收式</w:t>
      </w:r>
      <w:r>
        <w:rPr>
          <w:kern w:val="0"/>
          <w:sz w:val="18"/>
          <w:szCs w:val="18"/>
        </w:rPr>
        <w:t>Einstein</w:t>
      </w:r>
      <w:r>
        <w:rPr>
          <w:kern w:val="0"/>
          <w:sz w:val="18"/>
          <w:szCs w:val="18"/>
        </w:rPr>
        <w:t>循环制冷机中气泡泵的性能分析</w:t>
      </w:r>
      <w:r>
        <w:rPr>
          <w:kern w:val="0"/>
          <w:sz w:val="18"/>
          <w:szCs w:val="18"/>
        </w:rPr>
        <w:t xml:space="preserve">[J]. </w:t>
      </w:r>
      <w:r>
        <w:rPr>
          <w:kern w:val="0"/>
          <w:sz w:val="18"/>
          <w:szCs w:val="18"/>
        </w:rPr>
        <w:t>制冷学报</w:t>
      </w:r>
      <w:r>
        <w:rPr>
          <w:kern w:val="0"/>
          <w:sz w:val="18"/>
          <w:szCs w:val="18"/>
        </w:rPr>
        <w:t>, 2009, 30(3): 35-39.</w:t>
        <w:br/>
        <w:t>TANG Chengwei, LIU Daoping, QI Yingxia, et al. Performance of bubble pump in single-pressure Einstein absorption refrigerator[J]. Journal of Refrigeration, 2009, 30(3): 35-39.</w:t>
      </w:r>
    </w:p>
    <w:p>
      <w:pPr>
        <w:pStyle w:val="Style20"/>
        <w:snapToGrid w:val="true"/>
        <w:spacing w:lineRule="auto" w:line="240"/>
        <w:ind w:left="482" w:hanging="413"/>
        <w:rPr/>
      </w:pPr>
      <w:r>
        <w:rPr>
          <w:kern w:val="0"/>
          <w:sz w:val="18"/>
          <w:szCs w:val="18"/>
        </w:rPr>
        <w:t>[4]</w:t>
        <w:tab/>
      </w:r>
      <w:r>
        <w:rPr>
          <w:rFonts w:eastAsia="楷体;Microsoft YaHei"/>
          <w:sz w:val="18"/>
          <w:szCs w:val="18"/>
        </w:rPr>
        <w:t>STENNING A H</w:t>
      </w:r>
      <w:r>
        <w:rPr>
          <w:kern w:val="0"/>
          <w:sz w:val="18"/>
          <w:szCs w:val="18"/>
        </w:rPr>
        <w:t xml:space="preserve">, </w:t>
      </w:r>
      <w:r>
        <w:rPr>
          <w:rFonts w:eastAsia="楷体;Microsoft YaHei"/>
          <w:sz w:val="18"/>
          <w:szCs w:val="18"/>
        </w:rPr>
        <w:t>MARTIN C B. An analytical and experimental study of air lift pump performance[J]</w:t>
      </w:r>
      <w:r>
        <w:rPr>
          <w:rFonts w:eastAsia="楷体;Microsoft YaHei"/>
          <w:sz w:val="18"/>
          <w:szCs w:val="18"/>
        </w:rPr>
        <w:t xml:space="preserve">. </w:t>
      </w:r>
      <w:r>
        <w:rPr>
          <w:rFonts w:eastAsia="楷体;Microsoft YaHei"/>
          <w:sz w:val="18"/>
          <w:szCs w:val="18"/>
        </w:rPr>
        <w:t>Eng. Power</w:t>
      </w:r>
      <w:r>
        <w:rPr>
          <w:kern w:val="0"/>
          <w:sz w:val="18"/>
          <w:szCs w:val="18"/>
        </w:rPr>
        <w:t xml:space="preserve">, </w:t>
      </w:r>
      <w:r>
        <w:rPr>
          <w:rFonts w:eastAsia="楷体;Microsoft YaHei"/>
          <w:sz w:val="18"/>
          <w:szCs w:val="18"/>
        </w:rPr>
        <w:t>Trans. ASME</w:t>
      </w:r>
      <w:r>
        <w:rPr>
          <w:kern w:val="0"/>
          <w:sz w:val="18"/>
          <w:szCs w:val="18"/>
        </w:rPr>
        <w:t xml:space="preserve">, </w:t>
      </w:r>
      <w:r>
        <w:rPr>
          <w:rFonts w:eastAsia="楷体;Microsoft YaHei"/>
          <w:sz w:val="18"/>
          <w:szCs w:val="18"/>
        </w:rPr>
        <w:t>1968</w:t>
      </w:r>
      <w:r>
        <w:rPr>
          <w:rFonts w:eastAsia="楷体;Microsoft YaHei"/>
          <w:sz w:val="18"/>
          <w:szCs w:val="18"/>
        </w:rPr>
        <w:t xml:space="preserve">, </w:t>
      </w:r>
      <w:r>
        <w:rPr>
          <w:rFonts w:eastAsia="楷体;Microsoft YaHei"/>
          <w:sz w:val="18"/>
          <w:szCs w:val="18"/>
        </w:rPr>
        <w:t>90</w:t>
      </w:r>
      <w:r>
        <w:rPr>
          <w:kern w:val="0"/>
          <w:sz w:val="18"/>
          <w:szCs w:val="18"/>
        </w:rPr>
        <w:t>(2): 106-110.</w:t>
      </w:r>
    </w:p>
    <w:p>
      <w:pPr>
        <w:pStyle w:val="22"/>
        <w:snapToGrid w:val="true"/>
        <w:spacing w:lineRule="auto" w:line="240"/>
        <w:ind w:left="485" w:hanging="485"/>
        <w:rPr>
          <w:sz w:val="18"/>
          <w:szCs w:val="18"/>
        </w:rPr>
      </w:pPr>
      <w:r>
        <w:rPr>
          <w:sz w:val="18"/>
          <w:szCs w:val="18"/>
        </w:rPr>
        <w:t>[5]</w:t>
      </w:r>
      <w:r>
        <w:rPr>
          <w:sz w:val="18"/>
          <w:szCs w:val="18"/>
        </w:rPr>
        <w:tab/>
      </w:r>
      <w:r>
        <w:rPr>
          <w:sz w:val="18"/>
          <w:szCs w:val="18"/>
        </w:rPr>
        <w:t>DELANO A. Design Analysis of the Einstein Refrigeration cycle[D]. Atlanta</w:t>
      </w:r>
      <w:r>
        <w:rPr>
          <w:kern w:val="0"/>
          <w:sz w:val="18"/>
          <w:szCs w:val="18"/>
        </w:rPr>
        <w:t xml:space="preserve">, </w:t>
      </w:r>
      <w:r>
        <w:rPr>
          <w:sz w:val="18"/>
          <w:szCs w:val="18"/>
        </w:rPr>
        <w:t>Georgia</w:t>
      </w:r>
      <w:r>
        <w:rPr>
          <w:sz w:val="18"/>
          <w:szCs w:val="18"/>
        </w:rPr>
        <w:t xml:space="preserve">: </w:t>
      </w:r>
      <w:r>
        <w:rPr>
          <w:sz w:val="18"/>
          <w:szCs w:val="18"/>
        </w:rPr>
        <w:t>Georgia Institute of Technology</w:t>
      </w:r>
      <w:r>
        <w:rPr>
          <w:kern w:val="0"/>
          <w:sz w:val="18"/>
          <w:szCs w:val="18"/>
        </w:rPr>
        <w:t xml:space="preserve">, </w:t>
      </w:r>
      <w:r>
        <w:rPr>
          <w:sz w:val="18"/>
          <w:szCs w:val="18"/>
        </w:rPr>
        <w:t xml:space="preserve">1998. </w:t>
      </w:r>
    </w:p>
    <w:p>
      <w:pPr>
        <w:pStyle w:val="22"/>
        <w:snapToGrid w:val="true"/>
        <w:spacing w:lineRule="auto" w:line="240"/>
        <w:ind w:left="485" w:hanging="485"/>
        <w:rPr/>
      </w:pPr>
      <w:r>
        <w:rPr>
          <w:sz w:val="18"/>
          <w:szCs w:val="18"/>
        </w:rPr>
        <w:t>[</w:t>
      </w:r>
      <w:r>
        <w:rPr>
          <w:kern w:val="0"/>
          <w:sz w:val="18"/>
          <w:szCs w:val="18"/>
        </w:rPr>
        <w:t>6]</w:t>
        <w:tab/>
      </w:r>
      <w:r>
        <w:rPr>
          <w:kern w:val="0"/>
          <w:sz w:val="18"/>
          <w:szCs w:val="18"/>
        </w:rPr>
        <w:t>阙雄才</w:t>
      </w:r>
      <w:r>
        <w:rPr>
          <w:kern w:val="0"/>
          <w:sz w:val="18"/>
          <w:szCs w:val="18"/>
        </w:rPr>
        <w:t xml:space="preserve">, </w:t>
      </w:r>
      <w:r>
        <w:rPr>
          <w:kern w:val="0"/>
          <w:sz w:val="18"/>
          <w:szCs w:val="18"/>
        </w:rPr>
        <w:t>李红</w:t>
      </w:r>
      <w:r>
        <w:rPr>
          <w:kern w:val="0"/>
          <w:sz w:val="18"/>
          <w:szCs w:val="18"/>
        </w:rPr>
        <w:t xml:space="preserve">. </w:t>
      </w:r>
      <w:r>
        <w:rPr>
          <w:kern w:val="0"/>
          <w:sz w:val="18"/>
          <w:szCs w:val="18"/>
        </w:rPr>
        <w:t>热虹吸泵绝热弹状流的热虹吸特性研究——无泵</w:t>
      </w:r>
      <w:r>
        <w:rPr>
          <w:kern w:val="0"/>
          <w:sz w:val="18"/>
          <w:szCs w:val="18"/>
        </w:rPr>
        <w:t>LiBr</w:t>
      </w:r>
      <w:r>
        <w:rPr>
          <w:kern w:val="0"/>
          <w:sz w:val="18"/>
          <w:szCs w:val="18"/>
        </w:rPr>
        <w:t>吸收式太阳能制冷机机理研究之二</w:t>
      </w:r>
      <w:r>
        <w:rPr>
          <w:kern w:val="0"/>
          <w:sz w:val="18"/>
          <w:szCs w:val="18"/>
        </w:rPr>
        <w:t xml:space="preserve">[J]. </w:t>
      </w:r>
      <w:r>
        <w:rPr>
          <w:kern w:val="0"/>
          <w:sz w:val="18"/>
          <w:szCs w:val="18"/>
        </w:rPr>
        <w:t>太阳能学报</w:t>
      </w:r>
      <w:r>
        <w:rPr>
          <w:kern w:val="0"/>
          <w:sz w:val="18"/>
          <w:szCs w:val="18"/>
        </w:rPr>
        <w:t xml:space="preserve">, 1989, </w:t>
      </w:r>
      <w:r>
        <w:rPr>
          <w:kern w:val="0"/>
          <w:sz w:val="18"/>
          <w:szCs w:val="18"/>
        </w:rPr>
        <w:t>10</w:t>
      </w:r>
      <w:r>
        <w:rPr>
          <w:kern w:val="0"/>
          <w:sz w:val="18"/>
          <w:szCs w:val="18"/>
        </w:rPr>
        <w:t>(1): 1-13.</w:t>
        <w:br/>
        <w:t>QUE Xiongcai, LI Hong. Study on thermal siphon characteristics of slug flow with heat insulation in thermal siphon pump</w:t>
      </w:r>
      <w:r>
        <w:rPr>
          <w:rFonts w:cs="宋体;SimSun" w:ascii="宋体;SimSun" w:hAnsi="宋体;SimSun"/>
          <w:kern w:val="0"/>
          <w:sz w:val="18"/>
          <w:szCs w:val="18"/>
        </w:rPr>
        <w:t>—</w:t>
      </w:r>
      <w:r>
        <w:rPr>
          <w:kern w:val="0"/>
          <w:sz w:val="18"/>
          <w:szCs w:val="18"/>
        </w:rPr>
        <w:t xml:space="preserve">The second mechanism studies on pumpless </w:t>
      </w:r>
      <w:r>
        <w:rPr>
          <w:kern w:val="0"/>
          <w:sz w:val="18"/>
          <w:szCs w:val="18"/>
        </w:rPr>
        <w:t>LiBr absorption solar refrigerating machine[J]. Acta Energiae Solaris Sinica, 1989, 10(1): 1-13.</w:t>
      </w:r>
    </w:p>
    <w:p>
      <w:pPr>
        <w:pStyle w:val="22"/>
        <w:snapToGrid w:val="true"/>
        <w:spacing w:lineRule="auto" w:line="240"/>
        <w:ind w:left="485" w:hanging="485"/>
        <w:rPr/>
      </w:pPr>
      <w:r>
        <w:rPr>
          <w:kern w:val="0"/>
          <w:sz w:val="18"/>
          <w:szCs w:val="18"/>
        </w:rPr>
        <w:t>[</w:t>
      </w:r>
      <w:r>
        <w:rPr>
          <w:kern w:val="0"/>
          <w:sz w:val="18"/>
          <w:szCs w:val="18"/>
        </w:rPr>
        <w:t>7]</w:t>
        <w:tab/>
      </w:r>
      <w:r>
        <w:rPr>
          <w:kern w:val="0"/>
          <w:sz w:val="18"/>
          <w:szCs w:val="18"/>
        </w:rPr>
        <w:t>郑晓倩</w:t>
      </w:r>
      <w:r>
        <w:rPr>
          <w:kern w:val="0"/>
          <w:sz w:val="18"/>
          <w:szCs w:val="18"/>
        </w:rPr>
        <w:t xml:space="preserve">, </w:t>
      </w:r>
      <w:r>
        <w:rPr>
          <w:kern w:val="0"/>
          <w:sz w:val="18"/>
          <w:szCs w:val="18"/>
        </w:rPr>
        <w:t>刘道平</w:t>
      </w:r>
      <w:r>
        <w:rPr>
          <w:kern w:val="0"/>
          <w:sz w:val="18"/>
          <w:szCs w:val="18"/>
        </w:rPr>
        <w:t xml:space="preserve">, </w:t>
      </w:r>
      <w:r>
        <w:rPr>
          <w:kern w:val="0"/>
          <w:sz w:val="18"/>
          <w:szCs w:val="18"/>
        </w:rPr>
        <w:t>陈永军</w:t>
      </w:r>
      <w:r>
        <w:rPr>
          <w:kern w:val="0"/>
          <w:sz w:val="18"/>
          <w:szCs w:val="18"/>
        </w:rPr>
        <w:t xml:space="preserve">, </w:t>
      </w:r>
      <w:r>
        <w:rPr>
          <w:kern w:val="0"/>
          <w:sz w:val="18"/>
          <w:szCs w:val="18"/>
        </w:rPr>
        <w:t>等</w:t>
      </w:r>
      <w:r>
        <w:rPr>
          <w:kern w:val="0"/>
          <w:sz w:val="18"/>
          <w:szCs w:val="18"/>
        </w:rPr>
        <w:t xml:space="preserve">. </w:t>
      </w:r>
      <w:r>
        <w:rPr>
          <w:kern w:val="0"/>
          <w:sz w:val="18"/>
          <w:szCs w:val="18"/>
        </w:rPr>
        <w:t>圆弧形导流式气泡泵的冷态试验研究</w:t>
      </w:r>
      <w:r>
        <w:rPr>
          <w:kern w:val="0"/>
          <w:sz w:val="18"/>
          <w:szCs w:val="18"/>
        </w:rPr>
        <w:t xml:space="preserve">[J]. </w:t>
      </w:r>
      <w:r>
        <w:rPr>
          <w:kern w:val="0"/>
          <w:sz w:val="18"/>
          <w:szCs w:val="18"/>
        </w:rPr>
        <w:t>流体机械</w:t>
      </w:r>
      <w:r>
        <w:rPr>
          <w:kern w:val="0"/>
          <w:sz w:val="18"/>
          <w:szCs w:val="18"/>
        </w:rPr>
        <w:t>, 2015</w:t>
      </w:r>
      <w:r>
        <w:rPr>
          <w:kern w:val="0"/>
          <w:sz w:val="18"/>
          <w:szCs w:val="18"/>
        </w:rPr>
        <w:t>, 43</w:t>
      </w:r>
      <w:r>
        <w:rPr>
          <w:kern w:val="0"/>
          <w:sz w:val="18"/>
          <w:szCs w:val="18"/>
        </w:rPr>
        <w:t>(9): 58-62.</w:t>
        <w:br/>
      </w:r>
      <w:r>
        <w:rPr>
          <w:kern w:val="0"/>
          <w:sz w:val="18"/>
          <w:szCs w:val="18"/>
        </w:rPr>
        <w:t>ZHENG Xiaoqian, LIU Daoping, CHEN Yongjun, et al. Experimental study of circular arc form guided bubble pump under cold state[J]. Fluid Machinery, 2015, 43(9): 58-62.</w:t>
      </w:r>
    </w:p>
    <w:p>
      <w:pPr>
        <w:pStyle w:val="22"/>
        <w:snapToGrid w:val="true"/>
        <w:spacing w:lineRule="auto" w:line="240"/>
        <w:ind w:left="485" w:hanging="485"/>
        <w:rPr/>
      </w:pPr>
      <w:r>
        <w:rPr>
          <w:kern w:val="0"/>
          <w:sz w:val="18"/>
          <w:szCs w:val="18"/>
        </w:rPr>
        <w:t>[</w:t>
      </w:r>
      <w:r>
        <w:rPr>
          <w:bCs/>
          <w:sz w:val="18"/>
          <w:szCs w:val="18"/>
        </w:rPr>
        <w:t>8]</w:t>
        <w:tab/>
      </w:r>
      <w:r>
        <w:rPr>
          <w:bCs/>
          <w:sz w:val="18"/>
          <w:szCs w:val="18"/>
        </w:rPr>
        <w:t>陈永军</w:t>
      </w:r>
      <w:r>
        <w:rPr>
          <w:bCs/>
          <w:sz w:val="18"/>
          <w:szCs w:val="18"/>
        </w:rPr>
        <w:t xml:space="preserve">, </w:t>
      </w:r>
      <w:r>
        <w:rPr>
          <w:bCs/>
          <w:sz w:val="18"/>
          <w:szCs w:val="18"/>
        </w:rPr>
        <w:t>刘道平</w:t>
      </w:r>
      <w:r>
        <w:rPr>
          <w:bCs/>
          <w:sz w:val="18"/>
          <w:szCs w:val="18"/>
        </w:rPr>
        <w:t xml:space="preserve">, </w:t>
      </w:r>
      <w:r>
        <w:rPr>
          <w:bCs/>
          <w:sz w:val="18"/>
          <w:szCs w:val="18"/>
        </w:rPr>
        <w:t>黄塬琳</w:t>
      </w:r>
      <w:r>
        <w:rPr>
          <w:bCs/>
          <w:sz w:val="18"/>
          <w:szCs w:val="18"/>
        </w:rPr>
        <w:t xml:space="preserve">, </w:t>
      </w:r>
      <w:r>
        <w:rPr>
          <w:bCs/>
          <w:sz w:val="18"/>
          <w:szCs w:val="18"/>
        </w:rPr>
        <w:t>等</w:t>
      </w:r>
      <w:r>
        <w:rPr>
          <w:bCs/>
          <w:sz w:val="18"/>
          <w:szCs w:val="18"/>
        </w:rPr>
        <w:t xml:space="preserve">. </w:t>
      </w:r>
      <w:r>
        <w:rPr>
          <w:bCs/>
          <w:sz w:val="18"/>
          <w:szCs w:val="18"/>
        </w:rPr>
        <w:t>变截面直立管气泡泵理论模型验证研究</w:t>
      </w:r>
      <w:r>
        <w:rPr>
          <w:bCs/>
          <w:sz w:val="18"/>
          <w:szCs w:val="18"/>
        </w:rPr>
        <w:t xml:space="preserve">[J]. </w:t>
      </w:r>
      <w:r>
        <w:rPr>
          <w:bCs/>
          <w:sz w:val="18"/>
          <w:szCs w:val="18"/>
        </w:rPr>
        <w:t>太阳能学报</w:t>
      </w:r>
      <w:r>
        <w:rPr>
          <w:bCs/>
          <w:sz w:val="18"/>
          <w:szCs w:val="18"/>
        </w:rPr>
        <w:t>, 2016</w:t>
      </w:r>
      <w:r>
        <w:rPr>
          <w:bCs/>
          <w:sz w:val="18"/>
          <w:szCs w:val="18"/>
        </w:rPr>
        <w:t>, 37</w:t>
      </w:r>
      <w:r>
        <w:rPr>
          <w:bCs/>
          <w:sz w:val="18"/>
          <w:szCs w:val="18"/>
        </w:rPr>
        <w:t>(4): 917-923.</w:t>
        <w:br/>
        <w:t>CHEN Yongjun, LIU Daoping, HUANG Yuanlin, et al. Theoretical model validation study of variable cross-section upright tubular bubble pump[J]. Acta Energiae Solaris Sinica, 2016</w:t>
      </w:r>
      <w:r>
        <w:rPr>
          <w:bCs/>
          <w:sz w:val="18"/>
          <w:szCs w:val="18"/>
        </w:rPr>
        <w:t>, 37(4): 917-923.</w:t>
      </w:r>
    </w:p>
    <w:p>
      <w:pPr>
        <w:pStyle w:val="22"/>
        <w:snapToGrid w:val="true"/>
        <w:spacing w:lineRule="auto" w:line="240"/>
        <w:ind w:left="485" w:hanging="485"/>
        <w:rPr/>
      </w:pPr>
      <w:r>
        <w:rPr>
          <w:bCs/>
          <w:sz w:val="18"/>
          <w:szCs w:val="18"/>
        </w:rPr>
        <w:t>[</w:t>
      </w:r>
      <w:r>
        <w:rPr>
          <w:kern w:val="0"/>
          <w:sz w:val="18"/>
          <w:szCs w:val="18"/>
        </w:rPr>
        <w:t>9]</w:t>
        <w:tab/>
      </w:r>
      <w:r>
        <w:rPr>
          <w:kern w:val="0"/>
          <w:sz w:val="18"/>
          <w:szCs w:val="18"/>
        </w:rPr>
        <w:t>刘振全</w:t>
      </w:r>
      <w:r>
        <w:rPr>
          <w:kern w:val="0"/>
          <w:sz w:val="18"/>
          <w:szCs w:val="18"/>
        </w:rPr>
        <w:t xml:space="preserve">, </w:t>
      </w:r>
      <w:r>
        <w:rPr>
          <w:kern w:val="0"/>
          <w:sz w:val="18"/>
          <w:szCs w:val="18"/>
        </w:rPr>
        <w:t>吴玉莹</w:t>
      </w:r>
      <w:r>
        <w:rPr>
          <w:kern w:val="0"/>
          <w:sz w:val="18"/>
          <w:szCs w:val="18"/>
        </w:rPr>
        <w:t xml:space="preserve">, </w:t>
      </w:r>
      <w:r>
        <w:rPr>
          <w:kern w:val="0"/>
          <w:sz w:val="18"/>
          <w:szCs w:val="18"/>
        </w:rPr>
        <w:t>张中诚</w:t>
      </w:r>
      <w:r>
        <w:rPr>
          <w:kern w:val="0"/>
          <w:sz w:val="18"/>
          <w:szCs w:val="18"/>
        </w:rPr>
        <w:t xml:space="preserve">. </w:t>
      </w:r>
      <w:r>
        <w:rPr>
          <w:kern w:val="0"/>
          <w:sz w:val="18"/>
          <w:szCs w:val="18"/>
        </w:rPr>
        <w:t>无泵溴化锂吸收式制冷气泡泵压力特性数学模型的探讨</w:t>
      </w:r>
      <w:r>
        <w:rPr>
          <w:kern w:val="0"/>
          <w:sz w:val="18"/>
          <w:szCs w:val="18"/>
        </w:rPr>
        <w:t xml:space="preserve">[J]. </w:t>
      </w:r>
      <w:r>
        <w:rPr>
          <w:kern w:val="0"/>
          <w:sz w:val="18"/>
          <w:szCs w:val="18"/>
        </w:rPr>
        <w:t>甘肃工业大学学报</w:t>
      </w:r>
      <w:r>
        <w:rPr>
          <w:kern w:val="0"/>
          <w:sz w:val="18"/>
          <w:szCs w:val="18"/>
        </w:rPr>
        <w:t xml:space="preserve">, 2003, </w:t>
      </w:r>
      <w:r>
        <w:rPr>
          <w:kern w:val="0"/>
          <w:sz w:val="18"/>
          <w:szCs w:val="18"/>
        </w:rPr>
        <w:t>29</w:t>
      </w:r>
      <w:r>
        <w:rPr>
          <w:kern w:val="0"/>
          <w:sz w:val="18"/>
          <w:szCs w:val="18"/>
        </w:rPr>
        <w:t>(4): 57-59.</w:t>
        <w:br/>
        <w:t xml:space="preserve">LIU Zhenquan, WU Yuying, ZHANG Zhongcheng. Inquiry of mathematical model for pressure characteristics of bubble pump for pump-free lithium bromide absorption refrigeration[J]. Journal of Gansu University of Technology, 2003, </w:t>
      </w:r>
      <w:r>
        <w:rPr>
          <w:kern w:val="0"/>
          <w:sz w:val="18"/>
          <w:szCs w:val="18"/>
        </w:rPr>
        <w:t>29(4): 57-59.</w:t>
      </w:r>
    </w:p>
    <w:p>
      <w:pPr>
        <w:pStyle w:val="22"/>
        <w:snapToGrid w:val="true"/>
        <w:spacing w:lineRule="auto" w:line="240"/>
        <w:ind w:left="485" w:hanging="485"/>
        <w:rPr/>
      </w:pPr>
      <w:r>
        <w:rPr>
          <w:kern w:val="0"/>
          <w:sz w:val="18"/>
          <w:szCs w:val="18"/>
        </w:rPr>
        <w:t>[</w:t>
      </w:r>
      <w:r>
        <w:rPr>
          <w:kern w:val="0"/>
          <w:sz w:val="18"/>
          <w:szCs w:val="18"/>
        </w:rPr>
        <w:t>10]</w:t>
        <w:tab/>
      </w:r>
      <w:r>
        <w:rPr>
          <w:kern w:val="0"/>
          <w:sz w:val="18"/>
          <w:szCs w:val="18"/>
        </w:rPr>
        <w:t>平亚琴</w:t>
      </w:r>
      <w:r>
        <w:rPr>
          <w:kern w:val="0"/>
          <w:sz w:val="18"/>
          <w:szCs w:val="18"/>
        </w:rPr>
        <w:t xml:space="preserve">, </w:t>
      </w:r>
      <w:r>
        <w:rPr>
          <w:kern w:val="0"/>
          <w:sz w:val="18"/>
          <w:szCs w:val="18"/>
        </w:rPr>
        <w:t>刘道平</w:t>
      </w:r>
      <w:r>
        <w:rPr>
          <w:kern w:val="0"/>
          <w:sz w:val="18"/>
          <w:szCs w:val="18"/>
        </w:rPr>
        <w:t xml:space="preserve">, </w:t>
      </w:r>
      <w:r>
        <w:rPr>
          <w:kern w:val="0"/>
          <w:sz w:val="18"/>
          <w:szCs w:val="18"/>
        </w:rPr>
        <w:t>陈盛祥</w:t>
      </w:r>
      <w:r>
        <w:rPr>
          <w:kern w:val="0"/>
          <w:sz w:val="18"/>
          <w:szCs w:val="18"/>
        </w:rPr>
        <w:t xml:space="preserve">, </w:t>
      </w:r>
      <w:r>
        <w:rPr>
          <w:kern w:val="0"/>
          <w:sz w:val="18"/>
          <w:szCs w:val="18"/>
        </w:rPr>
        <w:t>等</w:t>
      </w:r>
      <w:r>
        <w:rPr>
          <w:kern w:val="0"/>
          <w:sz w:val="18"/>
          <w:szCs w:val="18"/>
        </w:rPr>
        <w:t xml:space="preserve">. </w:t>
      </w:r>
      <w:r>
        <w:rPr>
          <w:kern w:val="0"/>
          <w:sz w:val="18"/>
          <w:szCs w:val="18"/>
        </w:rPr>
        <w:t>单压吸收式制冷系统气泡泵理论模型与实验研究</w:t>
      </w:r>
      <w:r>
        <w:rPr>
          <w:kern w:val="0"/>
          <w:sz w:val="18"/>
          <w:szCs w:val="18"/>
        </w:rPr>
        <w:t xml:space="preserve">[J]. </w:t>
      </w:r>
      <w:r>
        <w:rPr>
          <w:kern w:val="0"/>
          <w:sz w:val="18"/>
          <w:szCs w:val="18"/>
        </w:rPr>
        <w:t>制冷学报</w:t>
      </w:r>
      <w:r>
        <w:rPr>
          <w:kern w:val="0"/>
          <w:sz w:val="18"/>
          <w:szCs w:val="18"/>
        </w:rPr>
        <w:t>, 2010, 31(6): 46-50.</w:t>
        <w:br/>
        <w:t>PING Yaqin, LIU Daoping, CHEN Shengxiang, et al. Theoretical model and experimental analysis of bubble pump in single-pressure absorption refrigeration system[J]. Journal of Refrig</w:t>
      </w:r>
      <w:r>
        <w:rPr>
          <w:kern w:val="0"/>
          <w:sz w:val="18"/>
          <w:szCs w:val="18"/>
        </w:rPr>
        <w:t>eration, 2010, 31(6): 46-50.</w:t>
      </w:r>
    </w:p>
    <w:p>
      <w:pPr>
        <w:pStyle w:val="22"/>
        <w:snapToGrid w:val="true"/>
        <w:spacing w:lineRule="auto" w:line="240"/>
        <w:ind w:left="485" w:hanging="485"/>
        <w:rPr/>
      </w:pPr>
      <w:r>
        <w:rPr>
          <w:kern w:val="0"/>
          <w:sz w:val="18"/>
          <w:szCs w:val="18"/>
        </w:rPr>
        <w:t>[</w:t>
      </w:r>
      <w:r>
        <w:rPr>
          <w:kern w:val="0"/>
          <w:sz w:val="18"/>
          <w:szCs w:val="18"/>
        </w:rPr>
        <w:t>11]</w:t>
        <w:tab/>
      </w:r>
      <w:r>
        <w:rPr>
          <w:kern w:val="0"/>
          <w:sz w:val="18"/>
          <w:szCs w:val="18"/>
        </w:rPr>
        <w:t>陈永军</w:t>
      </w:r>
      <w:r>
        <w:rPr>
          <w:kern w:val="0"/>
          <w:sz w:val="18"/>
          <w:szCs w:val="18"/>
        </w:rPr>
        <w:t xml:space="preserve">, </w:t>
      </w:r>
      <w:r>
        <w:rPr>
          <w:kern w:val="0"/>
          <w:sz w:val="18"/>
          <w:szCs w:val="18"/>
        </w:rPr>
        <w:t>刘道平</w:t>
      </w:r>
      <w:r>
        <w:rPr>
          <w:kern w:val="0"/>
          <w:sz w:val="18"/>
          <w:szCs w:val="18"/>
        </w:rPr>
        <w:t xml:space="preserve">, </w:t>
      </w:r>
      <w:r>
        <w:rPr>
          <w:kern w:val="0"/>
          <w:sz w:val="18"/>
          <w:szCs w:val="18"/>
        </w:rPr>
        <w:t>黄塬琳</w:t>
      </w:r>
      <w:r>
        <w:rPr>
          <w:kern w:val="0"/>
          <w:sz w:val="18"/>
          <w:szCs w:val="18"/>
        </w:rPr>
        <w:t xml:space="preserve">, </w:t>
      </w:r>
      <w:r>
        <w:rPr>
          <w:kern w:val="0"/>
          <w:sz w:val="18"/>
          <w:szCs w:val="18"/>
        </w:rPr>
        <w:t>等</w:t>
      </w:r>
      <w:r>
        <w:rPr>
          <w:kern w:val="0"/>
          <w:sz w:val="18"/>
          <w:szCs w:val="18"/>
        </w:rPr>
        <w:t>. Einstein</w:t>
      </w:r>
      <w:r>
        <w:rPr>
          <w:kern w:val="0"/>
          <w:sz w:val="18"/>
          <w:szCs w:val="18"/>
        </w:rPr>
        <w:t>制冷系统气泡泵理论模型修正验证研究</w:t>
      </w:r>
      <w:r>
        <w:rPr>
          <w:kern w:val="0"/>
          <w:sz w:val="18"/>
          <w:szCs w:val="18"/>
        </w:rPr>
        <w:t xml:space="preserve">[J]. </w:t>
      </w:r>
      <w:r>
        <w:rPr>
          <w:kern w:val="0"/>
          <w:sz w:val="18"/>
          <w:szCs w:val="18"/>
        </w:rPr>
        <w:t>制冷学报</w:t>
      </w:r>
      <w:r>
        <w:rPr>
          <w:kern w:val="0"/>
          <w:sz w:val="18"/>
          <w:szCs w:val="18"/>
        </w:rPr>
        <w:t>, 2014</w:t>
      </w:r>
      <w:r>
        <w:rPr>
          <w:kern w:val="0"/>
          <w:sz w:val="18"/>
          <w:szCs w:val="18"/>
        </w:rPr>
        <w:t>, 35</w:t>
      </w:r>
      <w:r>
        <w:rPr>
          <w:kern w:val="0"/>
          <w:sz w:val="18"/>
          <w:szCs w:val="18"/>
        </w:rPr>
        <w:t>(6): 68-74.</w:t>
        <w:br/>
        <w:t xml:space="preserve">CHEN Yongjun, LIU Daoping, HUANG Yuanlin, et al. Correction and validation of theoretical model of bubble pump in </w:t>
      </w:r>
      <w:r>
        <w:rPr>
          <w:kern w:val="0"/>
          <w:sz w:val="18"/>
          <w:szCs w:val="18"/>
        </w:rPr>
        <w:t>Einstein refrigeration system[J]. Journal of Refrigeration, 2014, 35(6): 68-74.</w:t>
      </w:r>
    </w:p>
    <w:p>
      <w:pPr>
        <w:pStyle w:val="22"/>
        <w:snapToGrid w:val="true"/>
        <w:spacing w:lineRule="auto" w:line="240"/>
        <w:ind w:left="485" w:hanging="485"/>
        <w:rPr/>
      </w:pPr>
      <w:r>
        <w:rPr>
          <w:kern w:val="0"/>
          <w:sz w:val="18"/>
          <w:szCs w:val="18"/>
        </w:rPr>
        <w:t>[</w:t>
      </w:r>
      <w:r>
        <w:rPr>
          <w:kern w:val="0"/>
          <w:sz w:val="18"/>
          <w:szCs w:val="18"/>
        </w:rPr>
        <w:t>12]</w:t>
        <w:tab/>
      </w:r>
      <w:r>
        <w:rPr>
          <w:kern w:val="0"/>
          <w:sz w:val="18"/>
          <w:szCs w:val="18"/>
        </w:rPr>
        <w:t>李华山</w:t>
      </w:r>
      <w:r>
        <w:rPr>
          <w:kern w:val="0"/>
          <w:sz w:val="18"/>
          <w:szCs w:val="18"/>
        </w:rPr>
        <w:t xml:space="preserve">, </w:t>
      </w:r>
      <w:r>
        <w:rPr>
          <w:kern w:val="0"/>
          <w:sz w:val="18"/>
          <w:szCs w:val="18"/>
        </w:rPr>
        <w:t>王令宝</w:t>
      </w:r>
      <w:r>
        <w:rPr>
          <w:kern w:val="0"/>
          <w:sz w:val="18"/>
          <w:szCs w:val="18"/>
        </w:rPr>
        <w:t xml:space="preserve">, </w:t>
      </w:r>
      <w:r>
        <w:rPr>
          <w:kern w:val="0"/>
          <w:sz w:val="18"/>
          <w:szCs w:val="18"/>
        </w:rPr>
        <w:t>卜宪标</w:t>
      </w:r>
      <w:r>
        <w:rPr>
          <w:kern w:val="0"/>
          <w:sz w:val="18"/>
          <w:szCs w:val="18"/>
        </w:rPr>
        <w:t xml:space="preserve">, </w:t>
      </w:r>
      <w:r>
        <w:rPr>
          <w:kern w:val="0"/>
          <w:sz w:val="18"/>
          <w:szCs w:val="18"/>
        </w:rPr>
        <w:t>等</w:t>
      </w:r>
      <w:r>
        <w:rPr>
          <w:kern w:val="0"/>
          <w:sz w:val="18"/>
          <w:szCs w:val="18"/>
        </w:rPr>
        <w:t xml:space="preserve">. </w:t>
      </w:r>
      <w:r>
        <w:rPr>
          <w:kern w:val="0"/>
          <w:sz w:val="18"/>
          <w:szCs w:val="18"/>
        </w:rPr>
        <w:t>提升管管径对有机工质气泡泵性能的影响分析</w:t>
      </w:r>
      <w:r>
        <w:rPr>
          <w:kern w:val="0"/>
          <w:sz w:val="18"/>
          <w:szCs w:val="18"/>
        </w:rPr>
        <w:t xml:space="preserve">[J]. </w:t>
      </w:r>
      <w:r>
        <w:rPr>
          <w:kern w:val="0"/>
          <w:sz w:val="18"/>
          <w:szCs w:val="18"/>
        </w:rPr>
        <w:t>新能源进展</w:t>
      </w:r>
      <w:r>
        <w:rPr>
          <w:kern w:val="0"/>
          <w:sz w:val="18"/>
          <w:szCs w:val="18"/>
        </w:rPr>
        <w:t>, 2016, 4(1): 56-61.</w:t>
        <w:br/>
        <w:t xml:space="preserve">LI Huashan, WANG Lingbao, BU </w:t>
      </w:r>
      <w:r>
        <w:rPr>
          <w:kern w:val="0"/>
          <w:sz w:val="18"/>
          <w:szCs w:val="18"/>
        </w:rPr>
        <w:t>Xianbiao, et al. Effects of lift-tube diameter on performance of bubble pump with organic working fluids[J]. Advances in New and Renewable Energy, 2016, 4(1): 56-61.</w:t>
      </w:r>
    </w:p>
    <w:p>
      <w:pPr>
        <w:pStyle w:val="22"/>
        <w:snapToGrid w:val="true"/>
        <w:spacing w:lineRule="auto" w:line="240"/>
        <w:ind w:left="485" w:hanging="485"/>
        <w:rPr/>
      </w:pPr>
      <w:r>
        <w:rPr>
          <w:kern w:val="0"/>
          <w:sz w:val="18"/>
          <w:szCs w:val="18"/>
        </w:rPr>
        <w:t>[</w:t>
      </w:r>
      <w:r>
        <w:rPr>
          <w:rFonts w:eastAsia="E-BZ+ZEIBDO-3;宋体"/>
          <w:kern w:val="0"/>
          <w:sz w:val="18"/>
          <w:szCs w:val="18"/>
        </w:rPr>
        <w:t>13]</w:t>
        <w:tab/>
        <w:t>MUDDE Robert F. Gravity-driven bubbly flows[J]. Annual Review of Fluid Mechanics, 2005, 37: 393-423.</w:t>
      </w:r>
    </w:p>
    <w:p>
      <w:pPr>
        <w:pStyle w:val="22"/>
        <w:snapToGrid w:val="true"/>
        <w:spacing w:lineRule="auto" w:line="240"/>
        <w:ind w:left="485" w:hanging="485"/>
        <w:rPr>
          <w:rFonts w:eastAsia="E-BZ+ZEIBDO-3;宋体"/>
          <w:kern w:val="0"/>
          <w:sz w:val="18"/>
          <w:szCs w:val="18"/>
        </w:rPr>
      </w:pPr>
      <w:r>
        <w:rPr>
          <w:rFonts w:eastAsia="E-BZ+ZEIBDO-3;宋体"/>
          <w:kern w:val="0"/>
          <w:sz w:val="18"/>
          <w:szCs w:val="18"/>
        </w:rPr>
        <w:t>[14]</w:t>
        <w:tab/>
        <w:t>ZHANG Tongwang, WANG Jinfu, LUO Zi, et al. Multiphase flow characteristics of a novel internal-loop airlift reactor[J]. Chemical Engineering Journal, 2005, 109(1/2/3): 115-122.</w:t>
      </w:r>
    </w:p>
    <w:p>
      <w:pPr>
        <w:pStyle w:val="22"/>
        <w:snapToGrid w:val="true"/>
        <w:spacing w:lineRule="auto" w:line="240"/>
        <w:ind w:left="485" w:hanging="485"/>
        <w:rPr/>
      </w:pPr>
      <w:r>
        <w:rPr>
          <w:rFonts w:eastAsia="E-BZ+ZEIBDO-3;宋体"/>
          <w:kern w:val="0"/>
          <w:sz w:val="18"/>
          <w:szCs w:val="18"/>
        </w:rPr>
        <w:t>[</w:t>
      </w:r>
      <w:r>
        <w:rPr>
          <w:rFonts w:eastAsia="E-BZ+ZEIBDO-3;宋体"/>
          <w:kern w:val="0"/>
          <w:sz w:val="18"/>
          <w:szCs w:val="18"/>
        </w:rPr>
        <w:t>15]</w:t>
        <w:tab/>
      </w:r>
      <w:r>
        <w:rPr>
          <w:rFonts w:eastAsia="E-BZ+ZEIBDO-3;宋体"/>
          <w:kern w:val="0"/>
          <w:sz w:val="18"/>
          <w:szCs w:val="18"/>
        </w:rPr>
        <w:t>张立英</w:t>
      </w:r>
      <w:r>
        <w:rPr>
          <w:rFonts w:eastAsia="E-BZ+ZEIBDO-3;宋体"/>
          <w:kern w:val="0"/>
          <w:sz w:val="18"/>
          <w:szCs w:val="18"/>
        </w:rPr>
        <w:t xml:space="preserve">, </w:t>
      </w:r>
      <w:r>
        <w:rPr>
          <w:rFonts w:eastAsia="E-BZ+ZEIBDO-3;宋体"/>
          <w:kern w:val="0"/>
          <w:sz w:val="18"/>
          <w:szCs w:val="18"/>
        </w:rPr>
        <w:t>黄青山</w:t>
      </w:r>
      <w:r>
        <w:rPr>
          <w:rFonts w:eastAsia="E-BZ+ZEIBDO-3;宋体"/>
          <w:kern w:val="0"/>
          <w:sz w:val="18"/>
          <w:szCs w:val="18"/>
        </w:rPr>
        <w:t xml:space="preserve">. </w:t>
      </w:r>
      <w:r>
        <w:rPr>
          <w:rFonts w:eastAsia="E-BZ+ZEIBDO-3;宋体"/>
          <w:kern w:val="0"/>
          <w:sz w:val="18"/>
          <w:szCs w:val="18"/>
        </w:rPr>
        <w:t>气升式环流反应器的理论研究进展</w:t>
      </w:r>
      <w:r>
        <w:rPr>
          <w:rFonts w:eastAsia="E-BZ+ZEIBDO-3;宋体"/>
          <w:kern w:val="0"/>
          <w:sz w:val="18"/>
          <w:szCs w:val="18"/>
        </w:rPr>
        <w:t xml:space="preserve">[J]. </w:t>
      </w:r>
      <w:r>
        <w:rPr>
          <w:rFonts w:eastAsia="E-BZ+ZEIBDO-3;宋体"/>
          <w:kern w:val="0"/>
          <w:sz w:val="18"/>
          <w:szCs w:val="18"/>
        </w:rPr>
        <w:t>过程工程学报</w:t>
      </w:r>
      <w:r>
        <w:rPr>
          <w:rFonts w:eastAsia="E-BZ+ZEIBDO-3;宋体"/>
          <w:kern w:val="0"/>
          <w:sz w:val="18"/>
          <w:szCs w:val="18"/>
        </w:rPr>
        <w:t>, 2011, 11(1): 162-173.</w:t>
        <w:br/>
        <w:t xml:space="preserve">ZHANG Liying, HUANG </w:t>
      </w:r>
      <w:r>
        <w:rPr>
          <w:rFonts w:eastAsia="E-BZ+ZEIBDO-3;宋体"/>
          <w:kern w:val="0"/>
          <w:sz w:val="18"/>
          <w:szCs w:val="18"/>
        </w:rPr>
        <w:t>Qingshan. Research progress in the modeling theory of airlift loop reactor[J]. The Chinese Journal of Process Engineering, 2011, 11(1): 162-173.</w:t>
      </w:r>
    </w:p>
    <w:p>
      <w:pPr>
        <w:pStyle w:val="22"/>
        <w:snapToGrid w:val="true"/>
        <w:spacing w:lineRule="auto" w:line="240"/>
        <w:ind w:left="485" w:hanging="485"/>
        <w:rPr/>
      </w:pPr>
      <w:r>
        <w:rPr>
          <w:rFonts w:eastAsia="E-BZ+ZEIBDO-3;宋体"/>
          <w:kern w:val="0"/>
          <w:sz w:val="18"/>
          <w:szCs w:val="18"/>
        </w:rPr>
        <w:t>[</w:t>
      </w:r>
      <w:r>
        <w:rPr>
          <w:rFonts w:eastAsia="E-BZ+ZEIBDO-3;宋体"/>
          <w:spacing w:val="-4"/>
          <w:kern w:val="0"/>
          <w:sz w:val="18"/>
          <w:szCs w:val="18"/>
        </w:rPr>
        <w:t>16]</w:t>
        <w:tab/>
        <w:t>MÜLLER-STEINHAGEN H, HECK K. A simple friction pressure drop correlation for two-phase flow in pipes[J]. Chemical Engineering and Processing: Process Intensification, 1986, 20(6): 297-308.</w:t>
      </w:r>
    </w:p>
    <w:p>
      <w:pPr>
        <w:pStyle w:val="22"/>
        <w:snapToGrid w:val="true"/>
        <w:spacing w:lineRule="auto" w:line="240"/>
        <w:ind w:left="485" w:hanging="485"/>
        <w:rPr>
          <w:rFonts w:eastAsia="E-BZ+ZEIBDO-3;宋体"/>
          <w:kern w:val="0"/>
          <w:sz w:val="18"/>
          <w:szCs w:val="18"/>
        </w:rPr>
      </w:pPr>
      <w:r>
        <w:rPr>
          <w:rFonts w:eastAsia="E-BZ+ZEIBDO-3;宋体"/>
          <w:kern w:val="0"/>
          <w:sz w:val="18"/>
          <w:szCs w:val="18"/>
        </w:rPr>
        <w:t>[17]</w:t>
      </w:r>
      <w:r>
        <w:rPr>
          <w:rFonts w:eastAsia="E-BZ+ZEIBDO-3;宋体"/>
          <w:kern w:val="0"/>
          <w:sz w:val="18"/>
          <w:szCs w:val="18"/>
        </w:rPr>
        <w:tab/>
      </w:r>
      <w:r>
        <w:rPr>
          <w:rFonts w:eastAsia="E-BZ+ZEIBDO-3;宋体"/>
          <w:kern w:val="0"/>
          <w:sz w:val="18"/>
          <w:szCs w:val="18"/>
        </w:rPr>
        <w:t>LOMBARDI C</w:t>
      </w:r>
      <w:r>
        <w:rPr>
          <w:kern w:val="0"/>
          <w:sz w:val="18"/>
          <w:szCs w:val="18"/>
        </w:rPr>
        <w:t xml:space="preserve">, </w:t>
      </w:r>
      <w:r>
        <w:rPr>
          <w:rFonts w:eastAsia="E-BZ+ZEIBDO-3;宋体"/>
          <w:kern w:val="0"/>
          <w:sz w:val="18"/>
          <w:szCs w:val="18"/>
        </w:rPr>
        <w:t>CARSANA C. Dimensionless pressure drop correlation for two-phase mixtures flowing up-flow in vertical ducts covering wide parameter ranges[J]. Heat and Technology</w:t>
      </w:r>
      <w:r>
        <w:rPr>
          <w:kern w:val="0"/>
          <w:sz w:val="18"/>
          <w:szCs w:val="18"/>
        </w:rPr>
        <w:t xml:space="preserve">, </w:t>
      </w:r>
      <w:r>
        <w:rPr>
          <w:rFonts w:eastAsia="E-BZ+ZEIBDO-3;宋体"/>
          <w:kern w:val="0"/>
          <w:sz w:val="18"/>
          <w:szCs w:val="18"/>
        </w:rPr>
        <w:t>1992</w:t>
      </w:r>
      <w:r>
        <w:rPr>
          <w:kern w:val="0"/>
          <w:sz w:val="18"/>
          <w:szCs w:val="18"/>
        </w:rPr>
        <w:t xml:space="preserve">, </w:t>
      </w:r>
      <w:r>
        <w:rPr>
          <w:rFonts w:eastAsia="E-BZ+ZEIBDO-3;宋体"/>
          <w:kern w:val="0"/>
          <w:sz w:val="18"/>
          <w:szCs w:val="18"/>
        </w:rPr>
        <w:t>10</w:t>
      </w:r>
      <w:r>
        <w:rPr>
          <w:rFonts w:eastAsia="E-BZ+ZEIBDO-3;宋体"/>
          <w:kern w:val="0"/>
          <w:sz w:val="18"/>
          <w:szCs w:val="18"/>
        </w:rPr>
        <w:t>(1)</w:t>
      </w:r>
      <w:r>
        <w:rPr>
          <w:sz w:val="18"/>
          <w:szCs w:val="18"/>
        </w:rPr>
        <w:t xml:space="preserve">: </w:t>
      </w:r>
      <w:r>
        <w:rPr>
          <w:rFonts w:eastAsia="E-BZ+ZEIBDO-3;宋体"/>
          <w:kern w:val="0"/>
          <w:sz w:val="18"/>
          <w:szCs w:val="18"/>
        </w:rPr>
        <w:t>125-141</w:t>
      </w:r>
      <w:r>
        <w:rPr>
          <w:kern w:val="0"/>
          <w:sz w:val="18"/>
          <w:szCs w:val="18"/>
        </w:rPr>
        <w:t xml:space="preserve">. </w:t>
      </w:r>
    </w:p>
    <w:p>
      <w:pPr>
        <w:pStyle w:val="22"/>
        <w:snapToGrid w:val="true"/>
        <w:spacing w:lineRule="auto" w:line="240"/>
        <w:ind w:left="485" w:hanging="485"/>
        <w:rPr>
          <w:rFonts w:eastAsia="E-BZ+ZEIBDO-3;宋体"/>
          <w:kern w:val="0"/>
          <w:sz w:val="18"/>
          <w:szCs w:val="18"/>
        </w:rPr>
      </w:pPr>
      <w:r>
        <w:rPr>
          <w:rFonts w:eastAsia="E-BZ+ZEIBDO-3;宋体"/>
          <w:kern w:val="0"/>
          <w:sz w:val="18"/>
          <w:szCs w:val="18"/>
        </w:rPr>
        <w:t>[18]</w:t>
      </w:r>
      <w:r>
        <w:rPr>
          <w:rFonts w:eastAsia="E-BZ+ZEIBDO-3;宋体"/>
          <w:kern w:val="0"/>
          <w:sz w:val="18"/>
          <w:szCs w:val="18"/>
        </w:rPr>
        <w:tab/>
      </w:r>
      <w:r>
        <w:rPr>
          <w:rFonts w:eastAsia="E-BZ+ZEIBDO-3;宋体"/>
          <w:kern w:val="0"/>
          <w:sz w:val="18"/>
          <w:szCs w:val="18"/>
        </w:rPr>
        <w:t>LOCKHART R</w:t>
      </w:r>
      <w:r>
        <w:rPr>
          <w:kern w:val="0"/>
          <w:sz w:val="18"/>
          <w:szCs w:val="18"/>
        </w:rPr>
        <w:t xml:space="preserve">, </w:t>
      </w:r>
      <w:r>
        <w:rPr>
          <w:rFonts w:eastAsia="E-BZ+ZEIBDO-3;宋体"/>
          <w:kern w:val="0"/>
          <w:sz w:val="18"/>
          <w:szCs w:val="18"/>
        </w:rPr>
        <w:t>MARTINELLI R. Proposed correlation of data for isothermal two-phase, two-component flow in pipes[J]</w:t>
      </w:r>
      <w:r>
        <w:rPr>
          <w:rFonts w:eastAsia="E-BZ+ZEIBDO-3;宋体"/>
          <w:kern w:val="0"/>
          <w:sz w:val="18"/>
          <w:szCs w:val="18"/>
        </w:rPr>
        <w:t xml:space="preserve">. </w:t>
      </w:r>
      <w:r>
        <w:rPr>
          <w:rFonts w:eastAsia="E-BZ+ZEIBDO-3;宋体"/>
          <w:kern w:val="0"/>
          <w:sz w:val="18"/>
          <w:szCs w:val="18"/>
        </w:rPr>
        <w:t>Chemical Engineering Progress</w:t>
      </w:r>
      <w:r>
        <w:rPr>
          <w:kern w:val="0"/>
          <w:sz w:val="18"/>
          <w:szCs w:val="18"/>
        </w:rPr>
        <w:t xml:space="preserve">, </w:t>
      </w:r>
      <w:r>
        <w:rPr>
          <w:rFonts w:eastAsia="E-BZ+ZEIBDO-3;宋体"/>
          <w:kern w:val="0"/>
          <w:sz w:val="18"/>
          <w:szCs w:val="18"/>
        </w:rPr>
        <w:t>1949</w:t>
      </w:r>
      <w:r>
        <w:rPr>
          <w:kern w:val="0"/>
          <w:sz w:val="18"/>
          <w:szCs w:val="18"/>
        </w:rPr>
        <w:t xml:space="preserve">, </w:t>
      </w:r>
      <w:r>
        <w:rPr>
          <w:rFonts w:eastAsia="E-BZ+ZEIBDO-3;宋体"/>
          <w:kern w:val="0"/>
          <w:sz w:val="18"/>
          <w:szCs w:val="18"/>
        </w:rPr>
        <w:t>45</w:t>
      </w:r>
      <w:r>
        <w:rPr>
          <w:rFonts w:eastAsia="E-BZ+ZEIBDO-3;宋体"/>
          <w:kern w:val="0"/>
          <w:sz w:val="18"/>
          <w:szCs w:val="18"/>
        </w:rPr>
        <w:t>(</w:t>
      </w:r>
      <w:r>
        <w:rPr>
          <w:rFonts w:eastAsia="E-BZ+ZEIBDO-3;宋体"/>
          <w:kern w:val="0"/>
          <w:sz w:val="18"/>
          <w:szCs w:val="18"/>
        </w:rPr>
        <w:t>1</w:t>
      </w:r>
      <w:r>
        <w:rPr>
          <w:rFonts w:eastAsia="E-BZ+ZEIBDO-3;宋体"/>
          <w:kern w:val="0"/>
          <w:sz w:val="18"/>
          <w:szCs w:val="18"/>
        </w:rPr>
        <w:t>)</w:t>
      </w:r>
      <w:r>
        <w:rPr>
          <w:rFonts w:eastAsia="E-BZ+ZEIBDO-3;宋体"/>
          <w:kern w:val="0"/>
          <w:sz w:val="18"/>
          <w:szCs w:val="18"/>
        </w:rPr>
        <w:t>: 39-48</w:t>
      </w:r>
      <w:r>
        <w:rPr>
          <w:kern w:val="0"/>
          <w:sz w:val="18"/>
          <w:szCs w:val="18"/>
        </w:rPr>
        <w:t xml:space="preserve">. </w:t>
      </w:r>
    </w:p>
    <w:p>
      <w:pPr>
        <w:pStyle w:val="22"/>
        <w:snapToGrid w:val="true"/>
        <w:spacing w:lineRule="auto" w:line="240"/>
        <w:ind w:left="485" w:hanging="485"/>
        <w:rPr/>
      </w:pPr>
      <w:r>
        <w:rPr>
          <w:rFonts w:eastAsia="E-BZ+ZEIBDO-3;宋体"/>
          <w:kern w:val="0"/>
          <w:sz w:val="18"/>
          <w:szCs w:val="18"/>
        </w:rPr>
        <w:t>[19]</w:t>
        <w:tab/>
        <w:t>FRIEDEL L. Improved friction pressure drop correlation for horizontal and vertical two-phase pipe flow[C]</w:t>
      </w:r>
      <w:r>
        <w:rPr>
          <w:rFonts w:eastAsia="E-BZ+ZEIBDO-3;宋体"/>
          <w:kern w:val="0"/>
          <w:sz w:val="18"/>
          <w:szCs w:val="18"/>
        </w:rPr>
        <w:t>//</w:t>
      </w:r>
      <w:r>
        <w:rPr>
          <w:rFonts w:eastAsia="E-BZ+ZEIBDO-3;宋体"/>
          <w:kern w:val="0"/>
          <w:sz w:val="18"/>
          <w:szCs w:val="18"/>
        </w:rPr>
        <w:t>European Two-Phase Flow Group Meeting, 1979</w:t>
      </w:r>
    </w:p>
    <w:p>
      <w:pPr>
        <w:pStyle w:val="22"/>
        <w:snapToGrid w:val="true"/>
        <w:spacing w:lineRule="auto" w:line="240"/>
        <w:ind w:left="485" w:hanging="485"/>
        <w:rPr/>
      </w:pPr>
      <w:r>
        <w:rPr>
          <w:rFonts w:eastAsia="E-BZ+ZEIBDO-3;宋体"/>
          <w:kern w:val="0"/>
          <w:sz w:val="18"/>
          <w:szCs w:val="18"/>
        </w:rPr>
        <w:t>[</w:t>
      </w:r>
      <w:r>
        <w:rPr>
          <w:spacing w:val="-6"/>
          <w:kern w:val="0"/>
          <w:sz w:val="18"/>
          <w:szCs w:val="18"/>
        </w:rPr>
        <w:t>20]</w:t>
        <w:tab/>
      </w:r>
      <w:r>
        <w:rPr>
          <w:spacing w:val="-6"/>
          <w:kern w:val="0"/>
          <w:sz w:val="18"/>
          <w:szCs w:val="18"/>
        </w:rPr>
        <w:t>林宗虎</w:t>
      </w:r>
      <w:r>
        <w:rPr>
          <w:spacing w:val="-6"/>
          <w:kern w:val="0"/>
          <w:sz w:val="18"/>
          <w:szCs w:val="18"/>
        </w:rPr>
        <w:t xml:space="preserve">. </w:t>
      </w:r>
      <w:r>
        <w:rPr>
          <w:spacing w:val="-6"/>
          <w:kern w:val="0"/>
          <w:sz w:val="18"/>
          <w:szCs w:val="18"/>
        </w:rPr>
        <w:t>气液两相流和沸腾传热</w:t>
      </w:r>
      <w:r>
        <w:rPr>
          <w:spacing w:val="-6"/>
          <w:kern w:val="0"/>
          <w:sz w:val="18"/>
          <w:szCs w:val="18"/>
        </w:rPr>
        <w:t xml:space="preserve">[M]. </w:t>
      </w:r>
      <w:r>
        <w:rPr>
          <w:spacing w:val="-6"/>
          <w:kern w:val="0"/>
          <w:sz w:val="18"/>
          <w:szCs w:val="18"/>
        </w:rPr>
        <w:t>西安</w:t>
      </w:r>
      <w:r>
        <w:rPr>
          <w:spacing w:val="-6"/>
          <w:kern w:val="0"/>
          <w:sz w:val="18"/>
          <w:szCs w:val="18"/>
        </w:rPr>
        <w:t xml:space="preserve">: </w:t>
      </w:r>
      <w:r>
        <w:rPr>
          <w:spacing w:val="-6"/>
          <w:kern w:val="0"/>
          <w:sz w:val="18"/>
          <w:szCs w:val="18"/>
        </w:rPr>
        <w:t>西安交通大学出版社</w:t>
      </w:r>
      <w:r>
        <w:rPr>
          <w:spacing w:val="-6"/>
          <w:kern w:val="0"/>
          <w:sz w:val="18"/>
          <w:szCs w:val="18"/>
        </w:rPr>
        <w:t>, 2003.</w:t>
        <w:br/>
      </w:r>
      <w:r>
        <w:rPr>
          <w:spacing w:val="-6"/>
          <w:kern w:val="0"/>
          <w:sz w:val="18"/>
          <w:szCs w:val="18"/>
        </w:rPr>
        <w:t xml:space="preserve">LIN Zonghu. </w:t>
      </w:r>
      <w:r>
        <w:rPr>
          <w:spacing w:val="-6"/>
          <w:kern w:val="0"/>
          <w:sz w:val="18"/>
          <w:szCs w:val="18"/>
          <w:u w:val="single" w:color="0000FA"/>
        </w:rPr>
        <w:t>Gas-liquid two-phase flow and boiling heat transfer</w:t>
      </w:r>
      <w:r>
        <w:rPr>
          <w:spacing w:val="-6"/>
          <w:kern w:val="0"/>
          <w:sz w:val="18"/>
          <w:szCs w:val="18"/>
        </w:rPr>
        <w:t>[M]. Xi</w:t>
      </w:r>
      <w:r>
        <w:rPr>
          <w:rFonts w:eastAsia="E-BZ+ZEIBDO-3;宋体"/>
          <w:kern w:val="0"/>
          <w:sz w:val="18"/>
          <w:szCs w:val="18"/>
        </w:rPr>
        <w:t>’</w:t>
      </w:r>
      <w:r>
        <w:rPr>
          <w:spacing w:val="-6"/>
          <w:kern w:val="0"/>
          <w:sz w:val="18"/>
          <w:szCs w:val="18"/>
        </w:rPr>
        <w:t>an: Xi</w:t>
      </w:r>
      <w:r>
        <w:rPr>
          <w:rFonts w:eastAsia="E-BZ+ZEIBDO-3;宋体"/>
          <w:kern w:val="0"/>
          <w:sz w:val="18"/>
          <w:szCs w:val="18"/>
        </w:rPr>
        <w:t>’</w:t>
      </w:r>
      <w:r>
        <w:rPr>
          <w:spacing w:val="-6"/>
          <w:kern w:val="0"/>
          <w:sz w:val="18"/>
          <w:szCs w:val="18"/>
        </w:rPr>
        <w:t>an Jiaotong University Press, 2003.</w:t>
      </w:r>
    </w:p>
    <w:p>
      <w:pPr>
        <w:pStyle w:val="22"/>
        <w:snapToGrid w:val="true"/>
        <w:spacing w:lineRule="auto" w:line="240"/>
        <w:ind w:left="452" w:hanging="452"/>
        <w:rPr>
          <w:spacing w:val="-6"/>
          <w:kern w:val="0"/>
          <w:sz w:val="18"/>
          <w:szCs w:val="18"/>
        </w:rPr>
      </w:pPr>
      <w:r>
        <w:rPr>
          <w:spacing w:val="-6"/>
          <w:kern w:val="0"/>
          <w:sz w:val="18"/>
          <w:szCs w:val="18"/>
        </w:rPr>
      </w:r>
    </w:p>
    <w:sectPr>
      <w:footnotePr>
        <w:numFmt w:val="decimal"/>
      </w:footnotePr>
      <w:type w:val="nextPage"/>
      <w:pgSz w:w="11906" w:h="16838"/>
      <w:pgMar w:left="1134" w:right="1134" w:gutter="0" w:header="0" w:top="1418" w:footer="0" w:bottom="1134"/>
      <w:pgNumType w:fmt="decimal"/>
      <w:formProt w:val="false"/>
      <w:textDirection w:val="lrTb"/>
      <w:docGrid w:type="linesAndChars" w:linePitch="324" w:charSpace="429496709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KYGS">
    <w:altName w:val="Times New Roman"/>
    <w:charset w:val="00"/>
    <w:family w:val="roman"/>
    <w:pitch w:val="variable"/>
  </w:font>
  <w:font w:name="宋体">
    <w:altName w:val="SimSun"/>
    <w:charset w:val="86"/>
    <w:family w:val="auto"/>
    <w:pitch w:val="variable"/>
  </w:font>
  <w:font w:name="黑体">
    <w:altName w:val="SimHei"/>
    <w:charset w:val="86"/>
    <w:family w:val="modern"/>
    <w:pitch w:val="default"/>
  </w:font>
  <w:font w:name="仿宋">
    <w:charset w:val="86"/>
    <w:family w:val="modern"/>
    <w:pitch w:val="default"/>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Style14"/>
        <w:spacing w:lineRule="auto" w:line="240"/>
        <w:rPr>
          <w:sz w:val="18"/>
        </w:rPr>
      </w:pPr>
      <w:r>
        <w:rPr>
          <w:rStyle w:val="FootnoteCharacters"/>
        </w:rPr>
        <w:footnoteRef/>
      </w:r>
      <w:r>
        <w:rPr>
          <w:rFonts w:ascii="黑体;SimHei" w:hAnsi="黑体;SimHei" w:cs="黑体;SimHei" w:eastAsia="黑体;SimHei"/>
          <w:sz w:val="18"/>
        </w:rPr>
        <w:t>收稿日期：</w:t>
      </w:r>
      <w:r>
        <w:rPr>
          <w:color w:val="0C03BD"/>
          <w:sz w:val="18"/>
        </w:rPr>
        <w:t>****-**-**</w:t>
      </w:r>
      <w:r>
        <w:rPr>
          <w:rFonts w:cs="宋体;SimSun"/>
          <w:sz w:val="18"/>
        </w:rPr>
        <w:t>；</w:t>
      </w:r>
      <w:r>
        <w:rPr>
          <w:rFonts w:ascii="黑体;SimHei" w:hAnsi="黑体;SimHei" w:cs="黑体;SimHei" w:eastAsia="黑体;SimHei"/>
          <w:sz w:val="18"/>
        </w:rPr>
        <w:t>修改稿日期：</w:t>
      </w:r>
      <w:r>
        <w:rPr>
          <w:color w:val="0C03BD"/>
          <w:sz w:val="18"/>
        </w:rPr>
        <w:t>****-**-**</w:t>
      </w:r>
      <w:r>
        <w:rPr>
          <w:rFonts w:cs="宋体;SimSun"/>
          <w:sz w:val="18"/>
        </w:rPr>
        <w:t>。</w:t>
      </w:r>
    </w:p>
    <w:p>
      <w:pPr>
        <w:pStyle w:val="Style14"/>
        <w:spacing w:lineRule="auto" w:line="240"/>
        <w:rPr>
          <w:rFonts w:ascii="黑体;SimHei" w:hAnsi="黑体;SimHei" w:eastAsia="黑体;SimHei"/>
          <w:sz w:val="18"/>
        </w:rPr>
      </w:pPr>
      <w:r>
        <w:rPr>
          <w:rFonts w:ascii="黑体;SimHei" w:hAnsi="黑体;SimHei" w:cs="黑体;SimHei" w:eastAsia="黑体;SimHei"/>
          <w:sz w:val="18"/>
        </w:rPr>
        <w:t>基金项目：</w:t>
      </w:r>
      <w:r>
        <w:rPr>
          <w:sz w:val="18"/>
          <w:szCs w:val="15"/>
        </w:rPr>
        <w:t>国家自然科学基金（</w:t>
      </w:r>
      <w:r>
        <w:rPr>
          <w:sz w:val="18"/>
          <w:szCs w:val="15"/>
        </w:rPr>
        <w:t>1571665125</w:t>
      </w:r>
      <w:r>
        <w:rPr>
          <w:sz w:val="18"/>
          <w:szCs w:val="15"/>
        </w:rPr>
        <w:t>，</w:t>
      </w:r>
      <w:r>
        <w:rPr>
          <w:sz w:val="18"/>
          <w:szCs w:val="15"/>
        </w:rPr>
        <w:t>1571665125</w:t>
      </w:r>
      <w:r>
        <w:rPr>
          <w:sz w:val="18"/>
          <w:szCs w:val="15"/>
        </w:rPr>
        <w:t>，</w:t>
      </w:r>
      <w:r>
        <w:rPr>
          <w:sz w:val="18"/>
          <w:szCs w:val="15"/>
        </w:rPr>
        <w:t>1571665125</w:t>
      </w:r>
      <w:r>
        <w:rPr>
          <w:sz w:val="18"/>
          <w:szCs w:val="15"/>
        </w:rPr>
        <w:t>）；上海市研究生创新基金（</w:t>
      </w:r>
      <w:r>
        <w:rPr>
          <w:sz w:val="18"/>
          <w:szCs w:val="15"/>
        </w:rPr>
        <w:t>JWCXSL1302</w:t>
      </w:r>
      <w:r>
        <w:rPr>
          <w:sz w:val="18"/>
          <w:szCs w:val="15"/>
        </w:rPr>
        <w:t>，</w:t>
      </w:r>
      <w:r>
        <w:rPr>
          <w:sz w:val="18"/>
          <w:szCs w:val="15"/>
        </w:rPr>
        <w:t>1571665125</w:t>
      </w:r>
      <w:r>
        <w:rPr>
          <w:sz w:val="18"/>
          <w:szCs w:val="15"/>
        </w:rPr>
        <w:t>）；上海市教育委员会科研创新项目（</w:t>
      </w:r>
      <w:r>
        <w:rPr>
          <w:sz w:val="18"/>
          <w:szCs w:val="15"/>
        </w:rPr>
        <w:t>13ZZ117</w:t>
      </w:r>
      <w:r>
        <w:rPr>
          <w:sz w:val="18"/>
          <w:szCs w:val="15"/>
        </w:rPr>
        <w:t>）</w:t>
      </w:r>
      <w:r>
        <w:rPr>
          <w:rFonts w:cs="宋体;SimSun"/>
          <w:sz w:val="18"/>
        </w:rPr>
        <w:t>。</w:t>
      </w:r>
    </w:p>
    <w:p>
      <w:pPr>
        <w:pStyle w:val="Style14"/>
        <w:spacing w:lineRule="auto" w:line="240"/>
        <w:rPr>
          <w:sz w:val="18"/>
        </w:rPr>
      </w:pPr>
      <w:r>
        <w:rPr>
          <w:rFonts w:ascii="黑体;SimHei" w:hAnsi="黑体;SimHei" w:cs="黑体;SimHei" w:eastAsia="黑体;SimHei"/>
          <w:sz w:val="18"/>
        </w:rPr>
        <w:t>第一作者：</w:t>
      </w:r>
      <w:r>
        <w:rPr>
          <w:sz w:val="18"/>
        </w:rPr>
        <w:t>谢育博（</w:t>
      </w:r>
      <w:r>
        <w:rPr>
          <w:sz w:val="18"/>
        </w:rPr>
        <w:t>1991</w:t>
      </w:r>
      <w:r>
        <w:rPr>
          <w:rFonts w:cs="宋体;SimSun" w:ascii="宋体;SimSun" w:hAnsi="宋体;SimSun"/>
          <w:sz w:val="18"/>
        </w:rPr>
        <w:t>—</w:t>
      </w:r>
      <w:r>
        <w:rPr>
          <w:sz w:val="18"/>
        </w:rPr>
        <w:t>），男，硕士研究生，研究方向为</w:t>
      </w:r>
      <w:r>
        <w:rPr>
          <w:sz w:val="18"/>
        </w:rPr>
        <w:t>流体力学</w:t>
      </w:r>
      <w:r>
        <w:rPr>
          <w:sz w:val="18"/>
        </w:rPr>
        <w:t>。</w:t>
      </w:r>
      <w:r>
        <w:rPr>
          <w:sz w:val="18"/>
        </w:rPr>
        <w:t>E-mail</w:t>
      </w:r>
      <w:r>
        <w:rPr>
          <w:sz w:val="18"/>
        </w:rPr>
        <w:t>：</w:t>
      </w:r>
      <w:r>
        <w:rPr>
          <w:sz w:val="18"/>
        </w:rPr>
        <w:t>aaaaa@usst.edu.cn</w:t>
      </w:r>
      <w:r>
        <w:rPr>
          <w:sz w:val="18"/>
        </w:rPr>
        <w:t>。</w:t>
      </w:r>
    </w:p>
    <w:p>
      <w:pPr>
        <w:pStyle w:val="Style14"/>
        <w:spacing w:lineRule="auto" w:line="240"/>
        <w:rPr>
          <w:rFonts w:cs="宋体;SimSun"/>
          <w:sz w:val="18"/>
        </w:rPr>
      </w:pPr>
      <w:r>
        <w:rPr>
          <w:rFonts w:ascii="黑体;SimHei" w:hAnsi="黑体;SimHei" w:cs="黑体;SimHei" w:eastAsia="黑体;SimHei"/>
          <w:sz w:val="18"/>
        </w:rPr>
        <w:t>通信作者：</w:t>
      </w:r>
      <w:r>
        <w:rPr>
          <w:sz w:val="18"/>
        </w:rPr>
        <w:t>刘道平，教授，博士生导师，</w:t>
      </w:r>
      <w:r>
        <w:rPr>
          <w:sz w:val="18"/>
        </w:rPr>
        <w:t>研究方向为流体力学</w:t>
      </w:r>
      <w:r>
        <w:rPr>
          <w:sz w:val="18"/>
        </w:rPr>
        <w:t>。</w:t>
      </w:r>
      <w:r>
        <w:rPr>
          <w:sz w:val="18"/>
        </w:rPr>
        <w:t>E-mail</w:t>
      </w:r>
      <w:r>
        <w:rPr>
          <w:sz w:val="18"/>
        </w:rPr>
        <w:t>：</w:t>
      </w:r>
      <w:r>
        <w:rPr>
          <w:sz w:val="18"/>
        </w:rPr>
        <w:t>bbbbb@usst.edu.cn</w:t>
      </w:r>
      <w:r>
        <w:rPr>
          <w:rFonts w:cs="宋体;SimSun"/>
          <w:sz w:val="18"/>
        </w:rPr>
        <w:t>。</w:t>
      </w:r>
    </w:p>
    <w:p>
      <w:pPr>
        <w:pStyle w:val="Normal"/>
        <w:rPr>
          <w:color w:val="FF0000"/>
        </w:rPr>
      </w:pPr>
      <w:r>
        <w:rPr>
          <w:b/>
          <w:color w:val="FF0000"/>
        </w:rPr>
        <w:t>收稿日期、修改稿日期（年</w:t>
      </w:r>
      <w:r>
        <w:rPr>
          <w:b/>
          <w:color w:val="FF0000"/>
        </w:rPr>
        <w:t>-</w:t>
      </w:r>
      <w:r>
        <w:rPr>
          <w:b/>
          <w:color w:val="FF0000"/>
        </w:rPr>
        <w:t>月</w:t>
      </w:r>
      <w:r>
        <w:rPr>
          <w:b/>
          <w:color w:val="FF0000"/>
        </w:rPr>
        <w:t>-</w:t>
      </w:r>
      <w:r>
        <w:rPr>
          <w:b/>
          <w:color w:val="FF0000"/>
        </w:rPr>
        <w:t>日）、基金项目、作者简介</w:t>
      </w:r>
      <w:r>
        <w:rPr>
          <w:color w:val="FF0000"/>
        </w:rPr>
        <w:t>放在文章首页下方，不要出现单位、地址、手机号码等。</w:t>
      </w:r>
    </w:p>
    <w:p>
      <w:pPr>
        <w:pStyle w:val="Normal"/>
        <w:rPr>
          <w:color w:val="FF0000"/>
        </w:rPr>
      </w:pPr>
      <w:r>
        <w:rPr>
          <w:color w:val="FF0000"/>
        </w:rPr>
        <w:t>国家自然科学基金等各资助基金项目应注明编号，用分号隔开。同名称基金多个编号用逗号隔开。</w:t>
      </w:r>
    </w:p>
    <w:p>
      <w:pPr>
        <w:pStyle w:val="Normal"/>
        <w:rPr>
          <w:color w:val="FF0000"/>
        </w:rPr>
      </w:pPr>
      <w:r>
        <w:rPr>
          <w:b/>
          <w:color w:val="FF0000"/>
        </w:rPr>
        <w:t>第一作者</w:t>
      </w:r>
      <w:r>
        <w:rPr>
          <w:color w:val="FF0000"/>
        </w:rPr>
        <w:t>简介应包括姓名、出生年、性别、学历、职称、研究方向和</w:t>
      </w:r>
      <w:r>
        <w:rPr>
          <w:color w:val="FF0000"/>
        </w:rPr>
        <w:t>E-</w:t>
      </w:r>
      <w:r>
        <w:rPr>
          <w:color w:val="FF0000"/>
        </w:rPr>
        <w:t>mail</w:t>
      </w:r>
      <w:r>
        <w:rPr>
          <w:color w:val="FF0000"/>
        </w:rPr>
        <w:t>。硕、博在读，应写为“硕士研究生”或“博士研究生”。已经毕业获得学历，直接写“硕士”或“博士”。</w:t>
      </w:r>
    </w:p>
    <w:p>
      <w:pPr>
        <w:pStyle w:val="Normal"/>
        <w:rPr>
          <w:color w:val="FF0000"/>
        </w:rPr>
      </w:pPr>
      <w:r>
        <w:rPr>
          <w:b/>
          <w:color w:val="FF0000"/>
        </w:rPr>
        <w:t>通信作者</w:t>
      </w:r>
      <w:r>
        <w:rPr>
          <w:color w:val="FF0000"/>
        </w:rPr>
        <w:t>应</w:t>
      </w:r>
      <w:r>
        <w:rPr>
          <w:color w:val="FF0000"/>
        </w:rPr>
        <w:t>为导师，</w:t>
      </w:r>
      <w:r>
        <w:rPr>
          <w:color w:val="FF0000"/>
        </w:rPr>
        <w:t>列出</w:t>
      </w:r>
      <w:r>
        <w:rPr>
          <w:color w:val="FF0000"/>
        </w:rPr>
        <w:t>职称</w:t>
      </w:r>
      <w:r>
        <w:rPr>
          <w:color w:val="FF0000"/>
        </w:rPr>
        <w:t>、</w:t>
      </w:r>
      <w:r>
        <w:rPr>
          <w:color w:val="FF0000"/>
        </w:rPr>
        <w:t>职务</w:t>
      </w:r>
      <w:r>
        <w:rPr>
          <w:color w:val="FF0000"/>
        </w:rPr>
        <w:t>、</w:t>
      </w:r>
      <w:r>
        <w:rPr>
          <w:color w:val="FF0000"/>
        </w:rPr>
        <w:t>研究方向和</w:t>
      </w:r>
      <w:r>
        <w:rPr>
          <w:color w:val="FF0000"/>
        </w:rPr>
        <w:t>E-</w:t>
      </w:r>
      <w:r>
        <w:rPr>
          <w:color w:val="FF0000"/>
        </w:rPr>
        <w:t>mail</w:t>
      </w:r>
      <w:r>
        <w:rPr>
          <w:color w:val="FF0000"/>
        </w:rPr>
        <w:t>地址。不使用“通讯作者”。</w:t>
      </w:r>
    </w:p>
    <w:p>
      <w:pPr>
        <w:pStyle w:val="Normal"/>
        <w:rPr/>
      </w:pPr>
      <w:r>
        <w:rPr>
          <w:color w:val="FF0000"/>
        </w:rPr>
        <w:t>这部分内容用文字书写放在首页下方，</w:t>
      </w:r>
      <w:r>
        <w:rPr>
          <w:b/>
          <w:color w:val="FF0000"/>
        </w:rPr>
        <w:t>采用对题目的“脚注”形式，</w:t>
      </w:r>
      <w:r>
        <w:rPr>
          <w:color w:val="FF0000"/>
        </w:rPr>
        <w:t>不要用页脚、文本框、表格等形式。</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footnotePr>
    <w:numFmt w:val="decimal"/>
    <w:footnote w:id="0"/>
    <w:footnote w:id="1"/>
  </w:footnotePr>
  <w:compat>
    <w:noLeading/>
    <w:doNotExpandShiftReturn/>
    <w:compatSetting w:name="compatibilityMode" w:uri="http://schemas.microsoft.com/office/word" w:val="14"/>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val="en-US" w:eastAsia="zh-CN" w:bidi="ar-SA"/>
    </w:rPr>
  </w:style>
  <w:style w:type="paragraph" w:styleId="Heading1">
    <w:name w:val="Heading 1"/>
    <w:basedOn w:val="Normal"/>
    <w:next w:val="Normal"/>
    <w:qFormat/>
    <w:pPr>
      <w:keepNext w:val="true"/>
      <w:numPr>
        <w:ilvl w:val="0"/>
        <w:numId w:val="1"/>
      </w:numPr>
      <w:ind w:firstLine="420"/>
      <w:jc w:val="center"/>
      <w:outlineLvl w:val="0"/>
    </w:pPr>
    <w:rPr>
      <w:bCs/>
      <w:sz w:val="32"/>
    </w:rPr>
  </w:style>
  <w:style w:type="paragraph" w:styleId="Heading2">
    <w:name w:val="Heading 2"/>
    <w:basedOn w:val="Normal"/>
    <w:next w:val="Normal"/>
    <w:qFormat/>
    <w:pPr>
      <w:keepNext w:val="true"/>
      <w:numPr>
        <w:ilvl w:val="1"/>
        <w:numId w:val="1"/>
      </w:numPr>
      <w:outlineLvl w:val="1"/>
    </w:pPr>
    <w:rPr>
      <w:b/>
      <w:iCs/>
    </w:rPr>
  </w:style>
  <w:style w:type="paragraph" w:styleId="Heading3">
    <w:name w:val="Heading 3"/>
    <w:basedOn w:val="Normal"/>
    <w:next w:val="Normal"/>
    <w:qFormat/>
    <w:pPr>
      <w:keepNext w:val="true"/>
      <w:numPr>
        <w:ilvl w:val="2"/>
        <w:numId w:val="1"/>
      </w:numPr>
      <w:outlineLvl w:val="2"/>
    </w:pPr>
    <w:rPr>
      <w:b/>
      <w:bCs/>
      <w:sz w:val="18"/>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rFonts w:ascii="Times New Roman" w:hAnsi="Times New Roman" w:cs="Times New Roman"/>
      <w:b w:val="false"/>
      <w:i w:val="false"/>
      <w:sz w:val="22"/>
    </w:rPr>
  </w:style>
  <w:style w:type="character" w:styleId="WW8Num5z0">
    <w:name w:val="WW8Num5z0"/>
    <w:qFormat/>
    <w:rPr/>
  </w:style>
  <w:style w:type="character" w:styleId="WW8Num7z0">
    <w:name w:val="WW8Num7z0"/>
    <w:qFormat/>
    <w:rPr/>
  </w:style>
  <w:style w:type="character" w:styleId="WW8Num8z0">
    <w:name w:val="WW8Num8z0"/>
    <w:qFormat/>
    <w:rPr/>
  </w:style>
  <w:style w:type="character" w:styleId="WW8Num9z0">
    <w:name w:val="WW8Num9z0"/>
    <w:qFormat/>
    <w:rPr/>
  </w:style>
  <w:style w:type="character" w:styleId="WW8Num10z0">
    <w:name w:val="WW8Num10z0"/>
    <w:qFormat/>
    <w:rPr/>
  </w:style>
  <w:style w:type="character" w:styleId="Style11">
    <w:name w:val="默认段落字体"/>
    <w:qFormat/>
    <w:rPr/>
  </w:style>
  <w:style w:type="character" w:styleId="FootnoteCharacters">
    <w:name w:val="Footnote Characters"/>
    <w:qFormat/>
    <w:rPr>
      <w:vertAlign w:val="superscript"/>
    </w:rPr>
  </w:style>
  <w:style w:type="character" w:styleId="Char">
    <w:name w:val="页脚 Char"/>
    <w:qFormat/>
    <w:rPr>
      <w:kern w:val="2"/>
      <w:sz w:val="18"/>
      <w:szCs w:val="18"/>
    </w:rPr>
  </w:style>
  <w:style w:type="character" w:styleId="StrongEmphasis">
    <w:name w:val="Strong"/>
    <w:qFormat/>
    <w:rPr>
      <w:b/>
      <w:bCs/>
    </w:rPr>
  </w:style>
  <w:style w:type="character" w:styleId="PageNumber">
    <w:name w:val="Page Number"/>
    <w:rPr/>
  </w:style>
  <w:style w:type="character" w:styleId="InternetLink">
    <w:name w:val="Hyperlink"/>
    <w:rPr>
      <w:color w:val="0563C1"/>
      <w:u w:val="single"/>
    </w:rPr>
  </w:style>
  <w:style w:type="character" w:styleId="Char1">
    <w:name w:val="图 Char"/>
    <w:qFormat/>
    <w:rPr>
      <w:kern w:val="2"/>
      <w:sz w:val="15"/>
      <w:szCs w:val="15"/>
    </w:rPr>
  </w:style>
  <w:style w:type="character" w:styleId="2CharChar">
    <w:name w:val="正文缩进2 Char Char"/>
    <w:qFormat/>
    <w:rPr>
      <w:kern w:val="2"/>
      <w:sz w:val="21"/>
      <w:szCs w:val="21"/>
    </w:rPr>
  </w:style>
  <w:style w:type="character" w:styleId="Char2">
    <w:name w:val="参考文献文 Char"/>
    <w:qFormat/>
    <w:rPr>
      <w:kern w:val="2"/>
      <w:sz w:val="15"/>
      <w:szCs w:val="15"/>
    </w:rPr>
  </w:style>
  <w:style w:type="character" w:styleId="Char3">
    <w:name w:val="批注框文本 Char"/>
    <w:qFormat/>
    <w:rPr>
      <w:kern w:val="2"/>
      <w:sz w:val="18"/>
      <w:szCs w:val="18"/>
    </w:rPr>
  </w:style>
  <w:style w:type="character" w:styleId="Style12">
    <w:name w:val="占位符文本"/>
    <w:qFormat/>
    <w:rPr>
      <w:color w:val="808080"/>
    </w:rPr>
  </w:style>
  <w:style w:type="character" w:styleId="FootnoteAnchor">
    <w:name w:val="Footnote Reference"/>
    <w:rPr>
      <w:vertAlign w:val="superscript"/>
    </w:rPr>
  </w:style>
  <w:style w:type="character" w:styleId="EndnoteAnchor">
    <w:name w:val="Endnote Reference"/>
    <w:rPr>
      <w:vertAlign w:val="superscript"/>
    </w:rPr>
  </w:style>
  <w:style w:type="character" w:styleId="EndnoteCharacters">
    <w:name w:val="Endnote Characters"/>
    <w:qFormat/>
    <w:rPr/>
  </w:style>
  <w:style w:type="paragraph" w:styleId="Heading">
    <w:name w:val="Heading"/>
    <w:basedOn w:val="Normal"/>
    <w:next w:val="TextBody"/>
    <w:qFormat/>
    <w:pPr>
      <w:keepNext w:val="true"/>
      <w:spacing w:before="240" w:after="120"/>
    </w:pPr>
    <w:rPr>
      <w:rFonts w:ascii="Liberation Sans" w:hAnsi="Liberation Sans" w:eastAsia="Noto Sans CJK SC" w:cs="FreeSans"/>
      <w:sz w:val="28"/>
      <w:szCs w:val="28"/>
    </w:rPr>
  </w:style>
  <w:style w:type="paragraph" w:styleId="TextBody">
    <w:name w:val="Body Text"/>
    <w:basedOn w:val="Normal"/>
    <w:pPr/>
    <w:rPr>
      <w:color w:val="FF0000"/>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Footnote">
    <w:name w:val="Footnote Text"/>
    <w:basedOn w:val="Normal"/>
    <w:pPr>
      <w:snapToGrid w:val="false"/>
      <w:jc w:val="lef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snapToGrid w:val="false"/>
      <w:jc w:val="center"/>
    </w:pPr>
    <w:rPr>
      <w:sz w:val="18"/>
      <w:szCs w:val="18"/>
    </w:rPr>
  </w:style>
  <w:style w:type="paragraph" w:styleId="TextBodyIndent">
    <w:name w:val="Body Text Indent"/>
    <w:basedOn w:val="Normal"/>
    <w:pPr>
      <w:ind w:firstLine="420"/>
      <w:jc w:val="center"/>
    </w:pPr>
    <w:rPr>
      <w:b/>
      <w:sz w:val="32"/>
    </w:rPr>
  </w:style>
  <w:style w:type="paragraph" w:styleId="Footer">
    <w:name w:val="Footer"/>
    <w:basedOn w:val="Normal"/>
    <w:pPr>
      <w:snapToGrid w:val="false"/>
      <w:jc w:val="left"/>
    </w:pPr>
    <w:rPr>
      <w:sz w:val="18"/>
      <w:szCs w:val="18"/>
    </w:rPr>
  </w:style>
  <w:style w:type="paragraph" w:styleId="Style13">
    <w:name w:val="参考文献"/>
    <w:basedOn w:val="Normal"/>
    <w:qFormat/>
    <w:pPr>
      <w:autoSpaceDE w:val="false"/>
      <w:snapToGrid w:val="false"/>
      <w:spacing w:lineRule="auto" w:line="300"/>
      <w:jc w:val="left"/>
      <w:textAlignment w:val="bottom"/>
    </w:pPr>
    <w:rPr>
      <w:sz w:val="15"/>
      <w:szCs w:val="15"/>
    </w:rPr>
  </w:style>
  <w:style w:type="paragraph" w:styleId="Style14">
    <w:name w:val="收稿日期"/>
    <w:basedOn w:val="Normal"/>
    <w:qFormat/>
    <w:pPr>
      <w:spacing w:lineRule="exact" w:line="220"/>
    </w:pPr>
    <w:rPr>
      <w:sz w:val="15"/>
      <w:szCs w:val="18"/>
    </w:rPr>
  </w:style>
  <w:style w:type="paragraph" w:styleId="Style15">
    <w:name w:val="图"/>
    <w:basedOn w:val="Normal"/>
    <w:qFormat/>
    <w:pPr>
      <w:spacing w:lineRule="atLeast" w:line="240" w:before="200" w:after="60"/>
      <w:jc w:val="center"/>
    </w:pPr>
    <w:rPr>
      <w:sz w:val="15"/>
      <w:szCs w:val="15"/>
    </w:rPr>
  </w:style>
  <w:style w:type="paragraph" w:styleId="2">
    <w:name w:val="正文缩进2"/>
    <w:basedOn w:val="Normal"/>
    <w:qFormat/>
    <w:pPr>
      <w:ind w:firstLine="200"/>
    </w:pPr>
    <w:rPr>
      <w:szCs w:val="21"/>
    </w:rPr>
  </w:style>
  <w:style w:type="paragraph" w:styleId="21">
    <w:name w:val="图题2"/>
    <w:basedOn w:val="Normal"/>
    <w:next w:val="Style16"/>
    <w:qFormat/>
    <w:pPr>
      <w:snapToGrid w:val="false"/>
      <w:spacing w:lineRule="atLeast" w:line="240" w:before="40" w:after="0"/>
      <w:jc w:val="center"/>
    </w:pPr>
    <w:rPr>
      <w:sz w:val="18"/>
      <w:szCs w:val="18"/>
    </w:rPr>
  </w:style>
  <w:style w:type="paragraph" w:styleId="Style16">
    <w:name w:val="图小字"/>
    <w:basedOn w:val="Normal"/>
    <w:qFormat/>
    <w:pPr>
      <w:snapToGrid w:val="false"/>
      <w:spacing w:lineRule="atLeast" w:line="240" w:before="40" w:after="200"/>
      <w:jc w:val="center"/>
    </w:pPr>
    <w:rPr>
      <w:kern w:val="0"/>
      <w:sz w:val="15"/>
      <w:szCs w:val="18"/>
      <w:lang w:bidi="en-US"/>
    </w:rPr>
  </w:style>
  <w:style w:type="paragraph" w:styleId="Style17">
    <w:name w:val="图题"/>
    <w:basedOn w:val="Normal"/>
    <w:qFormat/>
    <w:pPr>
      <w:spacing w:lineRule="atLeast" w:line="240" w:before="40" w:after="200"/>
      <w:jc w:val="center"/>
    </w:pPr>
    <w:rPr>
      <w:sz w:val="18"/>
      <w:szCs w:val="18"/>
    </w:rPr>
  </w:style>
  <w:style w:type="paragraph" w:styleId="Style18">
    <w:name w:val="表文"/>
    <w:basedOn w:val="Normal"/>
    <w:qFormat/>
    <w:pPr>
      <w:snapToGrid w:val="false"/>
      <w:jc w:val="center"/>
    </w:pPr>
    <w:rPr>
      <w:sz w:val="15"/>
      <w:szCs w:val="15"/>
    </w:rPr>
  </w:style>
  <w:style w:type="paragraph" w:styleId="Style19">
    <w:name w:val="表题"/>
    <w:basedOn w:val="Style18"/>
    <w:qFormat/>
    <w:pPr/>
    <w:rPr>
      <w:rFonts w:ascii="KYGS;Times New Roman" w:hAnsi="KYGS;Times New Roman" w:eastAsia="黑体;SimHei" w:cs="KYGS;Times New Roman"/>
      <w:sz w:val="18"/>
      <w:szCs w:val="18"/>
    </w:rPr>
  </w:style>
  <w:style w:type="paragraph" w:styleId="Style20">
    <w:name w:val="参考文献文"/>
    <w:basedOn w:val="Normal"/>
    <w:qFormat/>
    <w:pPr>
      <w:snapToGrid w:val="false"/>
      <w:spacing w:lineRule="exact" w:line="240"/>
      <w:ind w:left="263" w:hanging="230"/>
    </w:pPr>
    <w:rPr>
      <w:sz w:val="15"/>
      <w:szCs w:val="15"/>
    </w:rPr>
  </w:style>
  <w:style w:type="paragraph" w:styleId="22">
    <w:name w:val="参考文献文2"/>
    <w:basedOn w:val="Style20"/>
    <w:qFormat/>
    <w:pPr>
      <w:ind w:left="270" w:hanging="270"/>
    </w:pPr>
    <w:rPr/>
  </w:style>
  <w:style w:type="paragraph" w:styleId="Style21">
    <w:name w:val="批注框文本"/>
    <w:basedOn w:val="Normal"/>
    <w:qFormat/>
    <w:pPr/>
    <w:rPr>
      <w:sz w:val="18"/>
      <w:szCs w:val="1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oleObject" Target="embeddings/oleObject1.bin"/><Relationship Id="rId3" Type="http://schemas.openxmlformats.org/officeDocument/2006/relationships/image" Target="media/image1.wmf"/><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footnotes" Target="footnotes.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5</TotalTime>
  <Application>LibreOffice/7.4.7.2$Linux_X86_64 LibreOffice_project/40$Build-2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2023-08-25T09:54:00Z</dcterms:created>
  <dc:creator>hgxb</dc:creator>
  <dc:description/>
  <cp:keywords/>
  <dc:language>en-US</dc:language>
  <cp:lastModifiedBy>Administrator</cp:lastModifiedBy>
  <cp:lastPrinted>2004-12-07T09:14:00Z</cp:lastPrinted>
  <dcterms:modified xsi:type="dcterms:W3CDTF">2025-11-30T18:53:00Z</dcterms:modified>
  <cp:revision>5</cp:revision>
  <dc:subject/>
  <dc:title/>
</cp:coreProperties>
</file>