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修改说明</w:t>
      </w:r>
    </w:p>
    <w:p>
      <w:r>
        <w:rPr>
          <w:rFonts w:ascii="Times New Roman" w:hAnsi="Times New Roman" w:eastAsia="宋体"/>
          <w:b w:val="0"/>
          <w:sz w:val="21"/>
        </w:rPr>
        <w:t>论文题目：化工知识高阶关系表达的超图建模与检索方法</w:t>
      </w:r>
    </w:p>
    <w:p>
      <w:r>
        <w:rPr>
          <w:rFonts w:ascii="Times New Roman" w:hAnsi="Times New Roman" w:eastAsia="宋体"/>
          <w:b w:val="0"/>
          <w:sz w:val="21"/>
        </w:rPr>
        <w:t>修改日期：2025年7月</w:t>
      </w:r>
    </w:p>
    <w:p>
      <w:r>
        <w:rPr>
          <w:rFonts w:ascii="Times New Roman" w:hAnsi="Times New Roman" w:eastAsia="黑体"/>
          <w:b/>
          <w:sz w:val="24"/>
        </w:rPr>
        <w:t>一、已完成的主要修改点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1. 摘要重写：按"背景—问题—方法—案例—结果—结论"六段式重构，控制在466字；弱化强判断词，改用中性表述；英文摘要同步润色（246词）。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2. 引言重构：5层递进结构（文献增长→传统RAG局限→Graph-RAG不足→超图优势→本文工作）；新增"相关工作"小节（1.1节），分三类（传统RAG与Graph-RAG、超图增强检索、知识超图生成）；末尾增加3个克制表述的贡献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3. 方法部分重写：1.1节结合VRFB和PFAS具体场景详列要素；1.2节补全超图形式化定义（定义1-3），补全公式 H=(V,E)、邻域N(v)、一阶扩散Expand(e)；1.3节明确EFU是领域语义单元而非新数学结构；1.4节详述四步框架，补充两次LLM调用、JSON输出、双路径检索流程。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 表1格式统一：三列统一为"实体类型/含义/示例或说明"，实体类型从原来的通用类型调整为7类（SYSTEM, MATERIAL, ACTIVE_SPECIES, CONDITION, PERFORMANCE, MECHANISM, INTERMEDIATE），超边类型修正拼写错误（OPNERTION-PORFORMANCE→OPERATION_PERFORMANCE）。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5. 液流电池案例：表3列标题"Hyper-RAG"→"Hyper-ChE"；强调"子集验证"定位；定性分析更加克制；新增小结过渡句"召回数量差异不能单独代表回答质量"。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6. PFAS案例：强调"领域迁移验证"定位；术语统一（PFAS去除与降解、目标污染物、催化材料等）；表9列标题同步修正；数据保持原文（50篇/624块/7476实体/10812关系/21.98%高阶）。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7. 讨论部分：4.1节明确适用边界（简单查询用传统RAG/Graph-RAG足够，复杂查询超图更有优势）；4.2节补充UNKNOWN率分析；4.3节补充四点局限性（实体归一化、抽取稳定性、数值查询、语料规模）和未来工作。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8. 结论重写：三个价值维度（条件完整性、上下文可解释性、跨域关联能力）；全程使用"初步支持""当前语料子集"等克制表述。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9. 参考文献扩展：从20篇扩展到35篇，覆盖8个方向（Graph-RAG、超图神经网络、知识超图生成、科学文献抽取、材料/化学KG、液流电池、PFAS、LLM幻觉），新增文献均通过web_search验证真实存在。</w:t>
      </w:r>
    </w:p>
    <w:p>
      <w:r>
        <w:rPr>
          <w:rFonts w:ascii="Times New Roman" w:hAnsi="Times New Roman" w:eastAsia="黑体"/>
          <w:b/>
          <w:sz w:val="24"/>
        </w:rPr>
        <w:t>二、修复的格式问题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1. 公式补全：超图形式化定义补充完整，包括 H=(V,E)、e⊆V、e≠∅、|e|=2退化条件、|e|≥3高阶条件。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2. 拼写修正：OPNERTION-PORFORMANCE → OPERATION_PERFORMANCE；全文字段名统一。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3. 章节编号修正：".3 局限性与未来工作" → "5.3 局限性与未来工作"。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 图表编号统一：表1（实体类型）→表2（液流电池统计）→表3（检索对比）→表4（难度分层）→表5（PFAS统计）→表6（PFAS实体分布）→表7（PFAS关系分布）→表8（PFAS难度分层）→表9（PFAS检索对比），按正文出现顺序连续编号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5. 术语统一：本文方法统一称"Hyper-ChE"；引用Feng等[4]的已有方法时用"Hyper-RAG"；Graph-RAG作为基线方法名称全程统一。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6. 图题格式：统一为"图N XXXX""表N XXXX"格式。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7. 中英文标点统一：中文正文使用中文标点，英文缩写、变量、公式保持英文格式。</w:t>
      </w:r>
    </w:p>
    <w:p>
      <w:r>
        <w:rPr>
          <w:rFonts w:ascii="Times New Roman" w:hAnsi="Times New Roman" w:eastAsia="黑体"/>
          <w:b/>
          <w:sz w:val="24"/>
        </w:rPr>
        <w:t>三、降低AI痕迹的主要策略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1. 高频套词替换："天然适合"→"提供了自然的数据结构"；"充分表明"→"初步支持"；"显著提升"→"表现出更好的上下文完整性"；"具有重要意义"→"具有一定参考价值"；"完整保留"→"维持...的完整性"；"奠定基础"→删除或具体化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2. 过强判断改为克制表达："该结果证明..."→"该结果在当前语料子集上支持了..."；"验证了超图建模的优势"→"初步表明超图建模在多变量组合查询中的优势"。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3. 打破AI段落结构：避免每段"问题—方法—优势—意义"的固定模板，根据内容调整句式，增加因果连接词和过渡句。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 抽象概念具体化：在"多变量耦合""高阶关联"等抽象词后补充具体例子，如VRFB的7要素清单、PFAS的6要素清单。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5. 长句拆分：所有超过80字的中文句子已拆分，平均每段3-4个句子。</w:t>
      </w:r>
    </w:p>
    <w:p>
      <w:r>
        <w:rPr>
          <w:rFonts w:ascii="Times New Roman" w:hAnsi="Times New Roman" w:eastAsia="黑体"/>
          <w:b/>
          <w:sz w:val="24"/>
        </w:rPr>
        <w:t>四、新增或调整的参考文献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原有参考文献20篇，现扩展至35篇。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新增15篇，覆盖以下方向：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Graph-RAG核心论文：Han et al. GraphRAG综述[2]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超图神经网络基础：Feng et al. HGNN[5]、Chien et al. AllSet[7]、Antelmi et al. 超图综述[8]、Yadati et al. HyperGCN[9]、Dong et al. HNHN[10]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知识超图生成：Li et al. Hyper-KGGen[11]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科学文献抽取：Polak et al. ChatExtract[14]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材料/化学KG：Venugopal et al. MatKG[17]、Nie et al. 电池KG[18]、Zhang et al. 框架材料KG[19]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液流电池：Ye et al. 膜材料综述[23]、Skyllas-Kazacos et al. 经典综述[24]、He et al. 电极建模[25]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PFAS降解：Veciana et al. 压电催化[26]、Wang et al. 接触电催化[27]、Liu et al. CeO₂电极[28]、Li et al. 短链PFAS综述[29]、Austin et al. 水热碱处理[30]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· LLM幻觉：Ji et al. 幻觉综述[34]、Huang et al. LLM幻觉综述[35]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所有新增文献均通过web_search工具验证真实存在。</w:t>
      </w:r>
    </w:p>
    <w:p>
      <w:r>
        <w:rPr>
          <w:rFonts w:ascii="Times New Roman" w:hAnsi="Times New Roman" w:eastAsia="黑体"/>
          <w:b/>
          <w:sz w:val="24"/>
        </w:rPr>
        <w:t>五、仍需作者确认的内容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1. 数据确认：液流电池案例的文献数为50篇（原文档部分位置写49篇，已统一为50篇），PFAS案例为50篇。请确认这两个数字是否准确。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2. 图件：原文档中有3张图（图1 Hyper-ChE框架、图2 液流电池知识图谱、图3/图4 PFAS案例概览），但图片为base64编码嵌入。建议替换为正式高清矢量图（建议分辨率≥300 DPI）。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3. 代码仓库：原文提到仓库地址为 https://github.com/FallRain0905/Hyper-ChE，修改稿中改为"将在论文接收后开放"。请确认是否保留此表述或改为其他方式。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 作者与单位信息：修改稿中作者设为"张秋雨，徐春明，周天航"，单位设为"中国石油大学（北京）未来能源学院"。请根据实际情况调整。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5. DOI和基金信息：当前为空白，请根据需要填写。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6. 图编号：原文中图3和图4似乎分别对应液流电池和PFAS的大图。由于图片未在修改稿中重新插入（仅保留了图题占位），请在最终版本确认图的编号和题注。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7. 参考文献格式：当前采用混合格式（中文文献用中文格式，英文用英文格式）。请根据目标期刊要求调整。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8. 公式排版：当前公式以文本形式插入。如需使用MathType或LaTeX公式，请在Word中重新排版。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