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2"/>
        </w:rPr>
        <w:t>化工知识高阶关系表达的超图建模与检索方法</w:t>
      </w:r>
    </w:p>
    <w:p>
      <w:pPr>
        <w:spacing w:after="60"/>
        <w:jc w:val="center"/>
      </w:pPr>
      <w:r>
        <w:rPr>
          <w:rFonts w:ascii="Times New Roman" w:hAnsi="Times New Roman" w:eastAsia="楷体"/>
          <w:b w:val="0"/>
          <w:sz w:val="21"/>
        </w:rPr>
        <w:t>张秋雨，徐春明，周天航</w:t>
      </w:r>
    </w:p>
    <w:p>
      <w:pPr>
        <w:spacing w:after="240"/>
        <w:jc w:val="center"/>
      </w:pPr>
      <w:r>
        <w:rPr>
          <w:rFonts w:ascii="Times New Roman" w:hAnsi="Times New Roman" w:eastAsia="宋体"/>
          <w:b w:val="0"/>
          <w:sz w:val="18"/>
        </w:rPr>
        <w:t>（中国石油大学（北京）未来能源学院，北京 102249）</w:t>
      </w:r>
    </w:p>
    <w:p>
      <w:pPr>
        <w:spacing w:after="60"/>
        <w:ind w:firstLine="420"/>
      </w:pPr>
      <w:r>
        <w:rPr>
          <w:rFonts w:ascii="Times New Roman" w:hAnsi="Times New Roman" w:eastAsia="黑体"/>
          <w:b/>
          <w:sz w:val="21"/>
        </w:rPr>
        <w:t>摘要：</w:t>
      </w:r>
      <w:r>
        <w:rPr>
          <w:rFonts w:ascii="Times New Roman" w:hAnsi="Times New Roman" w:eastAsia="宋体"/>
          <w:b w:val="0"/>
          <w:sz w:val="21"/>
        </w:rPr>
        <w:t>化工实验知识通常涉及反应物、催化剂、操作条件与评价指标等多个变量的协同约束，传统向量检索和二元知识图谱在表达此类多变量耦合关系时存在局限。本文对液流电池和PFAS去除与降解两个领域的文献进行梳理，发现实验知识中的条件、材料、指标和机理等要素常以多实体组合的形式出现。针对这一特点，本文提出将实验知识组织为"实验事实单元"（Experimental Fact Unit, EFU），并在此基础上构建领域适配的超图增强检索框架 Hyper-ChE。Hyper-ChE 的核心设计包括：EFU 建模、面向不同化工子领域的本体构建与结构化抽取、向量数据库与超图数据库协同的双路径检索。实验结果表明，在涉及多变量约束的复杂查询中，Hyper-ChE 的召回内容比基线方法更为完整。超边结构能够保持多个实验变量之间的共同上下文。当前工作在两个化工子领域的子集语料上初步验证了超图建模的可行性。</w:t>
      </w:r>
    </w:p>
    <w:p>
      <w:pPr>
        <w:spacing w:after="120"/>
        <w:ind w:firstLine="420"/>
      </w:pPr>
      <w:r>
        <w:rPr>
          <w:rFonts w:ascii="Times New Roman" w:hAnsi="Times New Roman" w:eastAsia="黑体"/>
          <w:b/>
          <w:sz w:val="21"/>
        </w:rPr>
        <w:t>关键词：</w:t>
      </w:r>
      <w:r>
        <w:rPr>
          <w:rFonts w:ascii="Times New Roman" w:hAnsi="Times New Roman" w:eastAsia="宋体"/>
          <w:b w:val="0"/>
          <w:sz w:val="21"/>
        </w:rPr>
        <w:t>超图知识建模；检索增强生成；实验事实单元；液流电池；PFAS降解</w:t>
      </w:r>
    </w:p>
    <w:p>
      <w:pPr>
        <w:spacing w:before="240" w:after="60"/>
        <w:jc w:val="center"/>
      </w:pPr>
      <w:r>
        <w:rPr>
          <w:rFonts w:ascii="Times New Roman" w:hAnsi="Times New Roman" w:eastAsia="Times New Roman"/>
          <w:b/>
          <w:sz w:val="24"/>
        </w:rPr>
        <w:t>Hypergraph Knowledge Modeling and Enhanced Retrieval for Higher-Order Relational Expression in Chemical Engineering Knowledge</w:t>
      </w:r>
    </w:p>
    <w:p>
      <w:pPr>
        <w:spacing w:after="60"/>
        <w:jc w:val="center"/>
      </w:pPr>
      <w:r>
        <w:rPr>
          <w:rFonts w:ascii="Times New Roman" w:hAnsi="Times New Roman" w:eastAsia="Times New Roman"/>
          <w:b w:val="0"/>
          <w:sz w:val="21"/>
        </w:rPr>
        <w:t>ZHANG Qiuyu, XU Chunming, ZHOU Tianhang</w:t>
      </w:r>
    </w:p>
    <w:p>
      <w:pPr>
        <w:spacing w:after="120"/>
        <w:jc w:val="center"/>
      </w:pPr>
      <w:r>
        <w:rPr>
          <w:rFonts w:ascii="Times New Roman" w:hAnsi="Times New Roman" w:eastAsia="Times New Roman"/>
          <w:b w:val="0"/>
          <w:sz w:val="18"/>
        </w:rPr>
        <w:t>(College of Future Energy, China University of Petroleum-Beijing, Beijing 102249, China)</w:t>
      </w:r>
    </w:p>
    <w:p>
      <w:pPr>
        <w:spacing w:after="60"/>
        <w:ind w:firstLine="420"/>
      </w:pPr>
      <w:r>
        <w:rPr>
          <w:rFonts w:ascii="Times New Roman" w:hAnsi="Times New Roman" w:eastAsia="Times New Roman"/>
          <w:b/>
          <w:sz w:val="21"/>
        </w:rPr>
        <w:t xml:space="preserve">Abstract: </w:t>
      </w:r>
      <w:r>
        <w:rPr>
          <w:rFonts w:ascii="Times New Roman" w:hAnsi="Times New Roman" w:eastAsia="Times New Roman"/>
          <w:b w:val="0"/>
          <w:sz w:val="21"/>
        </w:rPr>
        <w:t>Chemical experimental knowledge typically involves the joint constraints of multiple variables—reaction substrates, catalysts, operating conditions, and performance metrics. Conventional vector retrieval and binary knowledge graphs face limitations when representing such multi-variable coupling relationships. Through a systematic review of literature in two representative domains—flow batteries and PFAS degradation—this study observes that experimental knowledge tends to appear in the form of multi-entity combinations. To address this structural feature, we propose organizing experimental knowledge into "Experimental Fact Units" (EFUs) and building Hyper-ChE, a domain-adapted hypergraph-enhanced retrieval framework. Hyper-ChE comprises three core components: EFU modeling, domain-specific ontology construction coupled with LLM-based extraction pipelines, and a dual-path retrieval mechanism that coordinates vector and hypergraph databases. Experimental results show that Hyper-ChE yields more complete recall than baseline methods on complex queries involving multi-variable constraints. This work provides preliminary evidence for the feasibility of hypergraph-based modeling in chemical knowledge retrieval.</w:t>
      </w:r>
    </w:p>
    <w:p>
      <w:pPr>
        <w:spacing w:after="240"/>
        <w:ind w:firstLine="839"/>
      </w:pPr>
      <w:r>
        <w:rPr>
          <w:rFonts w:ascii="Times New Roman" w:hAnsi="Times New Roman" w:eastAsia="Times New Roman"/>
          <w:b/>
          <w:sz w:val="21"/>
        </w:rPr>
        <w:t xml:space="preserve">Keywords: </w:t>
      </w:r>
      <w:r>
        <w:rPr>
          <w:rFonts w:ascii="Times New Roman" w:hAnsi="Times New Roman" w:eastAsia="Times New Roman"/>
          <w:b w:val="0"/>
          <w:sz w:val="21"/>
        </w:rPr>
        <w:t>hypergraph knowledge modeling; retrieval-augmented generation; experimental fact unit; flow battery; PFAS degradation</w:t>
      </w:r>
    </w:p>
    <w:p>
      <w:pPr>
        <w:spacing w:before="240" w:after="120"/>
        <w:ind w:firstLine="420"/>
      </w:pPr>
      <w:r>
        <w:rPr>
          <w:rFonts w:ascii="Times New Roman" w:hAnsi="Times New Roman" w:eastAsia="黑体"/>
          <w:b/>
          <w:sz w:val="24"/>
        </w:rPr>
        <w:t>1 引言</w:t>
      </w:r>
    </w:p>
    <w:p>
      <w:pPr>
        <w:spacing w:lineRule="exact" w:line="315" w:before="0" w:after="0"/>
        <w:ind w:firstLine="420"/>
        <w:jc w:val="both"/>
      </w:pPr>
      <w:r>
        <w:rPr>
          <w:rFonts w:ascii="Times New Roman" w:hAnsi="Times New Roman" w:eastAsia="宋体"/>
          <w:b w:val="0"/>
          <w:sz w:val="21"/>
        </w:rPr>
        <w:t>液流电池、PFAS去除与降解、电催化等化工子领域的学术文献产出持续增加，实验数据与工艺经验分散于大量非结构化文本中。以液流电池为例，全钒体系的研究文献已超过万篇，涉及电解液配方、电极改性、膜材料筛选等多类实验信息；PFAS去除与降解领域同样积累了大量关于催化剂设计、反应条件优化的实验记录。不同反应体系之间的知识壁垒仍然明显，研究人员在解决具体问题时难以高效调用已有结论。</w:t>
      </w:r>
    </w:p>
    <w:p>
      <w:pPr>
        <w:spacing w:lineRule="exact" w:line="315" w:before="0" w:after="0"/>
        <w:ind w:firstLine="420"/>
        <w:jc w:val="both"/>
      </w:pPr>
      <w:r>
        <w:rPr>
          <w:rFonts w:ascii="Times New Roman" w:hAnsi="Times New Roman" w:eastAsia="宋体"/>
          <w:b w:val="0"/>
          <w:sz w:val="21"/>
        </w:rPr>
        <w:t>将分散的实验发现转化为可计算、可检索的结构化知识，是化工知识工程面临的基础问题。与一般文本知识不同，化工实验结论通常由多个要素共同决定：反应物种类、催化剂结构、操作参数和评价指标之间存在相互约束关系。例如，在液流电池研究中，电解液中钒离子浓度与电极表面功能化修饰往往需要协同优化；在PFAS去除与降解中，催化剂的晶相结构与溶液pH值、温度的匹配直接影响降解效率。这类知识更接近"多变量共同成立的实验事实"，而非可以任意拆分的独立陈述。</w:t>
      </w:r>
    </w:p>
    <w:p>
      <w:pPr>
        <w:spacing w:lineRule="exact" w:line="315" w:before="0" w:after="0"/>
        <w:ind w:firstLine="420"/>
        <w:jc w:val="both"/>
      </w:pPr>
      <w:r>
        <w:rPr>
          <w:rFonts w:ascii="Times New Roman" w:hAnsi="Times New Roman" w:eastAsia="宋体"/>
          <w:b w:val="0"/>
          <w:sz w:val="21"/>
        </w:rPr>
        <w:t>传统检索方法主要依赖关键词匹配或向量相似度计算，能够定位语义相近的文本片段，但难以保证同一实验事实涉及的多变量组合被完整召回。当查询需要保持条件组合的一致性时，返回结果往往呈现碎片化特征，无法还原完整的实验上下文。例如，查询"全钒液流电池中电解液浓度对库仑效率的影响"时，向量检索可能返回讨论电解液黏度或电极孔隙率的片段，却遗漏了同时涉及浓度与效率测量条件的原文段落。</w:t>
      </w:r>
    </w:p>
    <w:p>
      <w:pPr>
        <w:spacing w:lineRule="exact" w:line="315" w:before="0" w:after="0"/>
        <w:ind w:firstLine="420"/>
        <w:jc w:val="both"/>
      </w:pPr>
      <w:r>
        <w:rPr>
          <w:rFonts w:ascii="Times New Roman" w:hAnsi="Times New Roman" w:eastAsia="宋体"/>
          <w:b w:val="0"/>
          <w:sz w:val="21"/>
        </w:rPr>
        <w:t>知识图谱增强检索（Graph-RAG）通过二元关系三元组（头实体-关系-尾实体）对文献内容进行结构化建模，在一定程度上改善了检索的逻辑性和可解释性[1,2]。然而，二元图谱将多变量关联强行拆解为多条 pairwise 边，丢失了多实体共同成立的上下文信息。例如，液流电池中的一组完整实验结论可能涉及"电解液组成A—在电极B上—于温度C下—实现了效率D"，这是一个四变量共同成立的实验事实。若拆分为三条二元边（A-B、B-C、C-D），每次检索只能召回两两之间的关系，无法判断A、B、C、D是否来自同一实验记录。PFAS去除与降解中存在类似的结构："催化剂X—在pH Y下—对底物Z—达到降解率W"，同样需要多变量联合表达。</w:t>
      </w:r>
    </w:p>
    <w:p>
      <w:pPr>
        <w:spacing w:lineRule="exact" w:line="315" w:before="0" w:after="0"/>
        <w:ind w:firstLine="420"/>
        <w:jc w:val="both"/>
      </w:pPr>
      <w:r>
        <w:rPr>
          <w:rFonts w:ascii="Times New Roman" w:hAnsi="Times New Roman" w:eastAsia="宋体"/>
          <w:b w:val="0"/>
          <w:sz w:val="21"/>
        </w:rPr>
        <w:t>超图（hypergraph）理论为解决上述问题提供了形式化工具。超图 H=(V,E) 中的超边可以连接任意数量的顶点，从而直接刻画 beyond-pairwise 的关联模式[4,5]。一条超边可以同时包含电解液组成、电极材料、温度条件和效率指标等多个实体，保持它们之间的共同上下文。Feng等[4]提出的 Hyper-RAG 框架以超图替代二元图进行知识建模，展示了处理复杂关联结构的潜力。</w:t>
      </w:r>
    </w:p>
    <w:p>
      <w:pPr>
        <w:spacing w:before="120" w:after="60"/>
        <w:ind w:firstLine="420"/>
      </w:pPr>
      <w:r>
        <w:rPr>
          <w:rFonts w:ascii="Times New Roman" w:hAnsi="Times New Roman" w:eastAsia="黑体"/>
          <w:b/>
          <w:sz w:val="21"/>
        </w:rPr>
        <w:t>1.1 相关工作</w:t>
      </w:r>
    </w:p>
    <w:p>
      <w:pPr>
        <w:spacing w:lineRule="exact" w:line="315" w:before="0" w:after="0"/>
        <w:ind w:firstLine="420"/>
        <w:jc w:val="both"/>
      </w:pPr>
      <w:r>
        <w:rPr>
          <w:rFonts w:ascii="Times New Roman" w:hAnsi="Times New Roman" w:eastAsia="宋体"/>
          <w:b w:val="0"/>
          <w:sz w:val="21"/>
        </w:rPr>
        <w:t>传统RAG与Graph-RAG。检索增强生成（RAG）技术通过从外部知识库中检索相关文本片段来辅助大语言模型回答领域问题[31,32]。传统RAG主要基于文本块的向量相似度进行检索，在需要整合多个关联信息片段的复杂查询中表现有限。Graph-RAG 方法通过从文本中提取实体关系三元组构建知识图谱，利用图的连通性进行多跳推理检索[1]。研究表明，Graph-RAG 在需要逻辑推理的查询中优于纯向量检索，但在处理多变量联合约束时，二元关系的表达能力仍然不足。</w:t>
      </w:r>
    </w:p>
    <w:p>
      <w:pPr>
        <w:spacing w:lineRule="exact" w:line="315" w:before="0" w:after="0"/>
        <w:ind w:firstLine="420"/>
        <w:jc w:val="both"/>
      </w:pPr>
      <w:r>
        <w:rPr>
          <w:rFonts w:ascii="Times New Roman" w:hAnsi="Times New Roman" w:eastAsia="宋体"/>
          <w:b w:val="0"/>
          <w:sz w:val="21"/>
        </w:rPr>
        <w:t>超图增强检索。近年来，超图结构被引入检索系统以处理高阶关联。Feng等[4]提出的 Hyper-RAG 利用超边连接多个关联实体，实现了超越二元关系的知识建模。后续研究如 HyperGraphRAG[12]进一步探索了超图在开放域问答中的应用，通过超边保持多实体之间的共现信息。目前超图检索方法主要面向通用领域，在化工等实验科学领域的适配研究尚不多见。</w:t>
      </w:r>
    </w:p>
    <w:p>
      <w:pPr>
        <w:spacing w:lineRule="exact" w:line="315" w:before="0" w:after="0"/>
        <w:ind w:firstLine="420"/>
        <w:jc w:val="both"/>
      </w:pPr>
      <w:r>
        <w:rPr>
          <w:rFonts w:ascii="Times New Roman" w:hAnsi="Times New Roman" w:eastAsia="宋体"/>
          <w:b w:val="0"/>
          <w:sz w:val="21"/>
        </w:rPr>
        <w:t>知识超图生成。从非结构化文本自动生成超图结构是超图检索的基础环节。Hyper-KGGen[11]等工作探索了基于大语言模型的超图抽取方法，通过设计结构化提示模板引导模型识别多实体关联。这类方法为领域超图的自动构建提供了技术参考，但在面向化工文献时，需要针对实验知识的特点进行领域适配，包括设计专用的信息抽取模板和质量验证机制。</w:t>
      </w:r>
    </w:p>
    <w:p>
      <w:pPr>
        <w:spacing w:before="120" w:after="60"/>
        <w:ind w:firstLine="420"/>
      </w:pPr>
      <w:r>
        <w:rPr>
          <w:rFonts w:ascii="Times New Roman" w:hAnsi="Times New Roman" w:eastAsia="黑体"/>
          <w:b/>
          <w:sz w:val="21"/>
        </w:rPr>
        <w:t>1.2 本文工作</w:t>
      </w:r>
    </w:p>
    <w:p>
      <w:pPr>
        <w:spacing w:lineRule="exact" w:line="315" w:before="0" w:after="0"/>
        <w:ind w:firstLine="420"/>
        <w:jc w:val="both"/>
      </w:pPr>
      <w:r>
        <w:rPr>
          <w:rFonts w:ascii="Times New Roman" w:hAnsi="Times New Roman" w:eastAsia="宋体"/>
          <w:b w:val="0"/>
          <w:sz w:val="21"/>
        </w:rPr>
        <w:t>基于上述分析，本文提出面向化工文献的领域适配超图增强检索框架 Hyper-ChE（Hypergraph-enhanced Chemical Engineering Retrieval），并以液流电池和PFAS去除与降解两个领域为例进行原型验证。本文的主要贡献包括：</w:t>
      </w:r>
    </w:p>
    <w:p>
      <w:pPr>
        <w:spacing w:lineRule="exact" w:line="315" w:before="0" w:after="0"/>
        <w:jc w:val="both"/>
      </w:pPr>
      <w:r>
        <w:rPr>
          <w:rFonts w:ascii="Times New Roman" w:hAnsi="Times New Roman" w:eastAsia="宋体"/>
          <w:b w:val="0"/>
          <w:sz w:val="21"/>
        </w:rPr>
        <w:t>（1）提出"实验事实单元"（EFU）建模方式，将化工文献中的实验发现抽象为包含多实体关联的结构化单元，为超图构建提供统一的知识组织形式；</w:t>
      </w:r>
    </w:p>
    <w:p>
      <w:pPr>
        <w:spacing w:lineRule="exact" w:line="315" w:before="0" w:after="0"/>
        <w:jc w:val="both"/>
      </w:pPr>
      <w:r>
        <w:rPr>
          <w:rFonts w:ascii="Times New Roman" w:hAnsi="Times New Roman" w:eastAsia="宋体"/>
          <w:b w:val="0"/>
          <w:sz w:val="21"/>
        </w:rPr>
        <w:t>（2）构建 Hyper-ChE 检索框架，实现面向化工领域的超图自动构建与双路径协同检索，支持语义匹配与高阶关联查询的结合；</w:t>
      </w:r>
    </w:p>
    <w:p>
      <w:pPr>
        <w:spacing w:lineRule="exact" w:line="315" w:before="0" w:after="0"/>
        <w:jc w:val="both"/>
      </w:pPr>
      <w:r>
        <w:rPr>
          <w:rFonts w:ascii="Times New Roman" w:hAnsi="Times New Roman" w:eastAsia="宋体"/>
          <w:b w:val="0"/>
          <w:sz w:val="21"/>
        </w:rPr>
        <w:t>（3）在液流电池和PFAS去除与降解两个领域上完成原型实现与初步测试，在当前子集语料上验证了超图结构在多变量约束查询中能够提供更完整的召回和更好的可解释性。</w:t>
      </w:r>
    </w:p>
    <w:p>
      <w:pPr>
        <w:spacing w:lineRule="exact" w:line="315" w:before="0" w:after="0"/>
        <w:ind w:firstLine="420"/>
        <w:jc w:val="both"/>
      </w:pPr>
      <w:r>
        <w:rPr>
          <w:rFonts w:ascii="Times New Roman" w:hAnsi="Times New Roman" w:eastAsia="宋体"/>
          <w:b w:val="0"/>
          <w:sz w:val="21"/>
        </w:rPr>
        <w:t>后续章节安排如下：第2节介绍实验事实单元建模方法与 Hyper-ChE 框架的总体架构；第3节描述液流电池案例的领域本体设计与实验结果；第4节描述PFAS去除与降解案例；第5节进行讨论；第6节总结全文。</w:t>
      </w:r>
    </w:p>
    <w:p>
      <w:pPr>
        <w:spacing w:before="240" w:after="120"/>
        <w:ind w:firstLine="420"/>
      </w:pPr>
      <w:r>
        <w:rPr>
          <w:rFonts w:ascii="Times New Roman" w:hAnsi="Times New Roman" w:eastAsia="黑体"/>
          <w:b/>
          <w:sz w:val="24"/>
        </w:rPr>
        <w:t>2 超图知识建模原理与Hyper-ChE框架</w:t>
      </w:r>
    </w:p>
    <w:p>
      <w:pPr>
        <w:spacing w:before="120" w:after="60"/>
        <w:ind w:firstLine="420"/>
      </w:pPr>
      <w:r>
        <w:rPr>
          <w:rFonts w:ascii="Times New Roman" w:hAnsi="Times New Roman" w:eastAsia="黑体"/>
          <w:b/>
          <w:sz w:val="21"/>
        </w:rPr>
        <w:t>2.1 化工实验知识的多层级结构与高阶关联特征</w:t>
      </w:r>
    </w:p>
    <w:p>
      <w:pPr>
        <w:spacing w:lineRule="exact" w:line="315" w:before="0" w:after="0"/>
        <w:ind w:firstLine="420"/>
        <w:jc w:val="both"/>
      </w:pPr>
      <w:r>
        <w:rPr>
          <w:rFonts w:ascii="Times New Roman" w:hAnsi="Times New Roman" w:eastAsia="宋体"/>
          <w:b w:val="0"/>
          <w:sz w:val="21"/>
        </w:rPr>
        <w:t>化工领域的实验知识呈现典型的多层级结构。在分子与材料尺度，组成、晶体结构、官能团、缺陷态、活性位点及电子结构等内在属性决定了材料的本征行为。在三传一反尺度，动量传递、热量传递、质量传递与化学反应过程相互耦合：反应器内的流场分布直接影响传质效率，温度梯度改变反应路径，宏观操作参数进一步调控产物分布。在操作条件尺度，温度、压力、pH、浓度、流速、电流密度、停留时间等外部约束共同框定了实验的边界条件。</w:t>
      </w:r>
    </w:p>
    <w:p>
      <w:pPr>
        <w:spacing w:lineRule="exact" w:line="315" w:before="0" w:after="0"/>
        <w:ind w:firstLine="420"/>
        <w:jc w:val="both"/>
      </w:pPr>
      <w:r>
        <w:rPr>
          <w:rFonts w:ascii="Times New Roman" w:hAnsi="Times New Roman" w:eastAsia="宋体"/>
          <w:b w:val="0"/>
          <w:sz w:val="21"/>
        </w:rPr>
        <w:t>这些变量之间存在强耦合关系。以全钒液流电池（VRFB）为例，某电解液体系在特定操作条件下的性能表现，依赖于以下要素的协同：活性物种（V²⁺/V³⁺与VO²⁺/VO₂⁺氧化还原对）、电解液组成（硫酸浓度、支持电解质）、离子传导膜（Nafion膜、多孔膜或其改性材料的离子选择性与电阻）、电极材料（石墨毡、碳毡的孔隙结构与表面官能团）、操作参数（电流密度、温度、电解液流速、SOC窗口）。上述要素共同决定了电池的能量效率、电压效率、容量保持率及长期循环衰减机制。</w:t>
      </w:r>
    </w:p>
    <w:p>
      <w:pPr>
        <w:spacing w:lineRule="exact" w:line="315" w:before="0" w:after="0"/>
        <w:ind w:firstLine="420"/>
        <w:jc w:val="both"/>
      </w:pPr>
      <w:r>
        <w:rPr>
          <w:rFonts w:ascii="Times New Roman" w:hAnsi="Times New Roman" w:eastAsia="宋体"/>
          <w:b w:val="0"/>
          <w:sz w:val="21"/>
        </w:rPr>
        <w:t>再看全氟烷基物质（PFAS）的催化降解体系：目标污染物（PFOA、PFOS或短链替代物）、催化材料（Pd-Fe双金属、水滑石衍生材料等）、活性物种（·OH、SO₄·⁻、水合电子等自由基的生成与寿命）、反应条件（pH、温度、溶解氧浓度、催化剂投加量）、性能指标（降解率、脱氟率、矿化度）以及机理证据（中间产物鉴定、DFT计算结果、自由基猝灭实验）构成一个不可分割的评估整体。</w:t>
      </w:r>
    </w:p>
    <w:p>
      <w:pPr>
        <w:spacing w:lineRule="exact" w:line="315" w:before="0" w:after="0"/>
        <w:ind w:firstLine="420"/>
        <w:jc w:val="both"/>
      </w:pPr>
      <w:r>
        <w:rPr>
          <w:rFonts w:ascii="Times New Roman" w:hAnsi="Times New Roman" w:eastAsia="宋体"/>
          <w:b w:val="0"/>
          <w:sz w:val="21"/>
        </w:rPr>
        <w:t>上述两个场景共同揭示了一个结构性特征：实验结论并非"材料A导致结果B"式的二元因果，而是更接近"体系S中，材料M在条件C下经由机理R产生性能P"的多变量联合断言。该断言涉及五个及以上相互约束的要素。单独讨论一种材料或一组条件而不指明其组合语境，无法构成有效的知识单元。这种知识的本质是一个"多变量共同成立的实验事实单元"：在VRFB中，"电解液X + 膜Y + 电极Z + 电流密度J + 温度T → 效率E（附衰减机制A）"构成一个完整单元；在PFAS降解中，"污染物P + 催化剂C + pH值H + 温度T + 活性物种R → 降解率D / 脱氟率DF（附中间产物M与DFT证据）"构成另一个完整单元。</w:t>
      </w:r>
    </w:p>
    <w:p>
      <w:pPr>
        <w:spacing w:lineRule="exact" w:line="315" w:before="0" w:after="0"/>
        <w:ind w:firstLine="420"/>
        <w:jc w:val="both"/>
      </w:pPr>
      <w:r>
        <w:rPr>
          <w:rFonts w:ascii="Times New Roman" w:hAnsi="Times New Roman" w:eastAsia="宋体"/>
          <w:b w:val="0"/>
          <w:sz w:val="21"/>
        </w:rPr>
        <w:t>传统的二元知识图谱必须将此类事实拆解为多条独立的二元边——如体系与材料、材料与条件、条件与性能之间的分离关系。这一拆分破坏了"这些变量属于同一实验、同一事实"的核心语义。超图通过超边连接任意数量的顶点，为表达此类高阶耦合关系提供了自然的数据结构。VRFB中的"体系—活性物种—电解液—膜—电极—操作条件—性能指标—衰减机制"与PFAS降解中的"目标污染物—催化材料—活性物种—反应条件—降解率/脱氟率—机理证据"，均可视为该通用结构在具体场景下的实例化。</w:t>
      </w:r>
    </w:p>
    <w:p>
      <w:pPr>
        <w:spacing w:before="120" w:after="60"/>
        <w:ind w:firstLine="420"/>
      </w:pPr>
      <w:r>
        <w:rPr>
          <w:rFonts w:ascii="Times New Roman" w:hAnsi="Times New Roman" w:eastAsia="黑体"/>
          <w:b/>
          <w:sz w:val="21"/>
        </w:rPr>
        <w:t>2.2 超图的形式化定义及其检索优势</w:t>
      </w:r>
    </w:p>
    <w:p>
      <w:pPr>
        <w:spacing w:lineRule="exact" w:line="315" w:before="0" w:after="0"/>
        <w:ind w:firstLine="420"/>
        <w:jc w:val="both"/>
      </w:pPr>
      <w:r>
        <w:rPr>
          <w:rFonts w:ascii="Times New Roman" w:hAnsi="Times New Roman" w:eastAsia="宋体"/>
          <w:b w:val="0"/>
          <w:sz w:val="21"/>
        </w:rPr>
        <w:t>超图（Hypergraph）是普通图结构的一般化推广。在图中，一条边只能连接两个顶点，表达二元关系；超图打破了这一限制，一条超边（hyperedge）可以连接任意数量的顶点。</w:t>
      </w:r>
    </w:p>
    <w:p>
      <w:pPr>
        <w:spacing w:after="60"/>
        <w:ind w:firstLine="420"/>
      </w:pPr>
      <w:r>
        <w:rPr>
          <w:rFonts w:ascii="Times New Roman" w:hAnsi="Times New Roman" w:eastAsia="黑体"/>
          <w:b/>
          <w:sz w:val="21"/>
        </w:rPr>
        <w:t>定义1（超图）</w:t>
      </w:r>
      <w:r>
        <w:rPr>
          <w:rFonts w:ascii="Times New Roman" w:hAnsi="Times New Roman" w:eastAsia="宋体"/>
          <w:b w:val="0"/>
          <w:sz w:val="21"/>
        </w:rPr>
        <w:t xml:space="preserve">  超图记作 </w:t>
      </w:r>
      <w:r>
        <w:rPr>
          <w:rFonts w:ascii="Times New Roman" w:hAnsi="Times New Roman" w:eastAsia="Times New Roman"/>
          <w:b/>
          <w:sz w:val="21"/>
        </w:rPr>
        <w:t>H = (V, E)</w:t>
      </w:r>
      <w:r>
        <w:rPr>
          <w:rFonts w:ascii="Times New Roman" w:hAnsi="Times New Roman" w:eastAsia="宋体"/>
          <w:b w:val="0"/>
          <w:sz w:val="21"/>
        </w:rPr>
        <w:t xml:space="preserve">，其中 </w:t>
      </w:r>
      <w:r>
        <w:rPr>
          <w:rFonts w:ascii="Times New Roman" w:hAnsi="Times New Roman" w:eastAsia="Times New Roman"/>
          <w:b/>
          <w:sz w:val="21"/>
        </w:rPr>
        <w:t>V = {v₁, v₂, ..., vₙ}</w:t>
      </w:r>
      <w:r>
        <w:rPr>
          <w:rFonts w:ascii="Times New Roman" w:hAnsi="Times New Roman" w:eastAsia="宋体"/>
          <w:b w:val="0"/>
          <w:sz w:val="21"/>
        </w:rPr>
        <w:t xml:space="preserve"> 为有限顶点集，</w:t>
      </w:r>
      <w:r>
        <w:rPr>
          <w:rFonts w:ascii="Times New Roman" w:hAnsi="Times New Roman" w:eastAsia="Times New Roman"/>
          <w:b/>
          <w:sz w:val="21"/>
        </w:rPr>
        <w:t>E = {e₁, e₂, ..., eₘ}</w:t>
      </w:r>
      <w:r>
        <w:rPr>
          <w:rFonts w:ascii="Times New Roman" w:hAnsi="Times New Roman" w:eastAsia="宋体"/>
          <w:b w:val="0"/>
          <w:sz w:val="21"/>
        </w:rPr>
        <w:t xml:space="preserve"> 为超边集。每条超边 </w:t>
      </w:r>
      <w:r>
        <w:rPr>
          <w:rFonts w:ascii="Times New Roman" w:hAnsi="Times New Roman" w:eastAsia="Times New Roman"/>
          <w:b/>
          <w:sz w:val="21"/>
        </w:rPr>
        <w:t>e ∈ E</w:t>
      </w:r>
      <w:r>
        <w:rPr>
          <w:rFonts w:ascii="Times New Roman" w:hAnsi="Times New Roman" w:eastAsia="宋体"/>
          <w:b w:val="0"/>
          <w:sz w:val="21"/>
        </w:rPr>
        <w:t xml:space="preserve"> 是 </w:t>
      </w:r>
      <w:r>
        <w:rPr>
          <w:rFonts w:ascii="Times New Roman" w:hAnsi="Times New Roman" w:eastAsia="Times New Roman"/>
          <w:b/>
          <w:sz w:val="21"/>
        </w:rPr>
        <w:t>V</w:t>
      </w:r>
      <w:r>
        <w:rPr>
          <w:rFonts w:ascii="Times New Roman" w:hAnsi="Times New Roman" w:eastAsia="宋体"/>
          <w:b w:val="0"/>
          <w:sz w:val="21"/>
        </w:rPr>
        <w:t xml:space="preserve"> 的一个非空子集，即 </w:t>
      </w:r>
      <w:r>
        <w:rPr>
          <w:rFonts w:ascii="Times New Roman" w:hAnsi="Times New Roman" w:eastAsia="Times New Roman"/>
          <w:b/>
          <w:sz w:val="21"/>
        </w:rPr>
        <w:t>e ⊆ V 且 e ≠ ∅</w:t>
      </w:r>
      <w:r>
        <w:rPr>
          <w:rFonts w:ascii="Times New Roman" w:hAnsi="Times New Roman" w:eastAsia="宋体"/>
          <w:b w:val="0"/>
          <w:sz w:val="21"/>
        </w:rPr>
        <w:t>。当 |e| = 2 时，超边退化为普通边；当 |e| ≥ 3 时，超边表达高阶关系。超边包含的顶点数 |e| 称为该超边的阶（order）或基数（cardinality）。</w:t>
      </w:r>
    </w:p>
    <w:p>
      <w:pPr>
        <w:spacing w:after="60"/>
        <w:ind w:firstLine="420"/>
      </w:pPr>
      <w:r>
        <w:rPr>
          <w:rFonts w:ascii="Times New Roman" w:hAnsi="Times New Roman" w:eastAsia="黑体"/>
          <w:b/>
          <w:sz w:val="21"/>
        </w:rPr>
        <w:t>定义2（顶点的邻域）</w:t>
      </w:r>
      <w:r>
        <w:rPr>
          <w:rFonts w:ascii="Times New Roman" w:hAnsi="Times New Roman" w:eastAsia="宋体"/>
          <w:b w:val="0"/>
          <w:sz w:val="21"/>
        </w:rPr>
        <w:t xml:space="preserve">  对于顶点 </w:t>
      </w:r>
      <w:r>
        <w:rPr>
          <w:rFonts w:ascii="Times New Roman" w:hAnsi="Times New Roman" w:eastAsia="Times New Roman"/>
          <w:b/>
          <w:sz w:val="21"/>
        </w:rPr>
        <w:t>v ∈ V</w:t>
      </w:r>
      <w:r>
        <w:rPr>
          <w:rFonts w:ascii="Times New Roman" w:hAnsi="Times New Roman" w:eastAsia="宋体"/>
          <w:b w:val="0"/>
          <w:sz w:val="21"/>
        </w:rPr>
        <w:t xml:space="preserve">，其在超图 </w:t>
      </w:r>
      <w:r>
        <w:rPr>
          <w:rFonts w:ascii="Times New Roman" w:hAnsi="Times New Roman" w:eastAsia="Times New Roman"/>
          <w:b/>
          <w:sz w:val="21"/>
        </w:rPr>
        <w:t>H</w:t>
      </w:r>
      <w:r>
        <w:rPr>
          <w:rFonts w:ascii="Times New Roman" w:hAnsi="Times New Roman" w:eastAsia="宋体"/>
          <w:b w:val="0"/>
          <w:sz w:val="21"/>
        </w:rPr>
        <w:t xml:space="preserve"> 中的邻域定义为包含该顶点的所有超边之并：</w:t>
      </w:r>
    </w:p>
    <w:p>
      <w:pPr>
        <w:spacing w:after="60"/>
        <w:jc w:val="center"/>
      </w:pPr>
      <w:r>
        <w:rPr>
          <w:rFonts w:ascii="Times New Roman" w:hAnsi="Times New Roman" w:eastAsia="Times New Roman"/>
          <w:b w:val="0"/>
          <w:sz w:val="21"/>
        </w:rPr>
        <w:t>N(v) = ⋃{e | e ∈ E, v ∈ e}</w:t>
      </w:r>
    </w:p>
    <w:p>
      <w:pPr>
        <w:spacing w:after="60"/>
        <w:ind w:firstLine="420"/>
      </w:pPr>
      <w:r>
        <w:rPr>
          <w:rFonts w:ascii="Times New Roman" w:hAnsi="Times New Roman" w:eastAsia="宋体"/>
          <w:b w:val="0"/>
          <w:sz w:val="21"/>
        </w:rPr>
        <w:t>N(v) 包含了与 v 共享至少一条超边的所有其他顶点，无论这些顶点是否在同一超边中直接关联。</w:t>
      </w:r>
    </w:p>
    <w:p>
      <w:pPr>
        <w:spacing w:after="60"/>
        <w:ind w:firstLine="420"/>
      </w:pPr>
      <w:r>
        <w:rPr>
          <w:rFonts w:ascii="Times New Roman" w:hAnsi="Times New Roman" w:eastAsia="黑体"/>
          <w:b/>
          <w:sz w:val="21"/>
        </w:rPr>
        <w:t>定义3（超边的一阶扩散）</w:t>
      </w:r>
      <w:r>
        <w:rPr>
          <w:rFonts w:ascii="Times New Roman" w:hAnsi="Times New Roman" w:eastAsia="宋体"/>
          <w:b w:val="0"/>
          <w:sz w:val="21"/>
        </w:rPr>
        <w:t xml:space="preserve">  给定超边 </w:t>
      </w:r>
      <w:r>
        <w:rPr>
          <w:rFonts w:ascii="Times New Roman" w:hAnsi="Times New Roman" w:eastAsia="Times New Roman"/>
          <w:b/>
          <w:sz w:val="21"/>
        </w:rPr>
        <w:t>e ∈ E</w:t>
      </w:r>
      <w:r>
        <w:rPr>
          <w:rFonts w:ascii="Times New Roman" w:hAnsi="Times New Roman" w:eastAsia="宋体"/>
          <w:b w:val="0"/>
          <w:sz w:val="21"/>
        </w:rPr>
        <w:t>，其沿超边结构的一阶扩散定义为该超边包含的全部顶点及其邻域的扩展集合：</w:t>
      </w:r>
    </w:p>
    <w:p>
      <w:pPr>
        <w:spacing w:after="60"/>
        <w:jc w:val="center"/>
      </w:pPr>
      <w:r>
        <w:rPr>
          <w:rFonts w:ascii="Times New Roman" w:hAnsi="Times New Roman" w:eastAsia="Times New Roman"/>
          <w:b w:val="0"/>
          <w:sz w:val="21"/>
        </w:rPr>
        <w:t>Expand(e) = ⋃{N(v) | v ∈ e}</w:t>
      </w:r>
    </w:p>
    <w:p>
      <w:pPr>
        <w:spacing w:after="60"/>
        <w:ind w:firstLine="420"/>
      </w:pPr>
      <w:r>
        <w:rPr>
          <w:rFonts w:ascii="Times New Roman" w:hAnsi="Times New Roman" w:eastAsia="宋体"/>
          <w:b w:val="0"/>
          <w:sz w:val="21"/>
        </w:rPr>
        <w:t>该操作通过超边内部任一顶点为跳板，沿超边网络扩展一步，获取所有一阶可达的顶点集合。</w:t>
      </w:r>
    </w:p>
    <w:p>
      <w:pPr>
        <w:spacing w:lineRule="exact" w:line="315" w:before="0" w:after="0"/>
        <w:ind w:firstLine="420"/>
        <w:jc w:val="both"/>
      </w:pPr>
      <w:r>
        <w:rPr>
          <w:rFonts w:ascii="Times New Roman" w:hAnsi="Times New Roman" w:eastAsia="宋体"/>
          <w:b w:val="0"/>
          <w:sz w:val="21"/>
        </w:rPr>
        <w:t>超图与普通图的检索效率对比。假设某实验事实涉及 k 个变量 {v₁, v₂, ..., vₖ}（k ≥ 5）。在普通图中，该事实被拆分为 C(k,2) = O(k²) 条二元边。检索时需执行 O(k²) 次独立的边查询，且每次查询仅返回两个端点，无法直接恢复完整的实验上下文。在超图中，这 k 个变量被封装为一条超边 e；单次超边查询即可返回全部 k 个成员，时间复杂度为 O(|e|) = O(k)。更重要的是，超图检索保证了语义完整性：一次查询返回的是一个完整的实验事实单元，而非需二次组合的碎片化二元关系。</w:t>
      </w:r>
    </w:p>
    <w:p>
      <w:pPr>
        <w:spacing w:before="120" w:after="60"/>
        <w:ind w:firstLine="420"/>
      </w:pPr>
      <w:r>
        <w:rPr>
          <w:rFonts w:ascii="Times New Roman" w:hAnsi="Times New Roman" w:eastAsia="黑体"/>
          <w:b/>
          <w:sz w:val="21"/>
        </w:rPr>
        <w:t>2.3 实验事实单元（EFU）的超图建模</w:t>
      </w:r>
    </w:p>
    <w:p>
      <w:pPr>
        <w:spacing w:after="60"/>
        <w:ind w:firstLine="420"/>
      </w:pPr>
      <w:r>
        <w:rPr>
          <w:rFonts w:ascii="Times New Roman" w:hAnsi="Times New Roman" w:eastAsia="黑体"/>
          <w:b/>
          <w:sz w:val="21"/>
        </w:rPr>
        <w:t>定义4（实验事实单元，Experimental Fact Unit, EFU）</w:t>
      </w:r>
      <w:r>
        <w:rPr>
          <w:rFonts w:ascii="Times New Roman" w:hAnsi="Times New Roman" w:eastAsia="宋体"/>
          <w:b w:val="0"/>
          <w:sz w:val="21"/>
        </w:rPr>
        <w:t xml:space="preserve">  EFU是针对化工实验知识的一种领域语义单元，用于封装同一实验中多个变量共同成立的联合断言。EFU并非引入新的数学结构，而是将化工领域中的"多变量共同成立的实验事实"映射为超图中的一条高阶超边。</w:t>
      </w:r>
    </w:p>
    <w:p>
      <w:pPr>
        <w:spacing w:lineRule="exact" w:line="315" w:before="0" w:after="0"/>
        <w:ind w:firstLine="420"/>
        <w:jc w:val="both"/>
      </w:pPr>
      <w:r>
        <w:rPr>
          <w:rFonts w:ascii="Times New Roman" w:hAnsi="Times New Roman" w:eastAsia="宋体"/>
          <w:b w:val="0"/>
          <w:sz w:val="21"/>
        </w:rPr>
        <w:t>形式化地，一个EFU对应超图 H = (V, E) 中的一条超边 e ∈ E，其中 e = {v₁, v₂, ..., vₖ}（k ≥ 3）。每个 vᵢ ∈ V 是一个具有特定类型的实体节点，其类型标注来自预定义的实体类型体系（见表1）。一个EFU的组成变量通常涵盖以下四类：</w:t>
      </w:r>
    </w:p>
    <w:p>
      <w:pPr>
        <w:spacing w:after="40"/>
        <w:ind w:left="839" w:hanging="420"/>
      </w:pPr>
      <w:r>
        <w:rPr>
          <w:rFonts w:ascii="Times New Roman" w:hAnsi="Times New Roman" w:eastAsia="宋体"/>
          <w:b w:val="0"/>
          <w:sz w:val="21"/>
        </w:rPr>
        <w:t>· 体系或材料（System/Material）：实验所研究的物质体系或功能材料；</w:t>
      </w:r>
    </w:p>
    <w:p>
      <w:pPr>
        <w:spacing w:after="40"/>
        <w:ind w:left="839" w:hanging="420"/>
      </w:pPr>
      <w:r>
        <w:rPr>
          <w:rFonts w:ascii="Times New Roman" w:hAnsi="Times New Roman" w:eastAsia="宋体"/>
          <w:b w:val="0"/>
          <w:sz w:val="21"/>
        </w:rPr>
        <w:t>· 操作条件（Condition）：温度、压力、浓度、pH、流速、电流密度等外部约束参数；</w:t>
      </w:r>
    </w:p>
    <w:p>
      <w:pPr>
        <w:spacing w:after="40"/>
        <w:ind w:left="839" w:hanging="420"/>
      </w:pPr>
      <w:r>
        <w:rPr>
          <w:rFonts w:ascii="Times New Roman" w:hAnsi="Times New Roman" w:eastAsia="宋体"/>
          <w:b w:val="0"/>
          <w:sz w:val="21"/>
        </w:rPr>
        <w:t>· 性能指标（Performance）：效率、降解率、脱氟率、选择性、容量保持率等实验结果度量；</w:t>
      </w:r>
    </w:p>
    <w:p>
      <w:pPr>
        <w:spacing w:after="40"/>
        <w:ind w:left="839" w:hanging="420"/>
      </w:pPr>
      <w:r>
        <w:rPr>
          <w:rFonts w:ascii="Times New Roman" w:hAnsi="Times New Roman" w:eastAsia="宋体"/>
          <w:b w:val="0"/>
          <w:sz w:val="21"/>
        </w:rPr>
        <w:t>· 机理证据（Mechanism）：自由基鉴定、中间产物分析、DFT计算、原位光谱等支持性证据。</w:t>
      </w:r>
    </w:p>
    <w:p>
      <w:pPr>
        <w:spacing w:lineRule="exact" w:line="315" w:before="0" w:after="0"/>
        <w:ind w:firstLine="420"/>
        <w:jc w:val="both"/>
      </w:pPr>
      <w:r>
        <w:rPr>
          <w:rFonts w:ascii="Times New Roman" w:hAnsi="Times New Roman" w:eastAsia="宋体"/>
          <w:b w:val="0"/>
          <w:sz w:val="21"/>
        </w:rPr>
        <w:t>EFU的核心语义在于保留"这些变量在同一实验中共同成立"的完整性。例如，一条超边可同时连接"全钒液流电池体系""Nafion 117膜""石墨毡电极""电流密度 100 mA/cm²""能量效率 85%""容量衰减率 0.05%/cycle"，完整表达一个"体系—材料—条件—指标—衰减"的组合事实。该超边作为一个不可分割的检索单元，保证了检索结果中材料、条件、指标与机理之间的上下文完整性。</w:t>
      </w:r>
    </w:p>
    <w:p>
      <w:pPr>
        <w:spacing w:lineRule="exact" w:line="315" w:before="0" w:after="0"/>
        <w:ind w:firstLine="420"/>
        <w:jc w:val="both"/>
      </w:pPr>
      <w:r>
        <w:rPr>
          <w:rFonts w:ascii="Times New Roman" w:hAnsi="Times New Roman" w:eastAsia="宋体"/>
          <w:b w:val="0"/>
          <w:sz w:val="21"/>
        </w:rPr>
        <w:t>EFU建模相较于普通图建模的优势。若将上述EFU用普通图建模，则需拆分为 C(6,2) = 15 条二元边。这一拆分导致三重问题：（1）信息碎片化——同一实验的 k 个变量被分散到 O(k²) 条独立边中，位于图谱的不同位置；（2）语义丢失——"多个条件共同作用于某一结果"的联合约束语义在二元拆分中无法表达，15条独立边无法区分"这些边属于同一实验"与"这些边来自不同实验"；（3）检索不完整——检索时可能仅召回部分二元关系，无法恢复完整的实验上下文，导致下游生成模型获得有偏输入。EFU通过一条高阶超边将 k 个变量封装为单一检索单元，上述三重问题在同一数据结构层面得到消解。</w:t>
      </w:r>
    </w:p>
    <w:p>
      <w:pPr>
        <w:spacing w:before="120" w:after="60"/>
        <w:ind w:firstLine="420"/>
      </w:pPr>
      <w:r>
        <w:rPr>
          <w:rFonts w:ascii="Times New Roman" w:hAnsi="Times New Roman" w:eastAsia="黑体"/>
          <w:b/>
          <w:sz w:val="21"/>
        </w:rPr>
        <w:t>2.4 Hyper-ChE框架</w:t>
      </w:r>
    </w:p>
    <w:p>
      <w:pPr>
        <w:spacing w:lineRule="exact" w:line="315" w:before="0" w:after="0"/>
        <w:ind w:firstLine="420"/>
        <w:jc w:val="both"/>
      </w:pPr>
      <w:r>
        <w:rPr>
          <w:rFonts w:ascii="Times New Roman" w:hAnsi="Times New Roman" w:eastAsia="宋体"/>
          <w:b w:val="0"/>
          <w:sz w:val="21"/>
        </w:rPr>
        <w:t>Feng等[4]提出的Hyper-RAG框架以超图结构替代传统二元图进行知识检索与问答，证明了高阶关系表示在复杂知识检索中的有效性。本文在该框架基础上，面向化工文献中普遍存在的多变量共同约束关系进行领域适配，提出面向化工知识表达的Hyper-ChE（Hypergraph for Chemical Engineering）框架。</w:t>
      </w:r>
    </w:p>
    <w:p>
      <w:pPr>
        <w:spacing w:lineRule="exact" w:line="315" w:before="0" w:after="0"/>
        <w:ind w:firstLine="420"/>
        <w:jc w:val="both"/>
      </w:pPr>
      <w:r>
        <w:rPr>
          <w:rFonts w:ascii="Times New Roman" w:hAnsi="Times New Roman" w:eastAsia="宋体"/>
          <w:b w:val="0"/>
          <w:sz w:val="21"/>
        </w:rPr>
        <w:t>Hyper-ChE框架包含四个核心步骤：文献解析与文本分块、结构化信息抽取、超图构建与索引、增强检索与回答生成。以下分步详述。</w:t>
      </w:r>
    </w:p>
    <w:p>
      <w:pPr>
        <w:spacing w:lineRule="exact" w:line="315" w:before="0" w:after="0"/>
        <w:ind w:firstLine="420"/>
        <w:jc w:val="both"/>
      </w:pPr>
      <w:r>
        <w:rPr>
          <w:rFonts w:ascii="Times New Roman" w:hAnsi="Times New Roman" w:eastAsia="宋体"/>
          <w:b w:val="0"/>
          <w:sz w:val="21"/>
        </w:rPr>
        <w:t>步骤一：文献解析与文本分块。将输入的PDF或Markdown格式化工文献进行版面解析与文本提取。对PDF文献，采用基于规则的版面分析工具提取正文段落，过滤页眉、页脚、页码及期刊格式信息；对Markdown文献，直接解析章节层级结构。随后采用语义保持的分块策略，以段落为基本单元，将文本切分为不超过预设长度上限（如512或1024个token）的片段序列。分块时优先在段落边界处切断，避免在化学实体或数值描述中间截断。每个文本片段记录其来源文献ID、章节标题与段落序号，作为后续溯源的元数据。</w:t>
      </w:r>
    </w:p>
    <w:p>
      <w:pPr>
        <w:spacing w:lineRule="exact" w:line="315" w:before="0" w:after="0"/>
        <w:ind w:firstLine="420"/>
        <w:jc w:val="both"/>
      </w:pPr>
      <w:r>
        <w:rPr>
          <w:rFonts w:ascii="Times New Roman" w:hAnsi="Times New Roman" w:eastAsia="宋体"/>
          <w:b w:val="0"/>
          <w:sz w:val="21"/>
        </w:rPr>
        <w:t>步骤二：结构化信息抽取。该步骤通过两次大语言模型（LLM）调用实现，确保实体识别的完备性与关系抽取的准确性。第一次LLM调用为实体识别：输入为文本片段及领域提示词，提示词中预定义化工领域的通用实体类型体系（表1）。LLM输出JSON格式的实体列表，每个实体包含 entity_id、entity_name、entity_type 三个字段。entity_type 的取值来自表1中的实体类型枚举，确保类型标注的一致性。第二次LLM调用为关系与超边抽取：输入为原始文本片段及第一次调用抽取的全部实体列表。提示词中预定义低阶关系类型（二元）和高阶超边类型（三元及以上）。LLM输出JSON格式的结构化结果，包含两个列表：relations（低阶二元关系列表）和 hyperedges（高阶超边列表，每条记录对应一个EFU）。两次调用的分离设计基于以下考量：若将实体识别与关系抽取合并为单次调用，LLM在生成长JSON输出时易出现实体遗漏或关系错位。分步调用使第二次调用能够基于已确定的实体集合进行关系判断，减少实体识别错误向关系抽取环节的传播。</w:t>
      </w:r>
    </w:p>
    <w:p>
      <w:pPr>
        <w:spacing w:lineRule="exact" w:line="315" w:before="0" w:after="0"/>
        <w:ind w:firstLine="420"/>
        <w:jc w:val="both"/>
      </w:pPr>
      <w:r>
        <w:rPr>
          <w:rFonts w:ascii="Times New Roman" w:hAnsi="Times New Roman" w:eastAsia="宋体"/>
          <w:b w:val="0"/>
          <w:sz w:val="21"/>
        </w:rPr>
        <w:t>步骤三：超图构建与索引。将步骤二抽取的全部实体写入顶点集合 V，每个顶点附带其类型标签与来源文献信息。将 relations 列表中的二元关系转换为 |e|=2 的超边，将 hyperedges 列表中的每条记录转换为 |e| ≥ 3 的高阶超边，统一写入超边集合 E。同时建立三类索引：（1）实体名称的倒排索引，支持精确匹配与前缀查询；（2）实体属性的向量索引，基于预训练语言模型将实体文本描述编码为稠密向量；（3）原文片段的向量索引，支持语义相似度检索。超图的邻接关系以邻接表形式存储，支持从顶点到关联超边及从超边到成员顶点的双向快速访问。</w:t>
      </w:r>
    </w:p>
    <w:p>
      <w:pPr>
        <w:spacing w:lineRule="exact" w:line="315" w:before="0" w:after="0"/>
        <w:ind w:firstLine="420"/>
        <w:jc w:val="both"/>
      </w:pPr>
      <w:r>
        <w:rPr>
          <w:rFonts w:ascii="Times New Roman" w:hAnsi="Times New Roman" w:eastAsia="宋体"/>
          <w:b w:val="0"/>
          <w:sz w:val="21"/>
        </w:rPr>
        <w:t>步骤四：增强检索与回答生成。用户查询首先经领域化提示词进行关键词抽取，识别查询中涉及的化工实体（如材料名称、条件参数、性能指标）。随后并行执行两条检索路径：实体路径（Entity Path）以查询中提取的实体为起点，在实体名称倒排索引与向量索引中召回相关顶点集合 Vq ⊆ V，对每个 v ∈ Vq 沿邻接表获取其邻域 N(v)，进而获取所有包含 v 的超边；关系路径（Hyperedge Path）将查询整体编码为查询向量，在超边集合 E 的向量索引中进行语义相似度检索，召回与查询语义最相关的高阶超边集合 Eq ⊆ E，对每条超边展开其全部成员顶点及各自的邻域。两条路径的结果经过去重与排序后融合为统一的上下文窗口，连同原始查询一并输入大语言模型生成回答。</w:t>
      </w:r>
    </w:p>
    <w:p>
      <w:pPr>
        <w:spacing w:lineRule="exact" w:line="315" w:before="0" w:after="0"/>
        <w:ind w:firstLine="420"/>
        <w:jc w:val="both"/>
      </w:pPr>
      <w:r>
        <w:rPr>
          <w:rFonts w:ascii="Times New Roman" w:hAnsi="Times New Roman" w:eastAsia="宋体"/>
          <w:b w:val="0"/>
          <w:sz w:val="21"/>
        </w:rPr>
        <w:t>与Graph-RAG基线的对比。Hyper-ChE与基于普通图的Graph-RAG相比，核心差异体现在三个层面：（1）知识建模层——Graph-RAG将实验事实拆分为二元边，Hyper-ChE保留高阶超边的完整性；（2）检索机制层——Graph-RAG依赖多跳遍历重组碎片化信息，Hyper-ChE通过单条超边查询获取完整EFU；（3）上下文质量层——Graph-RAG的检索结果可能遗漏关键变量或混入无关组合，Hyper-ChE的EFU输出保证多变量上下文的内在一致性。</w:t>
      </w:r>
    </w:p>
    <w:p>
      <w:pPr>
        <w:spacing w:lineRule="exact" w:line="315" w:before="0" w:after="0"/>
        <w:ind w:firstLine="420"/>
        <w:jc w:val="both"/>
      </w:pPr>
      <w:r>
        <w:rPr>
          <w:rFonts w:ascii="Times New Roman" w:hAnsi="Times New Roman" w:eastAsia="宋体"/>
          <w:b w:val="0"/>
          <w:sz w:val="21"/>
        </w:rPr>
        <w:t>领域适配的可迁移性。Hyper-ChE框架的实体类型体系与超边类型体系通过配置文件定义，与核心检索逻辑解耦。虽然本文以液流电池和PFAS去除与降解两个子领域为例进行实例化，但相同的框架结构可直接迁移至其他化工子领域（如催化加氢、电催化CO₂还原、光催化制氢等），仅需替换领域特定的实体类型与关系类型定义，无需修改超图构建与检索的核心算法。</w:t>
      </w:r>
    </w:p>
    <w:p>
      <w:pPr>
        <w:spacing w:before="120" w:after="60"/>
        <w:ind w:firstLine="420"/>
      </w:pPr>
      <w:r>
        <w:rPr>
          <w:rFonts w:ascii="Times New Roman" w:hAnsi="Times New Roman" w:eastAsia="黑体"/>
          <w:b/>
          <w:sz w:val="21"/>
        </w:rPr>
        <w:t>表1 化工领域实体类型与超边类型定义</w:t>
      </w:r>
    </w:p>
    <w:tbl>
      <w:tblPr>
        <w:tblStyle w:val="TableGrid"/>
        <w:tblW w:type="auto" w:w="0"/>
        <w:tblLayout w:type="fixed"/>
        <w:tblLook w:firstColumn="1" w:firstRow="1" w:lastColumn="0" w:lastRow="0" w:noHBand="0" w:noVBand="1" w:val="04A0"/>
      </w:tblPr>
      <w:tblGrid>
        <w:gridCol w:w="1984"/>
        <w:gridCol w:w="1701"/>
        <w:gridCol w:w="4252"/>
      </w:tblGrid>
      <w:tr>
        <w:tc>
          <w:tcPr>
            <w:tcW w:type="dxa" w:w="2771"/>
          </w:tcPr>
          <w:p>
            <w:pPr>
              <w:jc w:val="center"/>
            </w:pPr>
            <w:r>
              <w:rPr>
                <w:rFonts w:ascii="Times New Roman" w:hAnsi="Times New Roman" w:eastAsia="黑体"/>
                <w:b/>
                <w:sz w:val="18"/>
              </w:rPr>
              <w:t>实体类型</w:t>
            </w:r>
          </w:p>
        </w:tc>
        <w:tc>
          <w:tcPr>
            <w:tcW w:type="dxa" w:w="2771"/>
          </w:tcPr>
          <w:p>
            <w:pPr>
              <w:jc w:val="center"/>
            </w:pPr>
            <w:r>
              <w:rPr>
                <w:rFonts w:ascii="Times New Roman" w:hAnsi="Times New Roman" w:eastAsia="黑体"/>
                <w:b/>
                <w:sz w:val="18"/>
              </w:rPr>
              <w:t>含义</w:t>
            </w:r>
          </w:p>
        </w:tc>
        <w:tc>
          <w:tcPr>
            <w:tcW w:type="dxa" w:w="2771"/>
          </w:tcPr>
          <w:p>
            <w:pPr>
              <w:jc w:val="center"/>
            </w:pPr>
            <w:r>
              <w:rPr>
                <w:rFonts w:ascii="Times New Roman" w:hAnsi="Times New Roman" w:eastAsia="黑体"/>
                <w:b/>
                <w:sz w:val="18"/>
              </w:rPr>
              <w:t>示例或说明</w:t>
            </w:r>
          </w:p>
        </w:tc>
      </w:tr>
      <w:tr>
        <w:tc>
          <w:tcPr>
            <w:tcW w:type="dxa" w:w="1984"/>
          </w:tcPr>
          <w:p>
            <w:pPr>
              <w:jc w:val="left"/>
            </w:pPr>
            <w:r>
              <w:rPr>
                <w:rFonts w:ascii="Times New Roman" w:hAnsi="Times New Roman" w:eastAsia="Times New Roman"/>
                <w:b w:val="0"/>
                <w:sz w:val="18"/>
              </w:rPr>
              <w:t>SYSTEM</w:t>
            </w:r>
          </w:p>
        </w:tc>
        <w:tc>
          <w:tcPr>
            <w:tcW w:type="dxa" w:w="1701"/>
          </w:tcPr>
          <w:p>
            <w:pPr>
              <w:jc w:val="left"/>
            </w:pPr>
            <w:r>
              <w:rPr>
                <w:rFonts w:ascii="Times New Roman" w:hAnsi="Times New Roman" w:eastAsia="宋体"/>
                <w:b w:val="0"/>
                <w:sz w:val="18"/>
              </w:rPr>
              <w:t>化学体系或反应体系</w:t>
            </w:r>
          </w:p>
        </w:tc>
        <w:tc>
          <w:tcPr>
            <w:tcW w:type="dxa" w:w="4252"/>
          </w:tcPr>
          <w:p>
            <w:pPr>
              <w:jc w:val="left"/>
            </w:pPr>
            <w:r>
              <w:rPr>
                <w:rFonts w:ascii="Times New Roman" w:hAnsi="Times New Roman" w:eastAsia="宋体"/>
                <w:b w:val="0"/>
                <w:sz w:val="18"/>
              </w:rPr>
              <w:t>全钒液流电池、电Fenton体系、光催化体系</w:t>
            </w:r>
          </w:p>
        </w:tc>
      </w:tr>
      <w:tr>
        <w:tc>
          <w:tcPr>
            <w:tcW w:type="dxa" w:w="1984"/>
          </w:tcPr>
          <w:p>
            <w:pPr>
              <w:jc w:val="left"/>
            </w:pPr>
            <w:r>
              <w:rPr>
                <w:rFonts w:ascii="Times New Roman" w:hAnsi="Times New Roman" w:eastAsia="Times New Roman"/>
                <w:b w:val="0"/>
                <w:sz w:val="18"/>
              </w:rPr>
              <w:t>MATERIAL</w:t>
            </w:r>
          </w:p>
        </w:tc>
        <w:tc>
          <w:tcPr>
            <w:tcW w:type="dxa" w:w="1701"/>
          </w:tcPr>
          <w:p>
            <w:pPr>
              <w:jc w:val="left"/>
            </w:pPr>
            <w:r>
              <w:rPr>
                <w:rFonts w:ascii="Times New Roman" w:hAnsi="Times New Roman" w:eastAsia="宋体"/>
                <w:b w:val="0"/>
                <w:sz w:val="18"/>
              </w:rPr>
              <w:t>功能材料或催化材料</w:t>
            </w:r>
          </w:p>
        </w:tc>
        <w:tc>
          <w:tcPr>
            <w:tcW w:type="dxa" w:w="4252"/>
          </w:tcPr>
          <w:p>
            <w:pPr>
              <w:jc w:val="left"/>
            </w:pPr>
            <w:r>
              <w:rPr>
                <w:rFonts w:ascii="Times New Roman" w:hAnsi="Times New Roman" w:eastAsia="宋体"/>
                <w:b w:val="0"/>
                <w:sz w:val="18"/>
              </w:rPr>
              <w:t>Nafion 117膜、石墨毡电极、Pd-Fe/Al₂O₃催化剂</w:t>
            </w:r>
          </w:p>
        </w:tc>
      </w:tr>
      <w:tr>
        <w:tc>
          <w:tcPr>
            <w:tcW w:type="dxa" w:w="1984"/>
          </w:tcPr>
          <w:p>
            <w:pPr>
              <w:jc w:val="left"/>
            </w:pPr>
            <w:r>
              <w:rPr>
                <w:rFonts w:ascii="Times New Roman" w:hAnsi="Times New Roman" w:eastAsia="Times New Roman"/>
                <w:b w:val="0"/>
                <w:sz w:val="18"/>
              </w:rPr>
              <w:t>ACTIVE_SPECIES</w:t>
            </w:r>
          </w:p>
        </w:tc>
        <w:tc>
          <w:tcPr>
            <w:tcW w:type="dxa" w:w="1701"/>
          </w:tcPr>
          <w:p>
            <w:pPr>
              <w:jc w:val="left"/>
            </w:pPr>
            <w:r>
              <w:rPr>
                <w:rFonts w:ascii="Times New Roman" w:hAnsi="Times New Roman" w:eastAsia="宋体"/>
                <w:b w:val="0"/>
                <w:sz w:val="18"/>
              </w:rPr>
              <w:t>活性物种或氧化还原对</w:t>
            </w:r>
          </w:p>
        </w:tc>
        <w:tc>
          <w:tcPr>
            <w:tcW w:type="dxa" w:w="4252"/>
          </w:tcPr>
          <w:p>
            <w:pPr>
              <w:jc w:val="left"/>
            </w:pPr>
            <w:r>
              <w:rPr>
                <w:rFonts w:ascii="Times New Roman" w:hAnsi="Times New Roman" w:eastAsia="宋体"/>
                <w:b w:val="0"/>
                <w:sz w:val="18"/>
              </w:rPr>
              <w:t>V²⁺/V³⁺、VO²⁺/VO₂⁺、·OH、SO₄·⁻</w:t>
            </w:r>
          </w:p>
        </w:tc>
      </w:tr>
      <w:tr>
        <w:tc>
          <w:tcPr>
            <w:tcW w:type="dxa" w:w="1984"/>
          </w:tcPr>
          <w:p>
            <w:pPr>
              <w:jc w:val="left"/>
            </w:pPr>
            <w:r>
              <w:rPr>
                <w:rFonts w:ascii="Times New Roman" w:hAnsi="Times New Roman" w:eastAsia="Times New Roman"/>
                <w:b w:val="0"/>
                <w:sz w:val="18"/>
              </w:rPr>
              <w:t>CONDITION</w:t>
            </w:r>
          </w:p>
        </w:tc>
        <w:tc>
          <w:tcPr>
            <w:tcW w:type="dxa" w:w="1701"/>
          </w:tcPr>
          <w:p>
            <w:pPr>
              <w:jc w:val="left"/>
            </w:pPr>
            <w:r>
              <w:rPr>
                <w:rFonts w:ascii="Times New Roman" w:hAnsi="Times New Roman" w:eastAsia="宋体"/>
                <w:b w:val="0"/>
                <w:sz w:val="18"/>
              </w:rPr>
              <w:t>操作条件或实验参数</w:t>
            </w:r>
          </w:p>
        </w:tc>
        <w:tc>
          <w:tcPr>
            <w:tcW w:type="dxa" w:w="4252"/>
          </w:tcPr>
          <w:p>
            <w:pPr>
              <w:jc w:val="left"/>
            </w:pPr>
            <w:r>
              <w:rPr>
                <w:rFonts w:ascii="Times New Roman" w:hAnsi="Times New Roman" w:eastAsia="宋体"/>
                <w:b w:val="0"/>
                <w:sz w:val="18"/>
              </w:rPr>
              <w:t>电流密度100 mA/cm²、温度25°C、pH 3.0</w:t>
            </w:r>
          </w:p>
        </w:tc>
      </w:tr>
      <w:tr>
        <w:tc>
          <w:tcPr>
            <w:tcW w:type="dxa" w:w="1984"/>
          </w:tcPr>
          <w:p>
            <w:pPr>
              <w:jc w:val="left"/>
            </w:pPr>
            <w:r>
              <w:rPr>
                <w:rFonts w:ascii="Times New Roman" w:hAnsi="Times New Roman" w:eastAsia="Times New Roman"/>
                <w:b w:val="0"/>
                <w:sz w:val="18"/>
              </w:rPr>
              <w:t>PERFORMANCE</w:t>
            </w:r>
          </w:p>
        </w:tc>
        <w:tc>
          <w:tcPr>
            <w:tcW w:type="dxa" w:w="1701"/>
          </w:tcPr>
          <w:p>
            <w:pPr>
              <w:jc w:val="left"/>
            </w:pPr>
            <w:r>
              <w:rPr>
                <w:rFonts w:ascii="Times New Roman" w:hAnsi="Times New Roman" w:eastAsia="宋体"/>
                <w:b w:val="0"/>
                <w:sz w:val="18"/>
              </w:rPr>
              <w:t>性能指标或实验结果</w:t>
            </w:r>
          </w:p>
        </w:tc>
        <w:tc>
          <w:tcPr>
            <w:tcW w:type="dxa" w:w="4252"/>
          </w:tcPr>
          <w:p>
            <w:pPr>
              <w:jc w:val="left"/>
            </w:pPr>
            <w:r>
              <w:rPr>
                <w:rFonts w:ascii="Times New Roman" w:hAnsi="Times New Roman" w:eastAsia="宋体"/>
                <w:b w:val="0"/>
                <w:sz w:val="18"/>
              </w:rPr>
              <w:t>能量效率85%、脱氟率95%、容量衰减率0.05%/cycle</w:t>
            </w:r>
          </w:p>
        </w:tc>
      </w:tr>
      <w:tr>
        <w:tc>
          <w:tcPr>
            <w:tcW w:type="dxa" w:w="1984"/>
          </w:tcPr>
          <w:p>
            <w:pPr>
              <w:jc w:val="left"/>
            </w:pPr>
            <w:r>
              <w:rPr>
                <w:rFonts w:ascii="Times New Roman" w:hAnsi="Times New Roman" w:eastAsia="Times New Roman"/>
                <w:b w:val="0"/>
                <w:sz w:val="18"/>
              </w:rPr>
              <w:t>MECHANISM</w:t>
            </w:r>
          </w:p>
        </w:tc>
        <w:tc>
          <w:tcPr>
            <w:tcW w:type="dxa" w:w="1701"/>
          </w:tcPr>
          <w:p>
            <w:pPr>
              <w:jc w:val="left"/>
            </w:pPr>
            <w:r>
              <w:rPr>
                <w:rFonts w:ascii="Times New Roman" w:hAnsi="Times New Roman" w:eastAsia="宋体"/>
                <w:b w:val="0"/>
                <w:sz w:val="18"/>
              </w:rPr>
              <w:t>机理证据或机制描述</w:t>
            </w:r>
          </w:p>
        </w:tc>
        <w:tc>
          <w:tcPr>
            <w:tcW w:type="dxa" w:w="4252"/>
          </w:tcPr>
          <w:p>
            <w:pPr>
              <w:jc w:val="left"/>
            </w:pPr>
            <w:r>
              <w:rPr>
                <w:rFonts w:ascii="Times New Roman" w:hAnsi="Times New Roman" w:eastAsia="宋体"/>
                <w:b w:val="0"/>
                <w:sz w:val="18"/>
              </w:rPr>
              <w:t>自由基猝灭实验、DFT计算（ΔG = -1.23 eV）、原位FTIR</w:t>
            </w:r>
          </w:p>
        </w:tc>
      </w:tr>
      <w:tr>
        <w:tc>
          <w:tcPr>
            <w:tcW w:type="dxa" w:w="1984"/>
          </w:tcPr>
          <w:p>
            <w:pPr>
              <w:jc w:val="left"/>
            </w:pPr>
            <w:r>
              <w:rPr>
                <w:rFonts w:ascii="Times New Roman" w:hAnsi="Times New Roman" w:eastAsia="Times New Roman"/>
                <w:b w:val="0"/>
                <w:sz w:val="18"/>
              </w:rPr>
              <w:t>INTERMEDIATE</w:t>
            </w:r>
          </w:p>
        </w:tc>
        <w:tc>
          <w:tcPr>
            <w:tcW w:type="dxa" w:w="1701"/>
          </w:tcPr>
          <w:p>
            <w:pPr>
              <w:jc w:val="left"/>
            </w:pPr>
            <w:r>
              <w:rPr>
                <w:rFonts w:ascii="Times New Roman" w:hAnsi="Times New Roman" w:eastAsia="宋体"/>
                <w:b w:val="0"/>
                <w:sz w:val="18"/>
              </w:rPr>
              <w:t>中间产物或副产物</w:t>
            </w:r>
          </w:p>
        </w:tc>
        <w:tc>
          <w:tcPr>
            <w:tcW w:type="dxa" w:w="4252"/>
          </w:tcPr>
          <w:p>
            <w:pPr>
              <w:jc w:val="left"/>
            </w:pPr>
            <w:r>
              <w:rPr>
                <w:rFonts w:ascii="Times New Roman" w:hAnsi="Times New Roman" w:eastAsia="宋体"/>
                <w:b w:val="0"/>
                <w:sz w:val="18"/>
              </w:rPr>
              <w:t>CF₃COOH（PFOA降解中间体）、V(IV)沉淀物</w:t>
            </w:r>
          </w:p>
        </w:tc>
      </w:tr>
    </w:tbl>
    <w:p>
      <w:pPr>
        <w:spacing w:after="60"/>
      </w:pPr>
    </w:p>
    <w:p>
      <w:pPr>
        <w:spacing w:before="120" w:after="60"/>
        <w:ind w:firstLine="420"/>
      </w:pPr>
      <w:r>
        <w:rPr>
          <w:rFonts w:ascii="Times New Roman" w:hAnsi="Times New Roman" w:eastAsia="黑体"/>
          <w:b/>
          <w:sz w:val="21"/>
        </w:rPr>
        <w:t>表1（续） 超边类型定义</w:t>
      </w:r>
    </w:p>
    <w:tbl>
      <w:tblPr>
        <w:tblStyle w:val="TableGrid"/>
        <w:tblW w:type="auto" w:w="0"/>
        <w:tblLayout w:type="fixed"/>
        <w:tblLook w:firstColumn="1" w:firstRow="1" w:lastColumn="0" w:lastRow="0" w:noHBand="0" w:noVBand="1" w:val="04A0"/>
      </w:tblPr>
      <w:tblGrid>
        <w:gridCol w:w="1984"/>
        <w:gridCol w:w="1701"/>
        <w:gridCol w:w="4252"/>
      </w:tblGrid>
      <w:tr>
        <w:tc>
          <w:tcPr>
            <w:tcW w:type="dxa" w:w="2771"/>
          </w:tcPr>
          <w:p>
            <w:pPr>
              <w:jc w:val="center"/>
            </w:pPr>
            <w:r>
              <w:rPr>
                <w:rFonts w:ascii="Times New Roman" w:hAnsi="Times New Roman" w:eastAsia="黑体"/>
                <w:b/>
                <w:sz w:val="18"/>
              </w:rPr>
              <w:t>超边类型</w:t>
            </w:r>
          </w:p>
        </w:tc>
        <w:tc>
          <w:tcPr>
            <w:tcW w:type="dxa" w:w="2771"/>
          </w:tcPr>
          <w:p>
            <w:pPr>
              <w:jc w:val="center"/>
            </w:pPr>
            <w:r>
              <w:rPr>
                <w:rFonts w:ascii="Times New Roman" w:hAnsi="Times New Roman" w:eastAsia="黑体"/>
                <w:b/>
                <w:sz w:val="18"/>
              </w:rPr>
              <w:t>含义</w:t>
            </w:r>
          </w:p>
        </w:tc>
        <w:tc>
          <w:tcPr>
            <w:tcW w:type="dxa" w:w="2771"/>
          </w:tcPr>
          <w:p>
            <w:pPr>
              <w:jc w:val="center"/>
            </w:pPr>
            <w:r>
              <w:rPr>
                <w:rFonts w:ascii="Times New Roman" w:hAnsi="Times New Roman" w:eastAsia="黑体"/>
                <w:b/>
                <w:sz w:val="18"/>
              </w:rPr>
              <w:t>成员构成</w:t>
            </w:r>
          </w:p>
        </w:tc>
      </w:tr>
      <w:tr>
        <w:tc>
          <w:tcPr>
            <w:tcW w:type="dxa" w:w="1984"/>
          </w:tcPr>
          <w:p>
            <w:pPr>
              <w:jc w:val="left"/>
            </w:pPr>
            <w:r>
              <w:rPr>
                <w:rFonts w:ascii="Times New Roman" w:hAnsi="Times New Roman" w:eastAsia="Times New Roman"/>
                <w:b w:val="0"/>
                <w:sz w:val="18"/>
              </w:rPr>
              <w:t>OPERATION\_PERFORMANCE</w:t>
            </w:r>
          </w:p>
        </w:tc>
        <w:tc>
          <w:tcPr>
            <w:tcW w:type="dxa" w:w="1701"/>
          </w:tcPr>
          <w:p>
            <w:pPr>
              <w:jc w:val="left"/>
            </w:pPr>
            <w:r>
              <w:rPr>
                <w:rFonts w:ascii="Times New Roman" w:hAnsi="Times New Roman" w:eastAsia="宋体"/>
                <w:b w:val="0"/>
                <w:sz w:val="18"/>
              </w:rPr>
              <w:t>操作条件与性能之间的多变量联合关系</w:t>
            </w:r>
          </w:p>
        </w:tc>
        <w:tc>
          <w:tcPr>
            <w:tcW w:type="dxa" w:w="4252"/>
          </w:tcPr>
          <w:p>
            <w:pPr>
              <w:jc w:val="left"/>
            </w:pPr>
            <w:r>
              <w:rPr>
                <w:rFonts w:ascii="Times New Roman" w:hAnsi="Times New Roman" w:eastAsia="宋体"/>
                <w:b w:val="0"/>
                <w:sz w:val="18"/>
              </w:rPr>
              <w:t>{SYSTEM, MATERIAL, CONDITION, PERFORMANCE} 或扩展形式</w:t>
            </w:r>
          </w:p>
        </w:tc>
      </w:tr>
      <w:tr>
        <w:tc>
          <w:tcPr>
            <w:tcW w:type="dxa" w:w="1984"/>
          </w:tcPr>
          <w:p>
            <w:pPr>
              <w:jc w:val="left"/>
            </w:pPr>
            <w:r>
              <w:rPr>
                <w:rFonts w:ascii="Times New Roman" w:hAnsi="Times New Roman" w:eastAsia="Times New Roman"/>
                <w:b w:val="0"/>
                <w:sz w:val="18"/>
              </w:rPr>
              <w:t>MECHANISM\_EVIDENCE</w:t>
            </w:r>
          </w:p>
        </w:tc>
        <w:tc>
          <w:tcPr>
            <w:tcW w:type="dxa" w:w="1701"/>
          </w:tcPr>
          <w:p>
            <w:pPr>
              <w:jc w:val="left"/>
            </w:pPr>
            <w:r>
              <w:rPr>
                <w:rFonts w:ascii="Times New Roman" w:hAnsi="Times New Roman" w:eastAsia="宋体"/>
                <w:b w:val="0"/>
                <w:sz w:val="18"/>
              </w:rPr>
              <w:t>机理证据支持的因果链</w:t>
            </w:r>
          </w:p>
        </w:tc>
        <w:tc>
          <w:tcPr>
            <w:tcW w:type="dxa" w:w="4252"/>
          </w:tcPr>
          <w:p>
            <w:pPr>
              <w:jc w:val="left"/>
            </w:pPr>
            <w:r>
              <w:rPr>
                <w:rFonts w:ascii="Times New Roman" w:hAnsi="Times New Roman" w:eastAsia="宋体"/>
                <w:b w:val="0"/>
                <w:sz w:val="18"/>
              </w:rPr>
              <w:t>{SYSTEM, MATERIAL, CONDITION, PERFORMANCE, MECHANISM}</w:t>
            </w:r>
          </w:p>
        </w:tc>
      </w:tr>
      <w:tr>
        <w:tc>
          <w:tcPr>
            <w:tcW w:type="dxa" w:w="1984"/>
          </w:tcPr>
          <w:p>
            <w:pPr>
              <w:jc w:val="left"/>
            </w:pPr>
            <w:r>
              <w:rPr>
                <w:rFonts w:ascii="Times New Roman" w:hAnsi="Times New Roman" w:eastAsia="Times New Roman"/>
                <w:b w:val="0"/>
                <w:sz w:val="18"/>
              </w:rPr>
              <w:t>DEGRADATION\_PATHWAY</w:t>
            </w:r>
          </w:p>
        </w:tc>
        <w:tc>
          <w:tcPr>
            <w:tcW w:type="dxa" w:w="1701"/>
          </w:tcPr>
          <w:p>
            <w:pPr>
              <w:jc w:val="left"/>
            </w:pPr>
            <w:r>
              <w:rPr>
                <w:rFonts w:ascii="Times New Roman" w:hAnsi="Times New Roman" w:eastAsia="宋体"/>
                <w:b w:val="0"/>
                <w:sz w:val="18"/>
              </w:rPr>
              <w:t>污染物降解路径描述</w:t>
            </w:r>
          </w:p>
        </w:tc>
        <w:tc>
          <w:tcPr>
            <w:tcW w:type="dxa" w:w="4252"/>
          </w:tcPr>
          <w:p>
            <w:pPr>
              <w:jc w:val="left"/>
            </w:pPr>
            <w:r>
              <w:rPr>
                <w:rFonts w:ascii="Times New Roman" w:hAnsi="Times New Roman" w:eastAsia="宋体"/>
                <w:b w:val="0"/>
                <w:sz w:val="18"/>
              </w:rPr>
              <w:t>{SYSTEM, ACTIVE\_SPECIES, INTERMEDIATE, PERFORMANCE}</w:t>
            </w:r>
          </w:p>
        </w:tc>
      </w:tr>
    </w:tbl>
    <w:p>
      <w:pPr>
        <w:spacing w:before="240" w:after="120"/>
        <w:ind w:firstLine="420"/>
      </w:pPr>
      <w:r>
        <w:rPr>
          <w:rFonts w:ascii="Times New Roman" w:hAnsi="Times New Roman" w:eastAsia="黑体"/>
          <w:b/>
          <w:sz w:val="24"/>
        </w:rPr>
        <w:t>3 案例一：液流电池文献知识建模与检索分析</w:t>
      </w:r>
    </w:p>
    <w:p>
      <w:pPr>
        <w:spacing w:before="120" w:after="60"/>
        <w:ind w:firstLine="420"/>
      </w:pPr>
      <w:r>
        <w:rPr>
          <w:rFonts w:ascii="Times New Roman" w:hAnsi="Times New Roman" w:eastAsia="黑体"/>
          <w:b/>
          <w:sz w:val="21"/>
        </w:rPr>
        <w:t>3.1 数据来源与领域特点</w:t>
      </w:r>
    </w:p>
    <w:p>
      <w:pPr>
        <w:spacing w:lineRule="exact" w:line="315" w:before="0" w:after="0"/>
        <w:ind w:firstLine="420"/>
        <w:jc w:val="both"/>
      </w:pPr>
      <w:r>
        <w:rPr>
          <w:rFonts w:ascii="Times New Roman" w:hAnsi="Times New Roman" w:eastAsia="宋体"/>
          <w:b w:val="0"/>
          <w:sz w:val="21"/>
        </w:rPr>
        <w:t>以液流电池（Redox Flow Battery, RFB）为应用背景，基于50篇领域学术文献构建专业知识库。实验语料涵盖全钒液流电池（VRFB）、铁铬液流电池（ICRFB）、锌基液流电池、可溶铅酸液流电池、有机液流电池及多硫化物-溴液流电池等主流技术路线。经文本预处理后，共提取664个文本块作为知识抽取的基本单元。</w:t>
      </w:r>
    </w:p>
    <w:p>
      <w:pPr>
        <w:spacing w:before="120" w:after="60"/>
        <w:ind w:firstLine="420"/>
      </w:pPr>
      <w:r>
        <w:rPr>
          <w:rFonts w:ascii="Times New Roman" w:hAnsi="Times New Roman" w:eastAsia="黑体"/>
          <w:b/>
          <w:sz w:val="21"/>
        </w:rPr>
        <w:t>表2 液流电池知识库构建统计</w:t>
      </w:r>
    </w:p>
    <w:tbl>
      <w:tblPr>
        <w:tblStyle w:val="TableGrid"/>
        <w:tblW w:type="auto" w:w="0"/>
        <w:tblLayout w:type="fixed"/>
        <w:tblLook w:firstColumn="1" w:firstRow="1" w:lastColumn="0" w:lastRow="0" w:noHBand="0" w:noVBand="1" w:val="04A0"/>
      </w:tblPr>
      <w:tblGrid>
        <w:gridCol w:w="2268"/>
        <w:gridCol w:w="1701"/>
        <w:gridCol w:w="3969"/>
      </w:tblGrid>
      <w:tr>
        <w:tc>
          <w:tcPr>
            <w:tcW w:type="dxa" w:w="2771"/>
          </w:tcPr>
          <w:p>
            <w:pPr>
              <w:jc w:val="center"/>
            </w:pPr>
            <w:r>
              <w:rPr>
                <w:rFonts w:ascii="Times New Roman" w:hAnsi="Times New Roman" w:eastAsia="黑体"/>
                <w:b/>
                <w:sz w:val="18"/>
              </w:rPr>
              <w:t>项目</w:t>
            </w:r>
          </w:p>
        </w:tc>
        <w:tc>
          <w:tcPr>
            <w:tcW w:type="dxa" w:w="2771"/>
          </w:tcPr>
          <w:p>
            <w:pPr>
              <w:jc w:val="center"/>
            </w:pPr>
            <w:r>
              <w:rPr>
                <w:rFonts w:ascii="Times New Roman" w:hAnsi="Times New Roman" w:eastAsia="黑体"/>
                <w:b/>
                <w:sz w:val="18"/>
              </w:rPr>
              <w:t>数量</w:t>
            </w:r>
          </w:p>
        </w:tc>
        <w:tc>
          <w:tcPr>
            <w:tcW w:type="dxa" w:w="2771"/>
          </w:tcPr>
          <w:p>
            <w:pPr>
              <w:jc w:val="center"/>
            </w:pPr>
            <w:r>
              <w:rPr>
                <w:rFonts w:ascii="Times New Roman" w:hAnsi="Times New Roman" w:eastAsia="黑体"/>
                <w:b/>
                <w:sz w:val="18"/>
              </w:rPr>
              <w:t>说明</w:t>
            </w:r>
          </w:p>
        </w:tc>
      </w:tr>
      <w:tr>
        <w:tc>
          <w:tcPr>
            <w:tcW w:type="dxa" w:w="2268"/>
          </w:tcPr>
          <w:p>
            <w:pPr>
              <w:jc w:val="left"/>
            </w:pPr>
            <w:r>
              <w:rPr>
                <w:rFonts w:ascii="Times New Roman" w:hAnsi="Times New Roman" w:eastAsia="宋体"/>
                <w:b w:val="0"/>
                <w:sz w:val="18"/>
              </w:rPr>
              <w:t>文档数</w:t>
            </w:r>
          </w:p>
        </w:tc>
        <w:tc>
          <w:tcPr>
            <w:tcW w:type="dxa" w:w="1701"/>
          </w:tcPr>
          <w:p>
            <w:pPr>
              <w:jc w:val="left"/>
            </w:pPr>
            <w:r>
              <w:rPr>
                <w:rFonts w:ascii="Times New Roman" w:hAnsi="Times New Roman" w:eastAsia="宋体"/>
                <w:b w:val="0"/>
                <w:sz w:val="18"/>
              </w:rPr>
              <w:t>50</w:t>
            </w:r>
          </w:p>
        </w:tc>
        <w:tc>
          <w:tcPr>
            <w:tcW w:type="dxa" w:w="3969"/>
          </w:tcPr>
          <w:p>
            <w:pPr>
              <w:jc w:val="left"/>
            </w:pPr>
            <w:r>
              <w:rPr>
                <w:rFonts w:ascii="Times New Roman" w:hAnsi="Times New Roman" w:eastAsia="宋体"/>
                <w:b w:val="0"/>
                <w:sz w:val="18"/>
              </w:rPr>
              <w:t>液流电池领域文献</w:t>
            </w:r>
          </w:p>
        </w:tc>
      </w:tr>
      <w:tr>
        <w:tc>
          <w:tcPr>
            <w:tcW w:type="dxa" w:w="2268"/>
          </w:tcPr>
          <w:p>
            <w:pPr>
              <w:jc w:val="left"/>
            </w:pPr>
            <w:r>
              <w:rPr>
                <w:rFonts w:ascii="Times New Roman" w:hAnsi="Times New Roman" w:eastAsia="宋体"/>
                <w:b w:val="0"/>
                <w:sz w:val="18"/>
              </w:rPr>
              <w:t>文本块</w:t>
            </w:r>
          </w:p>
        </w:tc>
        <w:tc>
          <w:tcPr>
            <w:tcW w:type="dxa" w:w="1701"/>
          </w:tcPr>
          <w:p>
            <w:pPr>
              <w:jc w:val="left"/>
            </w:pPr>
            <w:r>
              <w:rPr>
                <w:rFonts w:ascii="Times New Roman" w:hAnsi="Times New Roman" w:eastAsia="宋体"/>
                <w:b w:val="0"/>
                <w:sz w:val="18"/>
              </w:rPr>
              <w:t>664</w:t>
            </w:r>
          </w:p>
        </w:tc>
        <w:tc>
          <w:tcPr>
            <w:tcW w:type="dxa" w:w="3969"/>
          </w:tcPr>
          <w:p>
            <w:pPr>
              <w:jc w:val="left"/>
            </w:pPr>
            <w:r>
              <w:rPr>
                <w:rFonts w:ascii="Times New Roman" w:hAnsi="Times New Roman" w:eastAsia="宋体"/>
                <w:b w:val="0"/>
                <w:sz w:val="18"/>
              </w:rPr>
              <w:t>文献解析与分块后的基本抽取单元</w:t>
            </w:r>
          </w:p>
        </w:tc>
      </w:tr>
      <w:tr>
        <w:tc>
          <w:tcPr>
            <w:tcW w:type="dxa" w:w="2268"/>
          </w:tcPr>
          <w:p>
            <w:pPr>
              <w:jc w:val="left"/>
            </w:pPr>
            <w:r>
              <w:rPr>
                <w:rFonts w:ascii="Times New Roman" w:hAnsi="Times New Roman" w:eastAsia="宋体"/>
                <w:b w:val="0"/>
                <w:sz w:val="18"/>
              </w:rPr>
              <w:t>实体节点</w:t>
            </w:r>
          </w:p>
        </w:tc>
        <w:tc>
          <w:tcPr>
            <w:tcW w:type="dxa" w:w="1701"/>
          </w:tcPr>
          <w:p>
            <w:pPr>
              <w:jc w:val="left"/>
            </w:pPr>
            <w:r>
              <w:rPr>
                <w:rFonts w:ascii="Times New Roman" w:hAnsi="Times New Roman" w:eastAsia="宋体"/>
                <w:b w:val="0"/>
                <w:sz w:val="18"/>
              </w:rPr>
              <w:t>9970</w:t>
            </w:r>
          </w:p>
        </w:tc>
        <w:tc>
          <w:tcPr>
            <w:tcW w:type="dxa" w:w="3969"/>
          </w:tcPr>
          <w:p>
            <w:pPr>
              <w:jc w:val="left"/>
            </w:pPr>
            <w:r>
              <w:rPr>
                <w:rFonts w:ascii="Times New Roman" w:hAnsi="Times New Roman" w:eastAsia="宋体"/>
                <w:b w:val="0"/>
                <w:sz w:val="18"/>
              </w:rPr>
              <w:t>活性物质、性能指标、条件、体系、电极、膜等</w:t>
            </w:r>
          </w:p>
        </w:tc>
      </w:tr>
      <w:tr>
        <w:tc>
          <w:tcPr>
            <w:tcW w:type="dxa" w:w="2268"/>
          </w:tcPr>
          <w:p>
            <w:pPr>
              <w:jc w:val="left"/>
            </w:pPr>
            <w:r>
              <w:rPr>
                <w:rFonts w:ascii="Times New Roman" w:hAnsi="Times New Roman" w:eastAsia="宋体"/>
                <w:b w:val="0"/>
                <w:sz w:val="18"/>
              </w:rPr>
              <w:t>全部关系/超边</w:t>
            </w:r>
          </w:p>
        </w:tc>
        <w:tc>
          <w:tcPr>
            <w:tcW w:type="dxa" w:w="1701"/>
          </w:tcPr>
          <w:p>
            <w:pPr>
              <w:jc w:val="left"/>
            </w:pPr>
            <w:r>
              <w:rPr>
                <w:rFonts w:ascii="Times New Roman" w:hAnsi="Times New Roman" w:eastAsia="宋体"/>
                <w:b w:val="0"/>
                <w:sz w:val="18"/>
              </w:rPr>
              <w:t>12987</w:t>
            </w:r>
          </w:p>
        </w:tc>
        <w:tc>
          <w:tcPr>
            <w:tcW w:type="dxa" w:w="3969"/>
          </w:tcPr>
          <w:p>
            <w:pPr>
              <w:jc w:val="left"/>
            </w:pPr>
            <w:r>
              <w:rPr>
                <w:rFonts w:ascii="Times New Roman" w:hAnsi="Times New Roman" w:eastAsia="宋体"/>
                <w:b w:val="0"/>
                <w:sz w:val="18"/>
              </w:rPr>
              <w:t>包括低阶关系、高阶超边及少量单节点/自关系</w:t>
            </w:r>
          </w:p>
        </w:tc>
      </w:tr>
      <w:tr>
        <w:tc>
          <w:tcPr>
            <w:tcW w:type="dxa" w:w="2268"/>
          </w:tcPr>
          <w:p>
            <w:pPr>
              <w:jc w:val="left"/>
            </w:pPr>
            <w:r>
              <w:rPr>
                <w:rFonts w:ascii="Times New Roman" w:hAnsi="Times New Roman" w:eastAsia="宋体"/>
                <w:b w:val="0"/>
                <w:sz w:val="18"/>
              </w:rPr>
              <w:t>低阶关系</w:t>
            </w:r>
          </w:p>
        </w:tc>
        <w:tc>
          <w:tcPr>
            <w:tcW w:type="dxa" w:w="1701"/>
          </w:tcPr>
          <w:p>
            <w:pPr>
              <w:jc w:val="left"/>
            </w:pPr>
            <w:r>
              <w:rPr>
                <w:rFonts w:ascii="Times New Roman" w:hAnsi="Times New Roman" w:eastAsia="宋体"/>
                <w:b w:val="0"/>
                <w:sz w:val="18"/>
              </w:rPr>
              <w:t>10262</w:t>
            </w:r>
          </w:p>
        </w:tc>
        <w:tc>
          <w:tcPr>
            <w:tcW w:type="dxa" w:w="3969"/>
          </w:tcPr>
          <w:p>
            <w:pPr>
              <w:jc w:val="left"/>
            </w:pPr>
            <w:r>
              <w:rPr>
                <w:rFonts w:ascii="Times New Roman" w:hAnsi="Times New Roman" w:eastAsia="宋体"/>
                <w:b w:val="0"/>
                <w:sz w:val="18"/>
              </w:rPr>
              <w:t>二元关系，cardinality = 2</w:t>
            </w:r>
          </w:p>
        </w:tc>
      </w:tr>
      <w:tr>
        <w:tc>
          <w:tcPr>
            <w:tcW w:type="dxa" w:w="2268"/>
          </w:tcPr>
          <w:p>
            <w:pPr>
              <w:jc w:val="left"/>
            </w:pPr>
            <w:r>
              <w:rPr>
                <w:rFonts w:ascii="Times New Roman" w:hAnsi="Times New Roman" w:eastAsia="宋体"/>
                <w:b w:val="0"/>
                <w:sz w:val="18"/>
              </w:rPr>
              <w:t>高阶关系/高阶超边</w:t>
            </w:r>
          </w:p>
        </w:tc>
        <w:tc>
          <w:tcPr>
            <w:tcW w:type="dxa" w:w="1701"/>
          </w:tcPr>
          <w:p>
            <w:pPr>
              <w:jc w:val="left"/>
            </w:pPr>
            <w:r>
              <w:rPr>
                <w:rFonts w:ascii="Times New Roman" w:hAnsi="Times New Roman" w:eastAsia="宋体"/>
                <w:b w:val="0"/>
                <w:sz w:val="18"/>
              </w:rPr>
              <w:t>2715</w:t>
            </w:r>
          </w:p>
        </w:tc>
        <w:tc>
          <w:tcPr>
            <w:tcW w:type="dxa" w:w="3969"/>
          </w:tcPr>
          <w:p>
            <w:pPr>
              <w:jc w:val="left"/>
            </w:pPr>
            <w:r>
              <w:rPr>
                <w:rFonts w:ascii="Times New Roman" w:hAnsi="Times New Roman" w:eastAsia="宋体"/>
                <w:b w:val="0"/>
                <w:sz w:val="18"/>
              </w:rPr>
              <w:t>三元及以上关系，cardinality ≥ 3（占20.9%）</w:t>
            </w:r>
          </w:p>
        </w:tc>
      </w:tr>
    </w:tbl>
    <w:p>
      <w:pPr>
        <w:spacing w:lineRule="exact" w:line="315" w:before="0" w:after="0"/>
        <w:ind w:firstLine="420"/>
        <w:jc w:val="both"/>
      </w:pPr>
      <w:r>
        <w:rPr>
          <w:rFonts w:ascii="Times New Roman" w:hAnsi="Times New Roman" w:eastAsia="宋体"/>
          <w:b w:val="0"/>
          <w:sz w:val="21"/>
        </w:rPr>
        <w:t>液流电池文献中的知识组织并非围绕抽象"材料"概念展开，而是围绕"体系—活性物种/电解液—膜/电极—操作条件—性能指标—衰减机制"等实验事实单元展开。液流电池研究呈现显著的"多变量组合驱动"特征：电池性能（库仑效率CE、电压效率VE、能量效率EE）取决于电解液组成、电极材料、膜材料、电流密度、温度等多个实验条件的协同作用。单一材料或工艺参数只有在特定体系-条件组合下才有意义，这构成了检验超图结构是否能有效保留"条件-结果"完整性的测试场景。需要特别指出的是，当前液流电池案例仅基于50篇文献的子集语料，本节不将后续问答结果解释为对液流电池领域的全面综述结论，而将其作为知识结构对检索增强效果影响的子集验证。</w:t>
      </w:r>
    </w:p>
    <w:p>
      <w:pPr>
        <w:spacing w:before="120" w:after="60"/>
        <w:ind w:firstLine="420"/>
      </w:pPr>
      <w:r>
        <w:rPr>
          <w:rFonts w:ascii="Times New Roman" w:hAnsi="Times New Roman" w:eastAsia="黑体"/>
          <w:b/>
          <w:sz w:val="21"/>
        </w:rPr>
        <w:t>3.2 问答检索结果对比分析</w:t>
      </w:r>
    </w:p>
    <w:p>
      <w:pPr>
        <w:spacing w:before="60" w:after="60"/>
        <w:ind w:firstLine="420"/>
      </w:pPr>
      <w:r>
        <w:rPr>
          <w:rFonts w:ascii="Times New Roman" w:hAnsi="Times New Roman" w:eastAsia="黑体"/>
          <w:b/>
          <w:sz w:val="21"/>
        </w:rPr>
        <w:t>3.2.1 数量差异概述</w:t>
      </w:r>
    </w:p>
    <w:p>
      <w:pPr>
        <w:spacing w:lineRule="exact" w:line="315" w:before="0" w:after="0"/>
        <w:ind w:firstLine="420"/>
        <w:jc w:val="both"/>
      </w:pPr>
      <w:r>
        <w:rPr>
          <w:rFonts w:ascii="Times New Roman" w:hAnsi="Times New Roman" w:eastAsia="宋体"/>
          <w:b w:val="0"/>
          <w:sz w:val="21"/>
        </w:rPr>
        <w:t>为评估超图结构在专业知识检索中的效果，设计了覆盖6个难度层次的12个代表性问题（编号Q1~Q12），分别使用Hyper-ChE和Graph-RAG进行检索与回答。表3汇总了两套系统在各问题上的召回数量。从数量维度观察，Hyper-ChE平均召回约103条超边和63个实体，而Graph-RAG仅召回约46条边，且在多个问题中仅返回1个实体（Q1、Q3、Q4、Q10）或实体数"未显示"（Q2、Q9、Q12）。需要指出的是，召回数量差异不能单独代表回答质量，因此本文进一步结合典型问题进行定性分析。更深层的问题在于Graph-RAG召回的实体分布呈现出稀疏性：在12个问题中，有6个问题的召回实体数不超过2个，这意味着普通图检索难以同时触及多个条件变量的共现信息。</w:t>
      </w:r>
    </w:p>
    <w:p>
      <w:pPr>
        <w:spacing w:before="120" w:after="60"/>
        <w:ind w:firstLine="420"/>
      </w:pPr>
      <w:r>
        <w:rPr>
          <w:rFonts w:ascii="Times New Roman" w:hAnsi="Times New Roman" w:eastAsia="黑体"/>
          <w:b/>
          <w:sz w:val="21"/>
        </w:rPr>
        <w:t>表3 液流电池案例中Hyper-ChE与Graph-RAG检索数量对比</w:t>
      </w:r>
    </w:p>
    <w:tbl>
      <w:tblPr>
        <w:tblStyle w:val="TableGrid"/>
        <w:tblW w:type="auto" w:w="0"/>
        <w:tblLayout w:type="fixed"/>
        <w:tblLook w:firstColumn="1" w:firstRow="1" w:lastColumn="0" w:lastRow="0" w:noHBand="0" w:noVBand="1" w:val="04A0"/>
      </w:tblPr>
      <w:tblGrid>
        <w:gridCol w:w="850"/>
        <w:gridCol w:w="1701"/>
        <w:gridCol w:w="1417"/>
        <w:gridCol w:w="1417"/>
        <w:gridCol w:w="2835"/>
      </w:tblGrid>
      <w:tr>
        <w:tc>
          <w:tcPr>
            <w:tcW w:type="dxa" w:w="1662"/>
          </w:tcPr>
          <w:p>
            <w:pPr>
              <w:jc w:val="center"/>
            </w:pPr>
            <w:r>
              <w:rPr>
                <w:rFonts w:ascii="Times New Roman" w:hAnsi="Times New Roman" w:eastAsia="黑体"/>
                <w:b/>
                <w:sz w:val="16"/>
              </w:rPr>
              <w:t>问题</w:t>
            </w:r>
          </w:p>
        </w:tc>
        <w:tc>
          <w:tcPr>
            <w:tcW w:type="dxa" w:w="1662"/>
          </w:tcPr>
          <w:p>
            <w:pPr>
              <w:jc w:val="center"/>
            </w:pPr>
            <w:r>
              <w:rPr>
                <w:rFonts w:ascii="Times New Roman" w:hAnsi="Times New Roman" w:eastAsia="黑体"/>
                <w:b/>
                <w:sz w:val="16"/>
              </w:rPr>
              <w:t>问题类型</w:t>
            </w:r>
          </w:p>
        </w:tc>
        <w:tc>
          <w:tcPr>
            <w:tcW w:type="dxa" w:w="1662"/>
          </w:tcPr>
          <w:p>
            <w:pPr>
              <w:jc w:val="center"/>
            </w:pPr>
            <w:r>
              <w:rPr>
                <w:rFonts w:ascii="Times New Roman" w:hAnsi="Times New Roman" w:eastAsia="黑体"/>
                <w:b/>
                <w:sz w:val="16"/>
              </w:rPr>
              <w:t>Hyper-ChE</w:t>
            </w:r>
          </w:p>
        </w:tc>
        <w:tc>
          <w:tcPr>
            <w:tcW w:type="dxa" w:w="1662"/>
          </w:tcPr>
          <w:p>
            <w:pPr>
              <w:jc w:val="center"/>
            </w:pPr>
            <w:r>
              <w:rPr>
                <w:rFonts w:ascii="Times New Roman" w:hAnsi="Times New Roman" w:eastAsia="黑体"/>
                <w:b/>
                <w:sz w:val="16"/>
              </w:rPr>
              <w:t>Graph-RAG</w:t>
            </w:r>
          </w:p>
        </w:tc>
        <w:tc>
          <w:tcPr>
            <w:tcW w:type="dxa" w:w="1662"/>
          </w:tcPr>
          <w:p>
            <w:pPr>
              <w:jc w:val="center"/>
            </w:pPr>
            <w:r>
              <w:rPr>
                <w:rFonts w:ascii="Times New Roman" w:hAnsi="Times New Roman" w:eastAsia="黑体"/>
                <w:b/>
                <w:sz w:val="16"/>
              </w:rPr>
              <w:t>主要差异</w:t>
            </w:r>
          </w:p>
        </w:tc>
      </w:tr>
      <w:tr>
        <w:tc>
          <w:tcPr>
            <w:tcW w:type="dxa" w:w="850"/>
          </w:tcPr>
          <w:p>
            <w:pPr>
              <w:jc w:val="left"/>
            </w:pPr>
            <w:r>
              <w:rPr>
                <w:rFonts w:ascii="Times New Roman" w:hAnsi="Times New Roman" w:eastAsia="宋体"/>
                <w:b w:val="0"/>
                <w:sz w:val="16"/>
              </w:rPr>
              <w:t>Q1</w:t>
            </w:r>
          </w:p>
        </w:tc>
        <w:tc>
          <w:tcPr>
            <w:tcW w:type="dxa" w:w="1701"/>
          </w:tcPr>
          <w:p>
            <w:pPr>
              <w:jc w:val="left"/>
            </w:pPr>
            <w:r>
              <w:rPr>
                <w:rFonts w:ascii="Times New Roman" w:hAnsi="Times New Roman" w:eastAsia="宋体"/>
                <w:b w:val="0"/>
                <w:sz w:val="16"/>
              </w:rPr>
              <w:t>语料总览</w:t>
            </w:r>
          </w:p>
        </w:tc>
        <w:tc>
          <w:tcPr>
            <w:tcW w:type="dxa" w:w="1417"/>
          </w:tcPr>
          <w:p>
            <w:pPr>
              <w:jc w:val="center"/>
            </w:pPr>
            <w:r>
              <w:rPr>
                <w:rFonts w:ascii="Times New Roman" w:hAnsi="Times New Roman" w:eastAsia="宋体"/>
                <w:b w:val="0"/>
                <w:sz w:val="16"/>
              </w:rPr>
              <w:t>≥99/62</w:t>
            </w:r>
          </w:p>
        </w:tc>
        <w:tc>
          <w:tcPr>
            <w:tcW w:type="dxa" w:w="1417"/>
          </w:tcPr>
          <w:p>
            <w:pPr>
              <w:jc w:val="center"/>
            </w:pPr>
            <w:r>
              <w:rPr>
                <w:rFonts w:ascii="Times New Roman" w:hAnsi="Times New Roman" w:eastAsia="宋体"/>
                <w:b w:val="0"/>
                <w:sz w:val="16"/>
              </w:rPr>
              <w:t>50/1</w:t>
            </w:r>
          </w:p>
        </w:tc>
        <w:tc>
          <w:tcPr>
            <w:tcW w:type="dxa" w:w="2835"/>
          </w:tcPr>
          <w:p>
            <w:pPr>
              <w:jc w:val="center"/>
            </w:pPr>
            <w:r>
              <w:rPr>
                <w:rFonts w:ascii="Times New Roman" w:hAnsi="Times New Roman" w:eastAsia="宋体"/>
                <w:b w:val="0"/>
                <w:sz w:val="16"/>
              </w:rPr>
              <w:t>Hyper-ChE覆盖体系、材料和条件组合更完整</w:t>
            </w:r>
          </w:p>
        </w:tc>
      </w:tr>
      <w:tr>
        <w:tc>
          <w:tcPr>
            <w:tcW w:type="dxa" w:w="850"/>
          </w:tcPr>
          <w:p>
            <w:pPr>
              <w:jc w:val="left"/>
            </w:pPr>
            <w:r>
              <w:rPr>
                <w:rFonts w:ascii="Times New Roman" w:hAnsi="Times New Roman" w:eastAsia="宋体"/>
                <w:b w:val="0"/>
                <w:sz w:val="16"/>
              </w:rPr>
              <w:t>Q2</w:t>
            </w:r>
          </w:p>
        </w:tc>
        <w:tc>
          <w:tcPr>
            <w:tcW w:type="dxa" w:w="1701"/>
          </w:tcPr>
          <w:p>
            <w:pPr>
              <w:jc w:val="left"/>
            </w:pPr>
            <w:r>
              <w:rPr>
                <w:rFonts w:ascii="Times New Roman" w:hAnsi="Times New Roman" w:eastAsia="宋体"/>
                <w:b w:val="0"/>
                <w:sz w:val="16"/>
              </w:rPr>
              <w:t>电极改性</w:t>
            </w:r>
          </w:p>
        </w:tc>
        <w:tc>
          <w:tcPr>
            <w:tcW w:type="dxa" w:w="1417"/>
          </w:tcPr>
          <w:p>
            <w:pPr>
              <w:jc w:val="center"/>
            </w:pPr>
            <w:r>
              <w:rPr>
                <w:rFonts w:ascii="Times New Roman" w:hAnsi="Times New Roman" w:eastAsia="宋体"/>
                <w:b w:val="0"/>
                <w:sz w:val="16"/>
              </w:rPr>
              <w:t>100/60</w:t>
            </w:r>
          </w:p>
        </w:tc>
        <w:tc>
          <w:tcPr>
            <w:tcW w:type="dxa" w:w="1417"/>
          </w:tcPr>
          <w:p>
            <w:pPr>
              <w:jc w:val="center"/>
            </w:pPr>
            <w:r>
              <w:rPr>
                <w:rFonts w:ascii="Times New Roman" w:hAnsi="Times New Roman" w:eastAsia="宋体"/>
                <w:b w:val="0"/>
                <w:sz w:val="16"/>
              </w:rPr>
              <w:t>41/—</w:t>
            </w:r>
          </w:p>
        </w:tc>
        <w:tc>
          <w:tcPr>
            <w:tcW w:type="dxa" w:w="2835"/>
          </w:tcPr>
          <w:p>
            <w:pPr>
              <w:jc w:val="center"/>
            </w:pPr>
            <w:r>
              <w:rPr>
                <w:rFonts w:ascii="Times New Roman" w:hAnsi="Times New Roman" w:eastAsia="宋体"/>
                <w:b w:val="0"/>
                <w:sz w:val="16"/>
              </w:rPr>
              <w:t>Hyper-ChE更能组织改性方式与性能指标</w:t>
            </w:r>
          </w:p>
        </w:tc>
      </w:tr>
      <w:tr>
        <w:tc>
          <w:tcPr>
            <w:tcW w:type="dxa" w:w="850"/>
          </w:tcPr>
          <w:p>
            <w:pPr>
              <w:jc w:val="left"/>
            </w:pPr>
            <w:r>
              <w:rPr>
                <w:rFonts w:ascii="Times New Roman" w:hAnsi="Times New Roman" w:eastAsia="宋体"/>
                <w:b w:val="0"/>
                <w:sz w:val="16"/>
              </w:rPr>
              <w:t>Q3</w:t>
            </w:r>
          </w:p>
        </w:tc>
        <w:tc>
          <w:tcPr>
            <w:tcW w:type="dxa" w:w="1701"/>
          </w:tcPr>
          <w:p>
            <w:pPr>
              <w:jc w:val="left"/>
            </w:pPr>
            <w:r>
              <w:rPr>
                <w:rFonts w:ascii="Times New Roman" w:hAnsi="Times New Roman" w:eastAsia="宋体"/>
                <w:b w:val="0"/>
                <w:sz w:val="16"/>
              </w:rPr>
              <w:t>电解液角色</w:t>
            </w:r>
          </w:p>
        </w:tc>
        <w:tc>
          <w:tcPr>
            <w:tcW w:type="dxa" w:w="1417"/>
          </w:tcPr>
          <w:p>
            <w:pPr>
              <w:jc w:val="center"/>
            </w:pPr>
            <w:r>
              <w:rPr>
                <w:rFonts w:ascii="Times New Roman" w:hAnsi="Times New Roman" w:eastAsia="宋体"/>
                <w:b w:val="0"/>
                <w:sz w:val="16"/>
              </w:rPr>
              <w:t>92/61</w:t>
            </w:r>
          </w:p>
        </w:tc>
        <w:tc>
          <w:tcPr>
            <w:tcW w:type="dxa" w:w="1417"/>
          </w:tcPr>
          <w:p>
            <w:pPr>
              <w:jc w:val="center"/>
            </w:pPr>
            <w:r>
              <w:rPr>
                <w:rFonts w:ascii="Times New Roman" w:hAnsi="Times New Roman" w:eastAsia="宋体"/>
                <w:b w:val="0"/>
                <w:sz w:val="16"/>
              </w:rPr>
              <w:t>43/1</w:t>
            </w:r>
          </w:p>
        </w:tc>
        <w:tc>
          <w:tcPr>
            <w:tcW w:type="dxa" w:w="2835"/>
          </w:tcPr>
          <w:p>
            <w:pPr>
              <w:jc w:val="center"/>
            </w:pPr>
            <w:r>
              <w:rPr>
                <w:rFonts w:ascii="Times New Roman" w:hAnsi="Times New Roman" w:eastAsia="宋体"/>
                <w:b w:val="0"/>
                <w:sz w:val="16"/>
              </w:rPr>
              <w:t>Hyper-ChE更能区分活性物种、支持电解质和添加剂</w:t>
            </w:r>
          </w:p>
        </w:tc>
      </w:tr>
      <w:tr>
        <w:tc>
          <w:tcPr>
            <w:tcW w:type="dxa" w:w="850"/>
          </w:tcPr>
          <w:p>
            <w:pPr>
              <w:jc w:val="left"/>
            </w:pPr>
            <w:r>
              <w:rPr>
                <w:rFonts w:ascii="Times New Roman" w:hAnsi="Times New Roman" w:eastAsia="宋体"/>
                <w:b w:val="0"/>
                <w:sz w:val="16"/>
              </w:rPr>
              <w:t>Q4</w:t>
            </w:r>
          </w:p>
        </w:tc>
        <w:tc>
          <w:tcPr>
            <w:tcW w:type="dxa" w:w="1701"/>
          </w:tcPr>
          <w:p>
            <w:pPr>
              <w:jc w:val="left"/>
            </w:pPr>
            <w:r>
              <w:rPr>
                <w:rFonts w:ascii="Times New Roman" w:hAnsi="Times New Roman" w:eastAsia="宋体"/>
                <w:b w:val="0"/>
                <w:sz w:val="16"/>
              </w:rPr>
              <w:t>高电流密度条件</w:t>
            </w:r>
          </w:p>
        </w:tc>
        <w:tc>
          <w:tcPr>
            <w:tcW w:type="dxa" w:w="1417"/>
          </w:tcPr>
          <w:p>
            <w:pPr>
              <w:jc w:val="center"/>
            </w:pPr>
            <w:r>
              <w:rPr>
                <w:rFonts w:ascii="Times New Roman" w:hAnsi="Times New Roman" w:eastAsia="宋体"/>
                <w:b w:val="0"/>
                <w:sz w:val="16"/>
              </w:rPr>
              <w:t>88/61</w:t>
            </w:r>
          </w:p>
        </w:tc>
        <w:tc>
          <w:tcPr>
            <w:tcW w:type="dxa" w:w="1417"/>
          </w:tcPr>
          <w:p>
            <w:pPr>
              <w:jc w:val="center"/>
            </w:pPr>
            <w:r>
              <w:rPr>
                <w:rFonts w:ascii="Times New Roman" w:hAnsi="Times New Roman" w:eastAsia="宋体"/>
                <w:b w:val="0"/>
                <w:sz w:val="16"/>
              </w:rPr>
              <w:t>48/1</w:t>
            </w:r>
          </w:p>
        </w:tc>
        <w:tc>
          <w:tcPr>
            <w:tcW w:type="dxa" w:w="2835"/>
          </w:tcPr>
          <w:p>
            <w:pPr>
              <w:jc w:val="center"/>
            </w:pPr>
            <w:r>
              <w:rPr>
                <w:rFonts w:ascii="Times New Roman" w:hAnsi="Times New Roman" w:eastAsia="宋体"/>
                <w:b w:val="0"/>
                <w:sz w:val="16"/>
              </w:rPr>
              <w:t>Hyper-ChE保留体系-材料-电流密度-效率组合</w:t>
            </w:r>
          </w:p>
        </w:tc>
      </w:tr>
      <w:tr>
        <w:tc>
          <w:tcPr>
            <w:tcW w:type="dxa" w:w="850"/>
          </w:tcPr>
          <w:p>
            <w:pPr>
              <w:jc w:val="left"/>
            </w:pPr>
            <w:r>
              <w:rPr>
                <w:rFonts w:ascii="Times New Roman" w:hAnsi="Times New Roman" w:eastAsia="宋体"/>
                <w:b w:val="0"/>
                <w:sz w:val="16"/>
              </w:rPr>
              <w:t>Q5</w:t>
            </w:r>
          </w:p>
        </w:tc>
        <w:tc>
          <w:tcPr>
            <w:tcW w:type="dxa" w:w="1701"/>
          </w:tcPr>
          <w:p>
            <w:pPr>
              <w:jc w:val="left"/>
            </w:pPr>
            <w:r>
              <w:rPr>
                <w:rFonts w:ascii="Times New Roman" w:hAnsi="Times New Roman" w:eastAsia="宋体"/>
                <w:b w:val="0"/>
                <w:sz w:val="16"/>
              </w:rPr>
              <w:t>VRFB变量影响</w:t>
            </w:r>
          </w:p>
        </w:tc>
        <w:tc>
          <w:tcPr>
            <w:tcW w:type="dxa" w:w="1417"/>
          </w:tcPr>
          <w:p>
            <w:pPr>
              <w:jc w:val="center"/>
            </w:pPr>
            <w:r>
              <w:rPr>
                <w:rFonts w:ascii="Times New Roman" w:hAnsi="Times New Roman" w:eastAsia="宋体"/>
                <w:b w:val="0"/>
                <w:sz w:val="16"/>
              </w:rPr>
              <w:t>99/66</w:t>
            </w:r>
          </w:p>
        </w:tc>
        <w:tc>
          <w:tcPr>
            <w:tcW w:type="dxa" w:w="1417"/>
          </w:tcPr>
          <w:p>
            <w:pPr>
              <w:jc w:val="center"/>
            </w:pPr>
            <w:r>
              <w:rPr>
                <w:rFonts w:ascii="Times New Roman" w:hAnsi="Times New Roman" w:eastAsia="宋体"/>
                <w:b w:val="0"/>
                <w:sz w:val="16"/>
              </w:rPr>
              <w:t>48/7</w:t>
            </w:r>
          </w:p>
        </w:tc>
        <w:tc>
          <w:tcPr>
            <w:tcW w:type="dxa" w:w="2835"/>
          </w:tcPr>
          <w:p>
            <w:pPr>
              <w:jc w:val="center"/>
            </w:pPr>
            <w:r>
              <w:rPr>
                <w:rFonts w:ascii="Times New Roman" w:hAnsi="Times New Roman" w:eastAsia="宋体"/>
                <w:b w:val="0"/>
                <w:sz w:val="16"/>
              </w:rPr>
              <w:t>Hyper-ChE更能连接浓度、温度、电流密度与性能结果</w:t>
            </w:r>
          </w:p>
        </w:tc>
      </w:tr>
      <w:tr>
        <w:tc>
          <w:tcPr>
            <w:tcW w:type="dxa" w:w="850"/>
          </w:tcPr>
          <w:p>
            <w:pPr>
              <w:jc w:val="left"/>
            </w:pPr>
            <w:r>
              <w:rPr>
                <w:rFonts w:ascii="Times New Roman" w:hAnsi="Times New Roman" w:eastAsia="宋体"/>
                <w:b w:val="0"/>
                <w:sz w:val="16"/>
              </w:rPr>
              <w:t>Q6</w:t>
            </w:r>
          </w:p>
        </w:tc>
        <w:tc>
          <w:tcPr>
            <w:tcW w:type="dxa" w:w="1701"/>
          </w:tcPr>
          <w:p>
            <w:pPr>
              <w:jc w:val="left"/>
            </w:pPr>
            <w:r>
              <w:rPr>
                <w:rFonts w:ascii="Times New Roman" w:hAnsi="Times New Roman" w:eastAsia="宋体"/>
                <w:b w:val="0"/>
                <w:sz w:val="16"/>
              </w:rPr>
              <w:t>ICRFB添加剂机制</w:t>
            </w:r>
          </w:p>
        </w:tc>
        <w:tc>
          <w:tcPr>
            <w:tcW w:type="dxa" w:w="1417"/>
          </w:tcPr>
          <w:p>
            <w:pPr>
              <w:jc w:val="center"/>
            </w:pPr>
            <w:r>
              <w:rPr>
                <w:rFonts w:ascii="Times New Roman" w:hAnsi="Times New Roman" w:eastAsia="宋体"/>
                <w:b w:val="0"/>
                <w:sz w:val="16"/>
              </w:rPr>
              <w:t>99/62</w:t>
            </w:r>
          </w:p>
        </w:tc>
        <w:tc>
          <w:tcPr>
            <w:tcW w:type="dxa" w:w="1417"/>
          </w:tcPr>
          <w:p>
            <w:pPr>
              <w:jc w:val="center"/>
            </w:pPr>
            <w:r>
              <w:rPr>
                <w:rFonts w:ascii="Times New Roman" w:hAnsi="Times New Roman" w:eastAsia="宋体"/>
                <w:b w:val="0"/>
                <w:sz w:val="16"/>
              </w:rPr>
              <w:t>50/4</w:t>
            </w:r>
          </w:p>
        </w:tc>
        <w:tc>
          <w:tcPr>
            <w:tcW w:type="dxa" w:w="2835"/>
          </w:tcPr>
          <w:p>
            <w:pPr>
              <w:jc w:val="center"/>
            </w:pPr>
            <w:r>
              <w:rPr>
                <w:rFonts w:ascii="Times New Roman" w:hAnsi="Times New Roman" w:eastAsia="宋体"/>
                <w:b w:val="0"/>
                <w:sz w:val="16"/>
              </w:rPr>
              <w:t>Hyper-ChE更能组织添加剂、活性物种、HER和Cr动力学</w:t>
            </w:r>
          </w:p>
        </w:tc>
      </w:tr>
      <w:tr>
        <w:tc>
          <w:tcPr>
            <w:tcW w:type="dxa" w:w="850"/>
          </w:tcPr>
          <w:p>
            <w:pPr>
              <w:jc w:val="left"/>
            </w:pPr>
            <w:r>
              <w:rPr>
                <w:rFonts w:ascii="Times New Roman" w:hAnsi="Times New Roman" w:eastAsia="宋体"/>
                <w:b w:val="0"/>
                <w:sz w:val="16"/>
              </w:rPr>
              <w:t>Q7</w:t>
            </w:r>
          </w:p>
        </w:tc>
        <w:tc>
          <w:tcPr>
            <w:tcW w:type="dxa" w:w="1701"/>
          </w:tcPr>
          <w:p>
            <w:pPr>
              <w:jc w:val="left"/>
            </w:pPr>
            <w:r>
              <w:rPr>
                <w:rFonts w:ascii="Times New Roman" w:hAnsi="Times New Roman" w:eastAsia="宋体"/>
                <w:b w:val="0"/>
                <w:sz w:val="16"/>
              </w:rPr>
              <w:t>膜材料对比</w:t>
            </w:r>
          </w:p>
        </w:tc>
        <w:tc>
          <w:tcPr>
            <w:tcW w:type="dxa" w:w="1417"/>
          </w:tcPr>
          <w:p>
            <w:pPr>
              <w:jc w:val="center"/>
            </w:pPr>
            <w:r>
              <w:rPr>
                <w:rFonts w:ascii="Times New Roman" w:hAnsi="Times New Roman" w:eastAsia="宋体"/>
                <w:b w:val="0"/>
                <w:sz w:val="16"/>
              </w:rPr>
              <w:t>114/62</w:t>
            </w:r>
          </w:p>
        </w:tc>
        <w:tc>
          <w:tcPr>
            <w:tcW w:type="dxa" w:w="1417"/>
          </w:tcPr>
          <w:p>
            <w:pPr>
              <w:jc w:val="center"/>
            </w:pPr>
            <w:r>
              <w:rPr>
                <w:rFonts w:ascii="Times New Roman" w:hAnsi="Times New Roman" w:eastAsia="宋体"/>
                <w:b w:val="0"/>
                <w:sz w:val="16"/>
              </w:rPr>
              <w:t>51/2</w:t>
            </w:r>
          </w:p>
        </w:tc>
        <w:tc>
          <w:tcPr>
            <w:tcW w:type="dxa" w:w="2835"/>
          </w:tcPr>
          <w:p>
            <w:pPr>
              <w:jc w:val="center"/>
            </w:pPr>
            <w:r>
              <w:rPr>
                <w:rFonts w:ascii="Times New Roman" w:hAnsi="Times New Roman" w:eastAsia="宋体"/>
                <w:b w:val="0"/>
                <w:sz w:val="16"/>
              </w:rPr>
              <w:t>Hyper-ChE更能保留crossover、传导率和效率的权衡关系</w:t>
            </w:r>
          </w:p>
        </w:tc>
      </w:tr>
      <w:tr>
        <w:tc>
          <w:tcPr>
            <w:tcW w:type="dxa" w:w="850"/>
          </w:tcPr>
          <w:p>
            <w:pPr>
              <w:jc w:val="left"/>
            </w:pPr>
            <w:r>
              <w:rPr>
                <w:rFonts w:ascii="Times New Roman" w:hAnsi="Times New Roman" w:eastAsia="宋体"/>
                <w:b w:val="0"/>
                <w:sz w:val="16"/>
              </w:rPr>
              <w:t>Q8</w:t>
            </w:r>
          </w:p>
        </w:tc>
        <w:tc>
          <w:tcPr>
            <w:tcW w:type="dxa" w:w="1701"/>
          </w:tcPr>
          <w:p>
            <w:pPr>
              <w:jc w:val="left"/>
            </w:pPr>
            <w:r>
              <w:rPr>
                <w:rFonts w:ascii="Times New Roman" w:hAnsi="Times New Roman" w:eastAsia="宋体"/>
                <w:b w:val="0"/>
                <w:sz w:val="16"/>
              </w:rPr>
              <w:t>碳电极对比</w:t>
            </w:r>
          </w:p>
        </w:tc>
        <w:tc>
          <w:tcPr>
            <w:tcW w:type="dxa" w:w="1417"/>
          </w:tcPr>
          <w:p>
            <w:pPr>
              <w:jc w:val="center"/>
            </w:pPr>
            <w:r>
              <w:rPr>
                <w:rFonts w:ascii="Times New Roman" w:hAnsi="Times New Roman" w:eastAsia="宋体"/>
                <w:b w:val="0"/>
                <w:sz w:val="16"/>
              </w:rPr>
              <w:t>101/63</w:t>
            </w:r>
          </w:p>
        </w:tc>
        <w:tc>
          <w:tcPr>
            <w:tcW w:type="dxa" w:w="1417"/>
          </w:tcPr>
          <w:p>
            <w:pPr>
              <w:jc w:val="center"/>
            </w:pPr>
            <w:r>
              <w:rPr>
                <w:rFonts w:ascii="Times New Roman" w:hAnsi="Times New Roman" w:eastAsia="宋体"/>
                <w:b w:val="0"/>
                <w:sz w:val="16"/>
              </w:rPr>
              <w:t>47/5</w:t>
            </w:r>
          </w:p>
        </w:tc>
        <w:tc>
          <w:tcPr>
            <w:tcW w:type="dxa" w:w="2835"/>
          </w:tcPr>
          <w:p>
            <w:pPr>
              <w:jc w:val="center"/>
            </w:pPr>
            <w:r>
              <w:rPr>
                <w:rFonts w:ascii="Times New Roman" w:hAnsi="Times New Roman" w:eastAsia="宋体"/>
                <w:b w:val="0"/>
                <w:sz w:val="16"/>
              </w:rPr>
              <w:t>Hyper-ChE更能关联电极结构、润湿性和倍率性能</w:t>
            </w:r>
          </w:p>
        </w:tc>
      </w:tr>
      <w:tr>
        <w:tc>
          <w:tcPr>
            <w:tcW w:type="dxa" w:w="850"/>
          </w:tcPr>
          <w:p>
            <w:pPr>
              <w:jc w:val="left"/>
            </w:pPr>
            <w:r>
              <w:rPr>
                <w:rFonts w:ascii="Times New Roman" w:hAnsi="Times New Roman" w:eastAsia="宋体"/>
                <w:b w:val="0"/>
                <w:sz w:val="16"/>
              </w:rPr>
              <w:t>Q9</w:t>
            </w:r>
          </w:p>
        </w:tc>
        <w:tc>
          <w:tcPr>
            <w:tcW w:type="dxa" w:w="1701"/>
          </w:tcPr>
          <w:p>
            <w:pPr>
              <w:jc w:val="left"/>
            </w:pPr>
            <w:r>
              <w:rPr>
                <w:rFonts w:ascii="Times New Roman" w:hAnsi="Times New Roman" w:eastAsia="宋体"/>
                <w:b w:val="0"/>
                <w:sz w:val="16"/>
              </w:rPr>
              <w:t>锌基枝晶机制</w:t>
            </w:r>
          </w:p>
        </w:tc>
        <w:tc>
          <w:tcPr>
            <w:tcW w:type="dxa" w:w="1417"/>
          </w:tcPr>
          <w:p>
            <w:pPr>
              <w:jc w:val="center"/>
            </w:pPr>
            <w:r>
              <w:rPr>
                <w:rFonts w:ascii="Times New Roman" w:hAnsi="Times New Roman" w:eastAsia="宋体"/>
                <w:b w:val="0"/>
                <w:sz w:val="16"/>
              </w:rPr>
              <w:t>≥99/66</w:t>
            </w:r>
          </w:p>
        </w:tc>
        <w:tc>
          <w:tcPr>
            <w:tcW w:type="dxa" w:w="1417"/>
          </w:tcPr>
          <w:p>
            <w:pPr>
              <w:jc w:val="center"/>
            </w:pPr>
            <w:r>
              <w:rPr>
                <w:rFonts w:ascii="Times New Roman" w:hAnsi="Times New Roman" w:eastAsia="宋体"/>
                <w:b w:val="0"/>
                <w:sz w:val="16"/>
              </w:rPr>
              <w:t>39/—</w:t>
            </w:r>
          </w:p>
        </w:tc>
        <w:tc>
          <w:tcPr>
            <w:tcW w:type="dxa" w:w="2835"/>
          </w:tcPr>
          <w:p>
            <w:pPr>
              <w:jc w:val="center"/>
            </w:pPr>
            <w:r>
              <w:rPr>
                <w:rFonts w:ascii="Times New Roman" w:hAnsi="Times New Roman" w:eastAsia="宋体"/>
                <w:b w:val="0"/>
                <w:sz w:val="16"/>
              </w:rPr>
              <w:t>Hyper-ChE对枝晶、形貌、添加剂和循环稳定性覆盖更完整</w:t>
            </w:r>
          </w:p>
        </w:tc>
      </w:tr>
      <w:tr>
        <w:tc>
          <w:tcPr>
            <w:tcW w:type="dxa" w:w="850"/>
          </w:tcPr>
          <w:p>
            <w:pPr>
              <w:jc w:val="left"/>
            </w:pPr>
            <w:r>
              <w:rPr>
                <w:rFonts w:ascii="Times New Roman" w:hAnsi="Times New Roman" w:eastAsia="宋体"/>
                <w:b w:val="0"/>
                <w:sz w:val="16"/>
              </w:rPr>
              <w:t>Q10</w:t>
            </w:r>
          </w:p>
        </w:tc>
        <w:tc>
          <w:tcPr>
            <w:tcW w:type="dxa" w:w="1701"/>
          </w:tcPr>
          <w:p>
            <w:pPr>
              <w:jc w:val="left"/>
            </w:pPr>
            <w:r>
              <w:rPr>
                <w:rFonts w:ascii="Times New Roman" w:hAnsi="Times New Roman" w:eastAsia="宋体"/>
                <w:b w:val="0"/>
                <w:sz w:val="16"/>
              </w:rPr>
              <w:t>可溶铅衰减</w:t>
            </w:r>
          </w:p>
        </w:tc>
        <w:tc>
          <w:tcPr>
            <w:tcW w:type="dxa" w:w="1417"/>
          </w:tcPr>
          <w:p>
            <w:pPr>
              <w:jc w:val="center"/>
            </w:pPr>
            <w:r>
              <w:rPr>
                <w:rFonts w:ascii="Times New Roman" w:hAnsi="Times New Roman" w:eastAsia="宋体"/>
                <w:b w:val="0"/>
                <w:sz w:val="16"/>
              </w:rPr>
              <w:t>105/63</w:t>
            </w:r>
          </w:p>
        </w:tc>
        <w:tc>
          <w:tcPr>
            <w:tcW w:type="dxa" w:w="1417"/>
          </w:tcPr>
          <w:p>
            <w:pPr>
              <w:jc w:val="center"/>
            </w:pPr>
            <w:r>
              <w:rPr>
                <w:rFonts w:ascii="Times New Roman" w:hAnsi="Times New Roman" w:eastAsia="宋体"/>
                <w:b w:val="0"/>
                <w:sz w:val="16"/>
              </w:rPr>
              <w:t>47/1</w:t>
            </w:r>
          </w:p>
        </w:tc>
        <w:tc>
          <w:tcPr>
            <w:tcW w:type="dxa" w:w="2835"/>
          </w:tcPr>
          <w:p>
            <w:pPr>
              <w:jc w:val="center"/>
            </w:pPr>
            <w:r>
              <w:rPr>
                <w:rFonts w:ascii="Times New Roman" w:hAnsi="Times New Roman" w:eastAsia="宋体"/>
                <w:b w:val="0"/>
                <w:sz w:val="16"/>
              </w:rPr>
              <w:t>Hyper-ChE更能组织PbO₂钝化、副反应和寿命指标</w:t>
            </w:r>
          </w:p>
        </w:tc>
      </w:tr>
      <w:tr>
        <w:tc>
          <w:tcPr>
            <w:tcW w:type="dxa" w:w="850"/>
          </w:tcPr>
          <w:p>
            <w:pPr>
              <w:jc w:val="left"/>
            </w:pPr>
            <w:r>
              <w:rPr>
                <w:rFonts w:ascii="Times New Roman" w:hAnsi="Times New Roman" w:eastAsia="宋体"/>
                <w:b w:val="0"/>
                <w:sz w:val="16"/>
              </w:rPr>
              <w:t>Q11</w:t>
            </w:r>
          </w:p>
        </w:tc>
        <w:tc>
          <w:tcPr>
            <w:tcW w:type="dxa" w:w="1701"/>
          </w:tcPr>
          <w:p>
            <w:pPr>
              <w:jc w:val="left"/>
            </w:pPr>
            <w:r>
              <w:rPr>
                <w:rFonts w:ascii="Times New Roman" w:hAnsi="Times New Roman" w:eastAsia="宋体"/>
                <w:b w:val="0"/>
                <w:sz w:val="16"/>
              </w:rPr>
              <w:t>高EE策略</w:t>
            </w:r>
          </w:p>
        </w:tc>
        <w:tc>
          <w:tcPr>
            <w:tcW w:type="dxa" w:w="1417"/>
          </w:tcPr>
          <w:p>
            <w:pPr>
              <w:jc w:val="center"/>
            </w:pPr>
            <w:r>
              <w:rPr>
                <w:rFonts w:ascii="Times New Roman" w:hAnsi="Times New Roman" w:eastAsia="宋体"/>
                <w:b w:val="0"/>
                <w:sz w:val="16"/>
              </w:rPr>
              <w:t>124/65</w:t>
            </w:r>
          </w:p>
        </w:tc>
        <w:tc>
          <w:tcPr>
            <w:tcW w:type="dxa" w:w="1417"/>
          </w:tcPr>
          <w:p>
            <w:pPr>
              <w:jc w:val="center"/>
            </w:pPr>
            <w:r>
              <w:rPr>
                <w:rFonts w:ascii="Times New Roman" w:hAnsi="Times New Roman" w:eastAsia="宋体"/>
                <w:b w:val="0"/>
                <w:sz w:val="16"/>
              </w:rPr>
              <w:t>41/6</w:t>
            </w:r>
          </w:p>
        </w:tc>
        <w:tc>
          <w:tcPr>
            <w:tcW w:type="dxa" w:w="2835"/>
          </w:tcPr>
          <w:p>
            <w:pPr>
              <w:jc w:val="center"/>
            </w:pPr>
            <w:r>
              <w:rPr>
                <w:rFonts w:ascii="Times New Roman" w:hAnsi="Times New Roman" w:eastAsia="宋体"/>
                <w:b w:val="0"/>
                <w:sz w:val="16"/>
              </w:rPr>
              <w:t>Hyper-ChE更适合跨体系归纳膜、电极、电解液和工况策略</w:t>
            </w:r>
          </w:p>
        </w:tc>
      </w:tr>
      <w:tr>
        <w:tc>
          <w:tcPr>
            <w:tcW w:type="dxa" w:w="850"/>
          </w:tcPr>
          <w:p>
            <w:pPr>
              <w:jc w:val="left"/>
            </w:pPr>
            <w:r>
              <w:rPr>
                <w:rFonts w:ascii="Times New Roman" w:hAnsi="Times New Roman" w:eastAsia="宋体"/>
                <w:b w:val="0"/>
                <w:sz w:val="16"/>
              </w:rPr>
              <w:t>Q12</w:t>
            </w:r>
          </w:p>
        </w:tc>
        <w:tc>
          <w:tcPr>
            <w:tcW w:type="dxa" w:w="1701"/>
          </w:tcPr>
          <w:p>
            <w:pPr>
              <w:jc w:val="left"/>
            </w:pPr>
            <w:r>
              <w:rPr>
                <w:rFonts w:ascii="Times New Roman" w:hAnsi="Times New Roman" w:eastAsia="宋体"/>
                <w:b w:val="0"/>
                <w:sz w:val="16"/>
              </w:rPr>
              <w:t>实验方向推荐</w:t>
            </w:r>
          </w:p>
        </w:tc>
        <w:tc>
          <w:tcPr>
            <w:tcW w:type="dxa" w:w="1417"/>
          </w:tcPr>
          <w:p>
            <w:pPr>
              <w:jc w:val="center"/>
            </w:pPr>
            <w:r>
              <w:rPr>
                <w:rFonts w:ascii="Times New Roman" w:hAnsi="Times New Roman" w:eastAsia="宋体"/>
                <w:b w:val="0"/>
                <w:sz w:val="16"/>
              </w:rPr>
              <w:t>115/61</w:t>
            </w:r>
          </w:p>
        </w:tc>
        <w:tc>
          <w:tcPr>
            <w:tcW w:type="dxa" w:w="1417"/>
          </w:tcPr>
          <w:p>
            <w:pPr>
              <w:jc w:val="center"/>
            </w:pPr>
            <w:r>
              <w:rPr>
                <w:rFonts w:ascii="Times New Roman" w:hAnsi="Times New Roman" w:eastAsia="宋体"/>
                <w:b w:val="0"/>
                <w:sz w:val="16"/>
              </w:rPr>
              <w:t>53/—</w:t>
            </w:r>
          </w:p>
        </w:tc>
        <w:tc>
          <w:tcPr>
            <w:tcW w:type="dxa" w:w="2835"/>
          </w:tcPr>
          <w:p>
            <w:pPr>
              <w:jc w:val="center"/>
            </w:pPr>
            <w:r>
              <w:rPr>
                <w:rFonts w:ascii="Times New Roman" w:hAnsi="Times New Roman" w:eastAsia="宋体"/>
                <w:b w:val="0"/>
                <w:sz w:val="16"/>
              </w:rPr>
              <w:t>Hyper-ChE推荐方案的变量组合和对照实验更完整</w:t>
            </w:r>
          </w:p>
        </w:tc>
      </w:tr>
    </w:tbl>
    <w:p>
      <w:pPr>
        <w:spacing w:before="120" w:after="60"/>
        <w:ind w:firstLine="420"/>
      </w:pPr>
      <w:r>
        <w:rPr>
          <w:rFonts w:ascii="Times New Roman" w:hAnsi="Times New Roman" w:eastAsia="黑体"/>
          <w:b/>
          <w:sz w:val="21"/>
        </w:rPr>
        <w:t>表4 液流电池案例问题难度分层</w:t>
      </w:r>
    </w:p>
    <w:tbl>
      <w:tblPr>
        <w:tblStyle w:val="TableGrid"/>
        <w:tblW w:type="auto" w:w="0"/>
        <w:tblLayout w:type="fixed"/>
        <w:tblLook w:firstColumn="1" w:firstRow="1" w:lastColumn="0" w:lastRow="0" w:noHBand="0" w:noVBand="1" w:val="04A0"/>
      </w:tblPr>
      <w:tblGrid>
        <w:gridCol w:w="1134"/>
        <w:gridCol w:w="1701"/>
        <w:gridCol w:w="1417"/>
        <w:gridCol w:w="3402"/>
      </w:tblGrid>
      <w:tr>
        <w:tc>
          <w:tcPr>
            <w:tcW w:type="dxa" w:w="2078"/>
          </w:tcPr>
          <w:p>
            <w:pPr>
              <w:jc w:val="center"/>
            </w:pPr>
            <w:r>
              <w:rPr>
                <w:rFonts w:ascii="Times New Roman" w:hAnsi="Times New Roman" w:eastAsia="黑体"/>
                <w:b/>
                <w:sz w:val="16"/>
              </w:rPr>
              <w:t>难度层级</w:t>
            </w:r>
          </w:p>
        </w:tc>
        <w:tc>
          <w:tcPr>
            <w:tcW w:type="dxa" w:w="2078"/>
          </w:tcPr>
          <w:p>
            <w:pPr>
              <w:jc w:val="center"/>
            </w:pPr>
            <w:r>
              <w:rPr>
                <w:rFonts w:ascii="Times New Roman" w:hAnsi="Times New Roman" w:eastAsia="黑体"/>
                <w:b/>
                <w:sz w:val="16"/>
              </w:rPr>
              <w:t>问题类型</w:t>
            </w:r>
          </w:p>
        </w:tc>
        <w:tc>
          <w:tcPr>
            <w:tcW w:type="dxa" w:w="2078"/>
          </w:tcPr>
          <w:p>
            <w:pPr>
              <w:jc w:val="center"/>
            </w:pPr>
            <w:r>
              <w:rPr>
                <w:rFonts w:ascii="Times New Roman" w:hAnsi="Times New Roman" w:eastAsia="黑体"/>
                <w:b/>
                <w:sz w:val="16"/>
              </w:rPr>
              <w:t>代表问题</w:t>
            </w:r>
          </w:p>
        </w:tc>
        <w:tc>
          <w:tcPr>
            <w:tcW w:type="dxa" w:w="2078"/>
          </w:tcPr>
          <w:p>
            <w:pPr>
              <w:jc w:val="center"/>
            </w:pPr>
            <w:r>
              <w:rPr>
                <w:rFonts w:ascii="Times New Roman" w:hAnsi="Times New Roman" w:eastAsia="黑体"/>
                <w:b/>
                <w:sz w:val="16"/>
              </w:rPr>
              <w:t>核心认知要求</w:t>
            </w:r>
          </w:p>
        </w:tc>
      </w:tr>
      <w:tr>
        <w:tc>
          <w:tcPr>
            <w:tcW w:type="dxa" w:w="1134"/>
          </w:tcPr>
          <w:p>
            <w:pPr>
              <w:jc w:val="center"/>
            </w:pPr>
            <w:r>
              <w:rPr>
                <w:rFonts w:ascii="Times New Roman" w:hAnsi="Times New Roman" w:eastAsia="宋体"/>
                <w:b w:val="0"/>
                <w:sz w:val="16"/>
              </w:rPr>
              <w:t>Level 1</w:t>
            </w:r>
          </w:p>
        </w:tc>
        <w:tc>
          <w:tcPr>
            <w:tcW w:type="dxa" w:w="1701"/>
          </w:tcPr>
          <w:p>
            <w:pPr>
              <w:jc w:val="center"/>
            </w:pPr>
            <w:r>
              <w:rPr>
                <w:rFonts w:ascii="Times New Roman" w:hAnsi="Times New Roman" w:eastAsia="宋体"/>
                <w:b w:val="0"/>
                <w:sz w:val="16"/>
              </w:rPr>
              <w:t>语料覆盖总览</w:t>
            </w:r>
          </w:p>
        </w:tc>
        <w:tc>
          <w:tcPr>
            <w:tcW w:type="dxa" w:w="1417"/>
          </w:tcPr>
          <w:p>
            <w:pPr>
              <w:jc w:val="center"/>
            </w:pPr>
            <w:r>
              <w:rPr>
                <w:rFonts w:ascii="Times New Roman" w:hAnsi="Times New Roman" w:eastAsia="宋体"/>
                <w:b w:val="0"/>
                <w:sz w:val="16"/>
              </w:rPr>
              <w:t>Q1</w:t>
            </w:r>
          </w:p>
        </w:tc>
        <w:tc>
          <w:tcPr>
            <w:tcW w:type="dxa" w:w="3402"/>
          </w:tcPr>
          <w:p>
            <w:pPr>
              <w:jc w:val="left"/>
            </w:pPr>
            <w:r>
              <w:rPr>
                <w:rFonts w:ascii="Times New Roman" w:hAnsi="Times New Roman" w:eastAsia="宋体"/>
                <w:b w:val="0"/>
                <w:sz w:val="16"/>
              </w:rPr>
              <w:t>单维度枚举</w:t>
            </w:r>
          </w:p>
        </w:tc>
      </w:tr>
      <w:tr>
        <w:tc>
          <w:tcPr>
            <w:tcW w:type="dxa" w:w="1134"/>
          </w:tcPr>
          <w:p>
            <w:pPr>
              <w:jc w:val="center"/>
            </w:pPr>
            <w:r>
              <w:rPr>
                <w:rFonts w:ascii="Times New Roman" w:hAnsi="Times New Roman" w:eastAsia="宋体"/>
                <w:b w:val="0"/>
                <w:sz w:val="16"/>
              </w:rPr>
              <w:t>Level 2</w:t>
            </w:r>
          </w:p>
        </w:tc>
        <w:tc>
          <w:tcPr>
            <w:tcW w:type="dxa" w:w="1701"/>
          </w:tcPr>
          <w:p>
            <w:pPr>
              <w:jc w:val="center"/>
            </w:pPr>
            <w:r>
              <w:rPr>
                <w:rFonts w:ascii="Times New Roman" w:hAnsi="Times New Roman" w:eastAsia="宋体"/>
                <w:b w:val="0"/>
                <w:sz w:val="16"/>
              </w:rPr>
              <w:t>局部关系检索</w:t>
            </w:r>
          </w:p>
        </w:tc>
        <w:tc>
          <w:tcPr>
            <w:tcW w:type="dxa" w:w="1417"/>
          </w:tcPr>
          <w:p>
            <w:pPr>
              <w:jc w:val="center"/>
            </w:pPr>
            <w:r>
              <w:rPr>
                <w:rFonts w:ascii="Times New Roman" w:hAnsi="Times New Roman" w:eastAsia="宋体"/>
                <w:b w:val="0"/>
                <w:sz w:val="16"/>
              </w:rPr>
              <w:t>Q2, Q3</w:t>
            </w:r>
          </w:p>
        </w:tc>
        <w:tc>
          <w:tcPr>
            <w:tcW w:type="dxa" w:w="3402"/>
          </w:tcPr>
          <w:p>
            <w:pPr>
              <w:jc w:val="left"/>
            </w:pPr>
            <w:r>
              <w:rPr>
                <w:rFonts w:ascii="Times New Roman" w:hAnsi="Times New Roman" w:eastAsia="宋体"/>
                <w:b w:val="0"/>
                <w:sz w:val="16"/>
              </w:rPr>
              <w:t>二元关系识别</w:t>
            </w:r>
          </w:p>
        </w:tc>
      </w:tr>
      <w:tr>
        <w:tc>
          <w:tcPr>
            <w:tcW w:type="dxa" w:w="1134"/>
          </w:tcPr>
          <w:p>
            <w:pPr>
              <w:jc w:val="center"/>
            </w:pPr>
            <w:r>
              <w:rPr>
                <w:rFonts w:ascii="Times New Roman" w:hAnsi="Times New Roman" w:eastAsia="宋体"/>
                <w:b w:val="0"/>
                <w:sz w:val="16"/>
              </w:rPr>
              <w:t>Level 3</w:t>
            </w:r>
          </w:p>
        </w:tc>
        <w:tc>
          <w:tcPr>
            <w:tcW w:type="dxa" w:w="1701"/>
          </w:tcPr>
          <w:p>
            <w:pPr>
              <w:jc w:val="center"/>
            </w:pPr>
            <w:r>
              <w:rPr>
                <w:rFonts w:ascii="Times New Roman" w:hAnsi="Times New Roman" w:eastAsia="宋体"/>
                <w:b w:val="0"/>
                <w:sz w:val="16"/>
              </w:rPr>
              <w:t>高阶条件组合</w:t>
            </w:r>
          </w:p>
        </w:tc>
        <w:tc>
          <w:tcPr>
            <w:tcW w:type="dxa" w:w="1417"/>
          </w:tcPr>
          <w:p>
            <w:pPr>
              <w:jc w:val="center"/>
            </w:pPr>
            <w:r>
              <w:rPr>
                <w:rFonts w:ascii="Times New Roman" w:hAnsi="Times New Roman" w:eastAsia="宋体"/>
                <w:b w:val="0"/>
                <w:sz w:val="16"/>
              </w:rPr>
              <w:t>Q4, Q5, Q6</w:t>
            </w:r>
          </w:p>
        </w:tc>
        <w:tc>
          <w:tcPr>
            <w:tcW w:type="dxa" w:w="3402"/>
          </w:tcPr>
          <w:p>
            <w:pPr>
              <w:jc w:val="left"/>
            </w:pPr>
            <w:r>
              <w:rPr>
                <w:rFonts w:ascii="Times New Roman" w:hAnsi="Times New Roman" w:eastAsia="宋体"/>
                <w:b w:val="0"/>
                <w:sz w:val="16"/>
              </w:rPr>
              <w:t>多元条件×性能匹配</w:t>
            </w:r>
          </w:p>
        </w:tc>
      </w:tr>
      <w:tr>
        <w:tc>
          <w:tcPr>
            <w:tcW w:type="dxa" w:w="1134"/>
          </w:tcPr>
          <w:p>
            <w:pPr>
              <w:jc w:val="center"/>
            </w:pPr>
            <w:r>
              <w:rPr>
                <w:rFonts w:ascii="Times New Roman" w:hAnsi="Times New Roman" w:eastAsia="宋体"/>
                <w:b w:val="0"/>
                <w:sz w:val="16"/>
              </w:rPr>
              <w:t>Level 4</w:t>
            </w:r>
          </w:p>
        </w:tc>
        <w:tc>
          <w:tcPr>
            <w:tcW w:type="dxa" w:w="1701"/>
          </w:tcPr>
          <w:p>
            <w:pPr>
              <w:jc w:val="center"/>
            </w:pPr>
            <w:r>
              <w:rPr>
                <w:rFonts w:ascii="Times New Roman" w:hAnsi="Times New Roman" w:eastAsia="宋体"/>
                <w:b w:val="0"/>
                <w:sz w:val="16"/>
              </w:rPr>
              <w:t>多材料横向对比</w:t>
            </w:r>
          </w:p>
        </w:tc>
        <w:tc>
          <w:tcPr>
            <w:tcW w:type="dxa" w:w="1417"/>
          </w:tcPr>
          <w:p>
            <w:pPr>
              <w:jc w:val="center"/>
            </w:pPr>
            <w:r>
              <w:rPr>
                <w:rFonts w:ascii="Times New Roman" w:hAnsi="Times New Roman" w:eastAsia="宋体"/>
                <w:b w:val="0"/>
                <w:sz w:val="16"/>
              </w:rPr>
              <w:t>Q7, Q8</w:t>
            </w:r>
          </w:p>
        </w:tc>
        <w:tc>
          <w:tcPr>
            <w:tcW w:type="dxa" w:w="3402"/>
          </w:tcPr>
          <w:p>
            <w:pPr>
              <w:jc w:val="left"/>
            </w:pPr>
            <w:r>
              <w:rPr>
                <w:rFonts w:ascii="Times New Roman" w:hAnsi="Times New Roman" w:eastAsia="宋体"/>
                <w:b w:val="0"/>
                <w:sz w:val="16"/>
              </w:rPr>
              <w:t>多实体×多指标矩阵对比</w:t>
            </w:r>
          </w:p>
        </w:tc>
      </w:tr>
      <w:tr>
        <w:tc>
          <w:tcPr>
            <w:tcW w:type="dxa" w:w="1134"/>
          </w:tcPr>
          <w:p>
            <w:pPr>
              <w:jc w:val="center"/>
            </w:pPr>
            <w:r>
              <w:rPr>
                <w:rFonts w:ascii="Times New Roman" w:hAnsi="Times New Roman" w:eastAsia="宋体"/>
                <w:b w:val="0"/>
                <w:sz w:val="16"/>
              </w:rPr>
              <w:t>Level 5</w:t>
            </w:r>
          </w:p>
        </w:tc>
        <w:tc>
          <w:tcPr>
            <w:tcW w:type="dxa" w:w="1701"/>
          </w:tcPr>
          <w:p>
            <w:pPr>
              <w:jc w:val="center"/>
            </w:pPr>
            <w:r>
              <w:rPr>
                <w:rFonts w:ascii="Times New Roman" w:hAnsi="Times New Roman" w:eastAsia="宋体"/>
                <w:b w:val="0"/>
                <w:sz w:val="16"/>
              </w:rPr>
              <w:t>机理解释链条</w:t>
            </w:r>
          </w:p>
        </w:tc>
        <w:tc>
          <w:tcPr>
            <w:tcW w:type="dxa" w:w="1417"/>
          </w:tcPr>
          <w:p>
            <w:pPr>
              <w:jc w:val="center"/>
            </w:pPr>
            <w:r>
              <w:rPr>
                <w:rFonts w:ascii="Times New Roman" w:hAnsi="Times New Roman" w:eastAsia="宋体"/>
                <w:b w:val="0"/>
                <w:sz w:val="16"/>
              </w:rPr>
              <w:t>Q9, Q10</w:t>
            </w:r>
          </w:p>
        </w:tc>
        <w:tc>
          <w:tcPr>
            <w:tcW w:type="dxa" w:w="3402"/>
          </w:tcPr>
          <w:p>
            <w:pPr>
              <w:jc w:val="left"/>
            </w:pPr>
            <w:r>
              <w:rPr>
                <w:rFonts w:ascii="Times New Roman" w:hAnsi="Times New Roman" w:eastAsia="宋体"/>
                <w:b w:val="0"/>
                <w:sz w:val="16"/>
              </w:rPr>
              <w:t>因果链传导与归因</w:t>
            </w:r>
          </w:p>
        </w:tc>
      </w:tr>
      <w:tr>
        <w:tc>
          <w:tcPr>
            <w:tcW w:type="dxa" w:w="1134"/>
          </w:tcPr>
          <w:p>
            <w:pPr>
              <w:jc w:val="center"/>
            </w:pPr>
            <w:r>
              <w:rPr>
                <w:rFonts w:ascii="Times New Roman" w:hAnsi="Times New Roman" w:eastAsia="宋体"/>
                <w:b w:val="0"/>
                <w:sz w:val="16"/>
              </w:rPr>
              <w:t>Level 6</w:t>
            </w:r>
          </w:p>
        </w:tc>
        <w:tc>
          <w:tcPr>
            <w:tcW w:type="dxa" w:w="1701"/>
          </w:tcPr>
          <w:p>
            <w:pPr>
              <w:jc w:val="center"/>
            </w:pPr>
            <w:r>
              <w:rPr>
                <w:rFonts w:ascii="Times New Roman" w:hAnsi="Times New Roman" w:eastAsia="宋体"/>
                <w:b w:val="0"/>
                <w:sz w:val="16"/>
              </w:rPr>
              <w:t>策略推荐与创新</w:t>
            </w:r>
          </w:p>
        </w:tc>
        <w:tc>
          <w:tcPr>
            <w:tcW w:type="dxa" w:w="1417"/>
          </w:tcPr>
          <w:p>
            <w:pPr>
              <w:jc w:val="center"/>
            </w:pPr>
            <w:r>
              <w:rPr>
                <w:rFonts w:ascii="Times New Roman" w:hAnsi="Times New Roman" w:eastAsia="宋体"/>
                <w:b w:val="0"/>
                <w:sz w:val="16"/>
              </w:rPr>
              <w:t>Q11, Q12</w:t>
            </w:r>
          </w:p>
        </w:tc>
        <w:tc>
          <w:tcPr>
            <w:tcW w:type="dxa" w:w="3402"/>
          </w:tcPr>
          <w:p>
            <w:pPr>
              <w:jc w:val="left"/>
            </w:pPr>
            <w:r>
              <w:rPr>
                <w:rFonts w:ascii="Times New Roman" w:hAnsi="Times New Roman" w:eastAsia="宋体"/>
                <w:b w:val="0"/>
                <w:sz w:val="16"/>
              </w:rPr>
              <w:t>跨体系归纳与知识迁移</w:t>
            </w:r>
          </w:p>
        </w:tc>
      </w:tr>
    </w:tbl>
    <w:p>
      <w:pPr>
        <w:spacing w:before="60" w:after="60"/>
        <w:ind w:firstLine="420"/>
      </w:pPr>
      <w:r>
        <w:rPr>
          <w:rFonts w:ascii="Times New Roman" w:hAnsi="Times New Roman" w:eastAsia="黑体"/>
          <w:b/>
          <w:sz w:val="21"/>
        </w:rPr>
        <w:t>3.2.2 典型问题深度定性分析</w:t>
      </w:r>
    </w:p>
    <w:p>
      <w:pPr>
        <w:spacing w:lineRule="exact" w:line="315" w:before="0" w:after="0"/>
        <w:ind w:firstLine="420"/>
        <w:jc w:val="both"/>
      </w:pPr>
      <w:r>
        <w:rPr>
          <w:rFonts w:ascii="Times New Roman" w:hAnsi="Times New Roman" w:eastAsia="宋体"/>
          <w:b w:val="0"/>
          <w:sz w:val="21"/>
        </w:rPr>
        <w:t>以下选取5个代表性问题进行定性对比分析，涵盖Level 3至Level 6的难度梯度。本节分析基于50篇文献的子集语料，结论应理解为对知识结构检索效果的验证，而非对液流电池领域的全面综述。</w:t>
      </w:r>
    </w:p>
    <w:p>
      <w:pPr>
        <w:spacing w:before="60" w:after="60"/>
        <w:ind w:firstLine="420"/>
      </w:pPr>
      <w:r>
        <w:rPr>
          <w:rFonts w:ascii="Times New Roman" w:hAnsi="Times New Roman" w:eastAsia="黑体"/>
          <w:b/>
          <w:sz w:val="21"/>
        </w:rPr>
        <w:t>Q4：高电流密度下同时实现高CE/VE/EE的实验条件（Level 3）</w:t>
      </w:r>
    </w:p>
    <w:p>
      <w:pPr>
        <w:spacing w:lineRule="exact" w:line="315" w:before="0" w:after="0"/>
        <w:ind w:firstLine="420"/>
        <w:jc w:val="both"/>
      </w:pPr>
      <w:r>
        <w:rPr>
          <w:rFonts w:ascii="Times New Roman" w:hAnsi="Times New Roman" w:eastAsia="宋体"/>
          <w:b w:val="0"/>
          <w:sz w:val="21"/>
        </w:rPr>
        <w:t>Q4要求识别在≥100 mA/cm²条件下同时实现高库仑效率、电压效率和能量效率的完整实验配置。该问题涉及四个变量维度——体系类型、膜材料、电流密度档位、效率数值——需要检索系统能够匹配"高电流密度×高效率"的条件组合。Hyper-ChE的召回结果呈现出结构化的"体系-膜-电流密度-效率"四元组信息：在VRFB体系中，SPI@100 mA/cm²（CE 96.83%, EE 79.47%）、SNPBI-1.42@100 mA/cm²、SPEEK/APK@100 mA/cm²（EE 81.3%）、S/MWCNT-NH₂-2@100 mA/cm²（EE 82.04%）、SPTPC-2.59@280 mA/cm²（EE 80%）等具体组合被完整保留。Graph-RAG的召回则表现出多元条件匹配上的局限：尽管召回了48条边，但仅触及1个实体节点，最终回答中仅能确认SPTPC@280 mA/cm²和SPI@100 mA/cm²两个具体组合，其余内容退化为"某些膜材料在高电流密度下表现良好"的泛化描述。</w:t>
      </w:r>
    </w:p>
    <w:p>
      <w:pPr>
        <w:spacing w:before="60" w:after="60"/>
        <w:ind w:firstLine="420"/>
      </w:pPr>
      <w:r>
        <w:rPr>
          <w:rFonts w:ascii="Times New Roman" w:hAnsi="Times New Roman" w:eastAsia="黑体"/>
          <w:b/>
          <w:sz w:val="21"/>
        </w:rPr>
        <w:t>Q6：ICRFB中Bi基添加剂对HER和Cr动力学的影响（Level 3）</w:t>
      </w:r>
    </w:p>
    <w:p>
      <w:pPr>
        <w:spacing w:lineRule="exact" w:line="315" w:before="0" w:after="0"/>
        <w:ind w:firstLine="420"/>
        <w:jc w:val="both"/>
      </w:pPr>
      <w:r>
        <w:rPr>
          <w:rFonts w:ascii="Times New Roman" w:hAnsi="Times New Roman" w:eastAsia="宋体"/>
          <w:b w:val="0"/>
          <w:sz w:val="21"/>
        </w:rPr>
        <w:t>Q6是一个典型的高阶条件组合问题，涉及添加剂形态、电极基底、电解液环境、催化效应和效率表现五个变量维度，且要求区分不同Bi形态的功能差异。Hyper-ChE的召回结果展现出对复杂知识结构的组织能力，系统分类了五种铋形态及其对应的电极-电解液配置，对于每一类都给出了具体的效率数值作为证据。Graph-RAG在此问题中召回内容较为分散，其回答直接指出"数据不足以生成详细回答"。</w:t>
      </w:r>
    </w:p>
    <w:p>
      <w:pPr>
        <w:spacing w:before="60" w:after="60"/>
        <w:ind w:firstLine="420"/>
      </w:pPr>
      <w:r>
        <w:rPr>
          <w:rFonts w:ascii="Times New Roman" w:hAnsi="Times New Roman" w:eastAsia="黑体"/>
          <w:b/>
          <w:sz w:val="21"/>
        </w:rPr>
        <w:t>Q7：Nafion、PBI、SpNPBI、SNPBI四类膜的横向对比（Level 4）</w:t>
      </w:r>
    </w:p>
    <w:p>
      <w:pPr>
        <w:spacing w:lineRule="exact" w:line="315" w:before="0" w:after="0"/>
        <w:ind w:firstLine="420"/>
        <w:jc w:val="both"/>
      </w:pPr>
      <w:r>
        <w:rPr>
          <w:rFonts w:ascii="Times New Roman" w:hAnsi="Times New Roman" w:eastAsia="宋体"/>
          <w:b w:val="0"/>
          <w:sz w:val="21"/>
        </w:rPr>
        <w:t>Q7是一个多材料×多指标的综合对比问题。Hyper-ChE的召回结果围绕五个关键指标展开了对比框架，更提供了crossover抑制与质子传导率之间平衡关系的权衡总结——这是膜材料设计的核心矛盾。Graph-RAG在此问题中召回内容较为分散，回答中指出"无法进行直接对比"。</w:t>
      </w:r>
    </w:p>
    <w:p>
      <w:pPr>
        <w:spacing w:before="60" w:after="60"/>
        <w:ind w:firstLine="420"/>
      </w:pPr>
      <w:r>
        <w:rPr>
          <w:rFonts w:ascii="Times New Roman" w:hAnsi="Times New Roman" w:eastAsia="黑体"/>
          <w:b/>
          <w:sz w:val="21"/>
        </w:rPr>
        <w:t>Q8：C-C、MC-C、BMC-C三种电极的横向对比（Level 4）</w:t>
      </w:r>
    </w:p>
    <w:p>
      <w:pPr>
        <w:spacing w:lineRule="exact" w:line="315" w:before="0" w:after="0"/>
        <w:ind w:firstLine="420"/>
        <w:jc w:val="both"/>
      </w:pPr>
      <w:r>
        <w:rPr>
          <w:rFonts w:ascii="Times New Roman" w:hAnsi="Times New Roman" w:eastAsia="宋体"/>
          <w:b w:val="0"/>
          <w:sz w:val="21"/>
        </w:rPr>
        <w:t>Hyper-ChE给出了50~500 mA/cm²范围内的系统性对比信息：BMC-C@200 mA/cm²的极化电压分别比MC-C低0.14 V、比C-C低0.43 V；BMC-C@500 mA/cm²实现了VE 70.2%和EE 69.4%。此外还从润湿性（接触角：BMC-C 92.8° vs MC-C 102° vs C-C 130.4°）、电化学活性表面积和动力学等结构因素解释了性能差异的根源。Graph-RAG在此问题中出现了知识盲区，指出"数据中未提及具体电极类型"。</w:t>
      </w:r>
    </w:p>
    <w:p>
      <w:pPr>
        <w:spacing w:before="60" w:after="60"/>
        <w:ind w:firstLine="420"/>
      </w:pPr>
      <w:r>
        <w:rPr>
          <w:rFonts w:ascii="Times New Roman" w:hAnsi="Times New Roman" w:eastAsia="黑体"/>
          <w:b/>
          <w:sz w:val="21"/>
        </w:rPr>
        <w:t>Q11：在高电流密度下保持高EE的综合策略（Level 6）</w:t>
      </w:r>
    </w:p>
    <w:p>
      <w:pPr>
        <w:spacing w:lineRule="exact" w:line="315" w:before="0" w:after="0"/>
        <w:ind w:firstLine="420"/>
        <w:jc w:val="both"/>
      </w:pPr>
      <w:r>
        <w:rPr>
          <w:rFonts w:ascii="Times New Roman" w:hAnsi="Times New Roman" w:eastAsia="宋体"/>
          <w:b w:val="0"/>
          <w:sz w:val="21"/>
        </w:rPr>
        <w:t>Q11是案例集中难度最高的策略推荐型问题，要求跨越不同液流电池体系（VRFB、ICRFB、锌基），综合归纳多种技术路径的有效性证据。Hyper-ChE的召回结果展现了一定的跨体系知识综合能力，从四个维度组织策略：（1）膜优化策略；（2）电极改性策略；（3）电解液优化策略；（4）跨体系归纳。Graph-RAG的回答主要停留在局部事实层面，仅能提及单一膜材料和高电流密度下效率下降的一般趋势。</w:t>
      </w:r>
    </w:p>
    <w:p>
      <w:pPr>
        <w:spacing w:lineRule="exact" w:line="315" w:before="0" w:after="0"/>
        <w:ind w:firstLine="420"/>
        <w:jc w:val="both"/>
      </w:pPr>
      <w:r>
        <w:rPr>
          <w:rFonts w:ascii="Times New Roman" w:hAnsi="Times New Roman" w:eastAsia="宋体"/>
          <w:b w:val="0"/>
          <w:sz w:val="21"/>
        </w:rPr>
        <w:t>上述5个问题的分析表明，Hyper-ChE召回结果表现出更好的上下文完整性，其优势主要体现在以下三个方面：条件完整性（Condition Integrity）——在Level 3及以上的问题中，答案质量依赖于"多个实验条件参数是否被作为整体召回"，Hyper-ChE的OPERATION和COMPOSITION超边将多元信息保存在同一关系结构中，有助于维持条件组合的完整性；上下文可解释性（Contextual Explainability）——Hyper-ChE不仅能够召回事实数据，还能通过DEGRADATION和COMPARISON超边召回"为什么有效"的机理解释，形成"数据+机理"的双层回答结构；跨域关联能力（Cross-domain Association）——在Level 6的策略推荐型问题中，Hyper-ChE的高阶超边充当了不同体系之间的语义连接，使得跨体系的知识迁移成为可能。</w:t>
      </w:r>
    </w:p>
    <w:p>
      <w:pPr>
        <w:spacing w:before="240" w:after="120"/>
        <w:ind w:firstLine="420"/>
      </w:pPr>
      <w:r>
        <w:rPr>
          <w:rFonts w:ascii="Times New Roman" w:hAnsi="Times New Roman" w:eastAsia="黑体"/>
          <w:b/>
          <w:sz w:val="24"/>
        </w:rPr>
        <w:t>4 案例二：PFAS去除与降解文献中的高阶关系检索验证</w:t>
      </w:r>
    </w:p>
    <w:p>
      <w:pPr>
        <w:spacing w:before="120" w:after="60"/>
        <w:ind w:firstLine="420"/>
      </w:pPr>
      <w:r>
        <w:rPr>
          <w:rFonts w:ascii="Times New Roman" w:hAnsi="Times New Roman" w:eastAsia="黑体"/>
          <w:b/>
          <w:sz w:val="21"/>
        </w:rPr>
        <w:t>4.1 数据来源与知识库构建</w:t>
      </w:r>
    </w:p>
    <w:p>
      <w:pPr>
        <w:spacing w:lineRule="exact" w:line="315" w:before="0" w:after="0"/>
        <w:ind w:firstLine="420"/>
        <w:jc w:val="both"/>
      </w:pPr>
      <w:r>
        <w:rPr>
          <w:rFonts w:ascii="Times New Roman" w:hAnsi="Times New Roman" w:eastAsia="宋体"/>
          <w:b w:val="0"/>
          <w:sz w:val="21"/>
        </w:rPr>
        <w:t>为验证超图知识建模框架在另一化工子领域中的可迁移性，本文以全氟/多氟烷基化合物（Per- and Polyfluoroalkyl Substances, PFAS）去除与降解为第二案例。该案例的定位是"领域迁移验证"而非独立的方法展示：Hyper-ChE框架本身无需改变，仅替换实体类型、关系/超边类型和领域提示词，即可实现从液流电池领域向PFAS去除与降解领域的知识建模迁移。</w:t>
      </w:r>
    </w:p>
    <w:p>
      <w:pPr>
        <w:spacing w:lineRule="exact" w:line="315" w:before="0" w:after="0"/>
        <w:ind w:firstLine="420"/>
        <w:jc w:val="both"/>
      </w:pPr>
      <w:r>
        <w:rPr>
          <w:rFonts w:ascii="Times New Roman" w:hAnsi="Times New Roman" w:eastAsia="宋体"/>
          <w:b w:val="0"/>
          <w:sz w:val="21"/>
        </w:rPr>
        <w:t>实验语料库来源于50篇领域学术文献，涵盖PFOA（全氟辛酸）、PFOS（全氟辛烷磺酸）、PFBA（全氟丁酸）、PFBS（全氟丁烷磺酸）、GenX（HFPO-DA）等主要目标污染物，处理策略涉及吸附、压电催化、压电-光催化、压电-Fenton、电化学氧化等技术路线。经文本解析与分块预处理后，共提取624个文本块作为知识抽取的基本单元。</w:t>
      </w:r>
    </w:p>
    <w:p>
      <w:pPr>
        <w:spacing w:before="120" w:after="60"/>
        <w:ind w:firstLine="420"/>
      </w:pPr>
      <w:r>
        <w:rPr>
          <w:rFonts w:ascii="Times New Roman" w:hAnsi="Times New Roman" w:eastAsia="黑体"/>
          <w:b/>
          <w:sz w:val="21"/>
        </w:rPr>
        <w:t>表5 PFAS去除与降解知识库构建统计</w:t>
      </w:r>
    </w:p>
    <w:tbl>
      <w:tblPr>
        <w:tblStyle w:val="TableGrid"/>
        <w:tblW w:type="auto" w:w="0"/>
        <w:tblLayout w:type="fixed"/>
        <w:tblLook w:firstColumn="1" w:firstRow="1" w:lastColumn="0" w:lastRow="0" w:noHBand="0" w:noVBand="1" w:val="04A0"/>
      </w:tblPr>
      <w:tblGrid>
        <w:gridCol w:w="2268"/>
        <w:gridCol w:w="1701"/>
        <w:gridCol w:w="3969"/>
      </w:tblGrid>
      <w:tr>
        <w:tc>
          <w:tcPr>
            <w:tcW w:type="dxa" w:w="2771"/>
          </w:tcPr>
          <w:p>
            <w:pPr>
              <w:jc w:val="center"/>
            </w:pPr>
            <w:r>
              <w:rPr>
                <w:rFonts w:ascii="Times New Roman" w:hAnsi="Times New Roman" w:eastAsia="黑体"/>
                <w:b/>
                <w:sz w:val="18"/>
              </w:rPr>
              <w:t>项目</w:t>
            </w:r>
          </w:p>
        </w:tc>
        <w:tc>
          <w:tcPr>
            <w:tcW w:type="dxa" w:w="2771"/>
          </w:tcPr>
          <w:p>
            <w:pPr>
              <w:jc w:val="center"/>
            </w:pPr>
            <w:r>
              <w:rPr>
                <w:rFonts w:ascii="Times New Roman" w:hAnsi="Times New Roman" w:eastAsia="黑体"/>
                <w:b/>
                <w:sz w:val="18"/>
              </w:rPr>
              <w:t>数量</w:t>
            </w:r>
          </w:p>
        </w:tc>
        <w:tc>
          <w:tcPr>
            <w:tcW w:type="dxa" w:w="2771"/>
          </w:tcPr>
          <w:p>
            <w:pPr>
              <w:jc w:val="center"/>
            </w:pPr>
            <w:r>
              <w:rPr>
                <w:rFonts w:ascii="Times New Roman" w:hAnsi="Times New Roman" w:eastAsia="黑体"/>
                <w:b/>
                <w:sz w:val="18"/>
              </w:rPr>
              <w:t>说明</w:t>
            </w:r>
          </w:p>
        </w:tc>
      </w:tr>
      <w:tr>
        <w:tc>
          <w:tcPr>
            <w:tcW w:type="dxa" w:w="2268"/>
          </w:tcPr>
          <w:p>
            <w:r>
              <w:rPr>
                <w:rFonts w:ascii="Times New Roman" w:hAnsi="Times New Roman" w:eastAsia="宋体"/>
                <w:b w:val="0"/>
                <w:sz w:val="18"/>
              </w:rPr>
              <w:t>文档数</w:t>
            </w:r>
          </w:p>
        </w:tc>
        <w:tc>
          <w:tcPr>
            <w:tcW w:type="dxa" w:w="1701"/>
          </w:tcPr>
          <w:p>
            <w:r>
              <w:rPr>
                <w:rFonts w:ascii="Times New Roman" w:hAnsi="Times New Roman" w:eastAsia="宋体"/>
                <w:b w:val="0"/>
                <w:sz w:val="18"/>
              </w:rPr>
              <w:t>50</w:t>
            </w:r>
          </w:p>
        </w:tc>
        <w:tc>
          <w:tcPr>
            <w:tcW w:type="dxa" w:w="3969"/>
          </w:tcPr>
          <w:p>
            <w:r>
              <w:rPr>
                <w:rFonts w:ascii="Times New Roman" w:hAnsi="Times New Roman" w:eastAsia="宋体"/>
                <w:b w:val="0"/>
                <w:sz w:val="18"/>
              </w:rPr>
              <w:t>PFAS去除与降解领域文献</w:t>
            </w:r>
          </w:p>
        </w:tc>
      </w:tr>
      <w:tr>
        <w:tc>
          <w:tcPr>
            <w:tcW w:type="dxa" w:w="2268"/>
          </w:tcPr>
          <w:p>
            <w:r>
              <w:rPr>
                <w:rFonts w:ascii="Times New Roman" w:hAnsi="Times New Roman" w:eastAsia="宋体"/>
                <w:b w:val="0"/>
                <w:sz w:val="18"/>
              </w:rPr>
              <w:t>文本块</w:t>
            </w:r>
          </w:p>
        </w:tc>
        <w:tc>
          <w:tcPr>
            <w:tcW w:type="dxa" w:w="1701"/>
          </w:tcPr>
          <w:p>
            <w:r>
              <w:rPr>
                <w:rFonts w:ascii="Times New Roman" w:hAnsi="Times New Roman" w:eastAsia="宋体"/>
                <w:b w:val="0"/>
                <w:sz w:val="18"/>
              </w:rPr>
              <w:t>624</w:t>
            </w:r>
          </w:p>
        </w:tc>
        <w:tc>
          <w:tcPr>
            <w:tcW w:type="dxa" w:w="3969"/>
          </w:tcPr>
          <w:p>
            <w:r>
              <w:rPr>
                <w:rFonts w:ascii="Times New Roman" w:hAnsi="Times New Roman" w:eastAsia="宋体"/>
                <w:b w:val="0"/>
                <w:sz w:val="18"/>
              </w:rPr>
              <w:t>文献解析与分块后的基本抽取单元</w:t>
            </w:r>
          </w:p>
        </w:tc>
      </w:tr>
      <w:tr>
        <w:tc>
          <w:tcPr>
            <w:tcW w:type="dxa" w:w="2268"/>
          </w:tcPr>
          <w:p>
            <w:r>
              <w:rPr>
                <w:rFonts w:ascii="Times New Roman" w:hAnsi="Times New Roman" w:eastAsia="宋体"/>
                <w:b w:val="0"/>
                <w:sz w:val="18"/>
              </w:rPr>
              <w:t>实体节点</w:t>
            </w:r>
          </w:p>
        </w:tc>
        <w:tc>
          <w:tcPr>
            <w:tcW w:type="dxa" w:w="1701"/>
          </w:tcPr>
          <w:p>
            <w:r>
              <w:rPr>
                <w:rFonts w:ascii="Times New Roman" w:hAnsi="Times New Roman" w:eastAsia="宋体"/>
                <w:b w:val="0"/>
                <w:sz w:val="18"/>
              </w:rPr>
              <w:t>7476</w:t>
            </w:r>
          </w:p>
        </w:tc>
        <w:tc>
          <w:tcPr>
            <w:tcW w:type="dxa" w:w="3969"/>
          </w:tcPr>
          <w:p>
            <w:r>
              <w:rPr>
                <w:rFonts w:ascii="Times New Roman" w:hAnsi="Times New Roman" w:eastAsia="宋体"/>
                <w:b w:val="0"/>
                <w:sz w:val="18"/>
              </w:rPr>
              <w:t>超图数据库中的全部实体节点</w:t>
            </w:r>
          </w:p>
        </w:tc>
      </w:tr>
      <w:tr>
        <w:tc>
          <w:tcPr>
            <w:tcW w:type="dxa" w:w="2268"/>
          </w:tcPr>
          <w:p>
            <w:r>
              <w:rPr>
                <w:rFonts w:ascii="Times New Roman" w:hAnsi="Times New Roman" w:eastAsia="宋体"/>
                <w:b w:val="0"/>
                <w:sz w:val="18"/>
              </w:rPr>
              <w:t>全部关系/超边</w:t>
            </w:r>
          </w:p>
        </w:tc>
        <w:tc>
          <w:tcPr>
            <w:tcW w:type="dxa" w:w="1701"/>
          </w:tcPr>
          <w:p>
            <w:r>
              <w:rPr>
                <w:rFonts w:ascii="Times New Roman" w:hAnsi="Times New Roman" w:eastAsia="宋体"/>
                <w:b w:val="0"/>
                <w:sz w:val="18"/>
              </w:rPr>
              <w:t>10812</w:t>
            </w:r>
          </w:p>
        </w:tc>
        <w:tc>
          <w:tcPr>
            <w:tcW w:type="dxa" w:w="3969"/>
          </w:tcPr>
          <w:p>
            <w:r>
              <w:rPr>
                <w:rFonts w:ascii="Times New Roman" w:hAnsi="Times New Roman" w:eastAsia="宋体"/>
                <w:b w:val="0"/>
                <w:sz w:val="18"/>
              </w:rPr>
              <w:t>低阶关系与高阶超边总数</w:t>
            </w:r>
          </w:p>
        </w:tc>
      </w:tr>
      <w:tr>
        <w:tc>
          <w:tcPr>
            <w:tcW w:type="dxa" w:w="2268"/>
          </w:tcPr>
          <w:p>
            <w:r>
              <w:rPr>
                <w:rFonts w:ascii="Times New Roman" w:hAnsi="Times New Roman" w:eastAsia="宋体"/>
                <w:b w:val="0"/>
                <w:sz w:val="18"/>
              </w:rPr>
              <w:t>低阶关系</w:t>
            </w:r>
          </w:p>
        </w:tc>
        <w:tc>
          <w:tcPr>
            <w:tcW w:type="dxa" w:w="1701"/>
          </w:tcPr>
          <w:p>
            <w:r>
              <w:rPr>
                <w:rFonts w:ascii="Times New Roman" w:hAnsi="Times New Roman" w:eastAsia="宋体"/>
                <w:b w:val="0"/>
                <w:sz w:val="18"/>
              </w:rPr>
              <w:t>8514</w:t>
            </w:r>
          </w:p>
        </w:tc>
        <w:tc>
          <w:tcPr>
            <w:tcW w:type="dxa" w:w="3969"/>
          </w:tcPr>
          <w:p>
            <w:r>
              <w:rPr>
                <w:rFonts w:ascii="Times New Roman" w:hAnsi="Times New Roman" w:eastAsia="宋体"/>
                <w:b w:val="0"/>
                <w:sz w:val="18"/>
              </w:rPr>
              <w:t>二元关系，cardinality = 2</w:t>
            </w:r>
          </w:p>
        </w:tc>
      </w:tr>
      <w:tr>
        <w:tc>
          <w:tcPr>
            <w:tcW w:type="dxa" w:w="2268"/>
          </w:tcPr>
          <w:p>
            <w:r>
              <w:rPr>
                <w:rFonts w:ascii="Times New Roman" w:hAnsi="Times New Roman" w:eastAsia="宋体"/>
                <w:b w:val="0"/>
                <w:sz w:val="18"/>
              </w:rPr>
              <w:t>高阶关系/高阶超边</w:t>
            </w:r>
          </w:p>
        </w:tc>
        <w:tc>
          <w:tcPr>
            <w:tcW w:type="dxa" w:w="1701"/>
          </w:tcPr>
          <w:p>
            <w:r>
              <w:rPr>
                <w:rFonts w:ascii="Times New Roman" w:hAnsi="Times New Roman" w:eastAsia="宋体"/>
                <w:b w:val="0"/>
                <w:sz w:val="18"/>
              </w:rPr>
              <w:t>2298</w:t>
            </w:r>
          </w:p>
        </w:tc>
        <w:tc>
          <w:tcPr>
            <w:tcW w:type="dxa" w:w="3969"/>
          </w:tcPr>
          <w:p>
            <w:r>
              <w:rPr>
                <w:rFonts w:ascii="Times New Roman" w:hAnsi="Times New Roman" w:eastAsia="宋体"/>
                <w:b w:val="0"/>
                <w:sz w:val="18"/>
              </w:rPr>
              <w:t>三元及以上关系，cardinality ≥ 3（占21.98%）</w:t>
            </w:r>
          </w:p>
        </w:tc>
      </w:tr>
    </w:tbl>
    <w:p>
      <w:pPr>
        <w:spacing w:before="120" w:after="60"/>
        <w:ind w:firstLine="420"/>
      </w:pPr>
      <w:r>
        <w:rPr>
          <w:rFonts w:ascii="Times New Roman" w:hAnsi="Times New Roman" w:eastAsia="黑体"/>
          <w:b/>
          <w:sz w:val="21"/>
        </w:rPr>
        <w:t>表6 PFAS去除与降解案例实体类型分布</w:t>
      </w:r>
    </w:p>
    <w:tbl>
      <w:tblPr>
        <w:tblStyle w:val="TableGrid"/>
        <w:tblW w:type="auto" w:w="0"/>
        <w:tblLayout w:type="fixed"/>
        <w:tblLook w:firstColumn="1" w:firstRow="1" w:lastColumn="0" w:lastRow="0" w:noHBand="0" w:noVBand="1" w:val="04A0"/>
      </w:tblPr>
      <w:tblGrid>
        <w:gridCol w:w="3402"/>
        <w:gridCol w:w="4535"/>
      </w:tblGrid>
      <w:tr>
        <w:tc>
          <w:tcPr>
            <w:tcW w:type="dxa" w:w="4156"/>
          </w:tcPr>
          <w:p>
            <w:pPr>
              <w:jc w:val="center"/>
            </w:pPr>
            <w:r>
              <w:rPr>
                <w:rFonts w:ascii="Times New Roman" w:hAnsi="Times New Roman" w:eastAsia="黑体"/>
                <w:b/>
                <w:sz w:val="18"/>
              </w:rPr>
              <w:t>实体类型</w:t>
            </w:r>
          </w:p>
        </w:tc>
        <w:tc>
          <w:tcPr>
            <w:tcW w:type="dxa" w:w="4156"/>
          </w:tcPr>
          <w:p>
            <w:pPr>
              <w:jc w:val="center"/>
            </w:pPr>
            <w:r>
              <w:rPr>
                <w:rFonts w:ascii="Times New Roman" w:hAnsi="Times New Roman" w:eastAsia="黑体"/>
                <w:b/>
                <w:sz w:val="18"/>
              </w:rPr>
              <w:t>数量</w:t>
            </w:r>
          </w:p>
        </w:tc>
      </w:tr>
      <w:tr>
        <w:tc>
          <w:tcPr>
            <w:tcW w:type="dxa" w:w="3402"/>
          </w:tcPr>
          <w:p>
            <w:r>
              <w:rPr>
                <w:rFonts w:ascii="Times New Roman" w:hAnsi="Times New Roman" w:eastAsia="宋体"/>
                <w:b w:val="0"/>
                <w:sz w:val="18"/>
              </w:rPr>
              <w:t>METRIC（性能指标）</w:t>
            </w:r>
          </w:p>
        </w:tc>
        <w:tc>
          <w:tcPr>
            <w:tcW w:type="dxa" w:w="4535"/>
          </w:tcPr>
          <w:p>
            <w:r>
              <w:rPr>
                <w:rFonts w:ascii="Times New Roman" w:hAnsi="Times New Roman" w:eastAsia="宋体"/>
                <w:b w:val="0"/>
                <w:sz w:val="18"/>
              </w:rPr>
              <w:t>1397</w:t>
            </w:r>
          </w:p>
        </w:tc>
      </w:tr>
      <w:tr>
        <w:tc>
          <w:tcPr>
            <w:tcW w:type="dxa" w:w="3402"/>
          </w:tcPr>
          <w:p>
            <w:r>
              <w:rPr>
                <w:rFonts w:ascii="Times New Roman" w:hAnsi="Times New Roman" w:eastAsia="宋体"/>
                <w:b w:val="0"/>
                <w:sz w:val="18"/>
              </w:rPr>
              <w:t>CONDITION（反应条件）</w:t>
            </w:r>
          </w:p>
        </w:tc>
        <w:tc>
          <w:tcPr>
            <w:tcW w:type="dxa" w:w="4535"/>
          </w:tcPr>
          <w:p>
            <w:r>
              <w:rPr>
                <w:rFonts w:ascii="Times New Roman" w:hAnsi="Times New Roman" w:eastAsia="宋体"/>
                <w:b w:val="0"/>
                <w:sz w:val="18"/>
              </w:rPr>
              <w:t>1181</w:t>
            </w:r>
          </w:p>
        </w:tc>
      </w:tr>
      <w:tr>
        <w:tc>
          <w:tcPr>
            <w:tcW w:type="dxa" w:w="3402"/>
          </w:tcPr>
          <w:p>
            <w:r>
              <w:rPr>
                <w:rFonts w:ascii="Times New Roman" w:hAnsi="Times New Roman" w:eastAsia="宋体"/>
                <w:b w:val="0"/>
                <w:sz w:val="18"/>
              </w:rPr>
              <w:t>CATALYST_MATERIAL（催化材料）</w:t>
            </w:r>
          </w:p>
        </w:tc>
        <w:tc>
          <w:tcPr>
            <w:tcW w:type="dxa" w:w="4535"/>
          </w:tcPr>
          <w:p>
            <w:r>
              <w:rPr>
                <w:rFonts w:ascii="Times New Roman" w:hAnsi="Times New Roman" w:eastAsia="宋体"/>
                <w:b w:val="0"/>
                <w:sz w:val="18"/>
              </w:rPr>
              <w:t>1181</w:t>
            </w:r>
          </w:p>
        </w:tc>
      </w:tr>
      <w:tr>
        <w:tc>
          <w:tcPr>
            <w:tcW w:type="dxa" w:w="3402"/>
          </w:tcPr>
          <w:p>
            <w:r>
              <w:rPr>
                <w:rFonts w:ascii="Times New Roman" w:hAnsi="Times New Roman" w:eastAsia="宋体"/>
                <w:b w:val="0"/>
                <w:sz w:val="18"/>
              </w:rPr>
              <w:t>MATERIAL_FEATURE（材料特征）</w:t>
            </w:r>
          </w:p>
        </w:tc>
        <w:tc>
          <w:tcPr>
            <w:tcW w:type="dxa" w:w="4535"/>
          </w:tcPr>
          <w:p>
            <w:r>
              <w:rPr>
                <w:rFonts w:ascii="Times New Roman" w:hAnsi="Times New Roman" w:eastAsia="宋体"/>
                <w:b w:val="0"/>
                <w:sz w:val="18"/>
              </w:rPr>
              <w:t>1048</w:t>
            </w:r>
          </w:p>
        </w:tc>
      </w:tr>
      <w:tr>
        <w:tc>
          <w:tcPr>
            <w:tcW w:type="dxa" w:w="3402"/>
          </w:tcPr>
          <w:p>
            <w:r>
              <w:rPr>
                <w:rFonts w:ascii="Times New Roman" w:hAnsi="Times New Roman" w:eastAsia="宋体"/>
                <w:b w:val="0"/>
                <w:sz w:val="18"/>
              </w:rPr>
              <w:t>MECHANISM_EVIDENCE（机理证据）</w:t>
            </w:r>
          </w:p>
        </w:tc>
        <w:tc>
          <w:tcPr>
            <w:tcW w:type="dxa" w:w="4535"/>
          </w:tcPr>
          <w:p>
            <w:r>
              <w:rPr>
                <w:rFonts w:ascii="Times New Roman" w:hAnsi="Times New Roman" w:eastAsia="宋体"/>
                <w:b w:val="0"/>
                <w:sz w:val="18"/>
              </w:rPr>
              <w:t>856</w:t>
            </w:r>
          </w:p>
        </w:tc>
      </w:tr>
      <w:tr>
        <w:tc>
          <w:tcPr>
            <w:tcW w:type="dxa" w:w="3402"/>
          </w:tcPr>
          <w:p>
            <w:r>
              <w:rPr>
                <w:rFonts w:ascii="Times New Roman" w:hAnsi="Times New Roman" w:eastAsia="宋体"/>
                <w:b w:val="0"/>
                <w:sz w:val="18"/>
              </w:rPr>
              <w:t>PROCESS_STRATEGY（过程策略）</w:t>
            </w:r>
          </w:p>
        </w:tc>
        <w:tc>
          <w:tcPr>
            <w:tcW w:type="dxa" w:w="4535"/>
          </w:tcPr>
          <w:p>
            <w:r>
              <w:rPr>
                <w:rFonts w:ascii="Times New Roman" w:hAnsi="Times New Roman" w:eastAsia="宋体"/>
                <w:b w:val="0"/>
                <w:sz w:val="18"/>
              </w:rPr>
              <w:t>503</w:t>
            </w:r>
          </w:p>
        </w:tc>
      </w:tr>
      <w:tr>
        <w:tc>
          <w:tcPr>
            <w:tcW w:type="dxa" w:w="3402"/>
          </w:tcPr>
          <w:p>
            <w:r>
              <w:rPr>
                <w:rFonts w:ascii="Times New Roman" w:hAnsi="Times New Roman" w:eastAsia="宋体"/>
                <w:b w:val="0"/>
                <w:sz w:val="18"/>
              </w:rPr>
              <w:t>PFAS_TARGET（目标污染物）</w:t>
            </w:r>
          </w:p>
        </w:tc>
        <w:tc>
          <w:tcPr>
            <w:tcW w:type="dxa" w:w="4535"/>
          </w:tcPr>
          <w:p>
            <w:r>
              <w:rPr>
                <w:rFonts w:ascii="Times New Roman" w:hAnsi="Times New Roman" w:eastAsia="宋体"/>
                <w:b w:val="0"/>
                <w:sz w:val="18"/>
              </w:rPr>
              <w:t>323</w:t>
            </w:r>
          </w:p>
        </w:tc>
      </w:tr>
      <w:tr>
        <w:tc>
          <w:tcPr>
            <w:tcW w:type="dxa" w:w="3402"/>
          </w:tcPr>
          <w:p>
            <w:r>
              <w:rPr>
                <w:rFonts w:ascii="Times New Roman" w:hAnsi="Times New Roman" w:eastAsia="宋体"/>
                <w:b w:val="0"/>
                <w:sz w:val="18"/>
              </w:rPr>
              <w:t>ACTIVE_SPECIES（活性物种）</w:t>
            </w:r>
          </w:p>
        </w:tc>
        <w:tc>
          <w:tcPr>
            <w:tcW w:type="dxa" w:w="4535"/>
          </w:tcPr>
          <w:p>
            <w:r>
              <w:rPr>
                <w:rFonts w:ascii="Times New Roman" w:hAnsi="Times New Roman" w:eastAsia="宋体"/>
                <w:b w:val="0"/>
                <w:sz w:val="18"/>
              </w:rPr>
              <w:t>312</w:t>
            </w:r>
          </w:p>
        </w:tc>
      </w:tr>
      <w:tr>
        <w:tc>
          <w:tcPr>
            <w:tcW w:type="dxa" w:w="3402"/>
          </w:tcPr>
          <w:p>
            <w:r>
              <w:rPr>
                <w:rFonts w:ascii="Times New Roman" w:hAnsi="Times New Roman" w:eastAsia="宋体"/>
                <w:b w:val="0"/>
                <w:sz w:val="18"/>
              </w:rPr>
              <w:t>PIEZO_PROPERTY（压电性质）</w:t>
            </w:r>
          </w:p>
        </w:tc>
        <w:tc>
          <w:tcPr>
            <w:tcW w:type="dxa" w:w="4535"/>
          </w:tcPr>
          <w:p>
            <w:r>
              <w:rPr>
                <w:rFonts w:ascii="Times New Roman" w:hAnsi="Times New Roman" w:eastAsia="宋体"/>
                <w:b w:val="0"/>
                <w:sz w:val="18"/>
              </w:rPr>
              <w:t>249</w:t>
            </w:r>
          </w:p>
        </w:tc>
      </w:tr>
      <w:tr>
        <w:tc>
          <w:tcPr>
            <w:tcW w:type="dxa" w:w="3402"/>
          </w:tcPr>
          <w:p>
            <w:r>
              <w:rPr>
                <w:rFonts w:ascii="Times New Roman" w:hAnsi="Times New Roman" w:eastAsia="宋体"/>
                <w:b w:val="0"/>
                <w:sz w:val="18"/>
              </w:rPr>
              <w:t>WATER_MATRIX（水体基质）</w:t>
            </w:r>
          </w:p>
        </w:tc>
        <w:tc>
          <w:tcPr>
            <w:tcW w:type="dxa" w:w="4535"/>
          </w:tcPr>
          <w:p>
            <w:r>
              <w:rPr>
                <w:rFonts w:ascii="Times New Roman" w:hAnsi="Times New Roman" w:eastAsia="宋体"/>
                <w:b w:val="0"/>
                <w:sz w:val="18"/>
              </w:rPr>
              <w:t>203</w:t>
            </w:r>
          </w:p>
        </w:tc>
      </w:tr>
    </w:tbl>
    <w:p>
      <w:pPr>
        <w:spacing w:before="120" w:after="60"/>
        <w:ind w:firstLine="420"/>
      </w:pPr>
      <w:r>
        <w:rPr>
          <w:rFonts w:ascii="Times New Roman" w:hAnsi="Times New Roman" w:eastAsia="黑体"/>
          <w:b/>
          <w:sz w:val="21"/>
        </w:rPr>
        <w:t>表7 PFAS去除与降解案例关系/超边类型分布</w:t>
      </w:r>
    </w:p>
    <w:tbl>
      <w:tblPr>
        <w:tblStyle w:val="TableGrid"/>
        <w:tblW w:type="auto" w:w="0"/>
        <w:tblLayout w:type="fixed"/>
        <w:tblLook w:firstColumn="1" w:firstRow="1" w:lastColumn="0" w:lastRow="0" w:noHBand="0" w:noVBand="1" w:val="04A0"/>
      </w:tblPr>
      <w:tblGrid>
        <w:gridCol w:w="3402"/>
        <w:gridCol w:w="4535"/>
      </w:tblGrid>
      <w:tr>
        <w:tc>
          <w:tcPr>
            <w:tcW w:type="dxa" w:w="4156"/>
          </w:tcPr>
          <w:p>
            <w:pPr>
              <w:jc w:val="center"/>
            </w:pPr>
            <w:r>
              <w:rPr>
                <w:rFonts w:ascii="Times New Roman" w:hAnsi="Times New Roman" w:eastAsia="黑体"/>
                <w:b/>
                <w:sz w:val="18"/>
              </w:rPr>
              <w:t>关系/超边类型</w:t>
            </w:r>
          </w:p>
        </w:tc>
        <w:tc>
          <w:tcPr>
            <w:tcW w:type="dxa" w:w="4156"/>
          </w:tcPr>
          <w:p>
            <w:pPr>
              <w:jc w:val="center"/>
            </w:pPr>
            <w:r>
              <w:rPr>
                <w:rFonts w:ascii="Times New Roman" w:hAnsi="Times New Roman" w:eastAsia="黑体"/>
                <w:b/>
                <w:sz w:val="18"/>
              </w:rPr>
              <w:t>数量</w:t>
            </w:r>
          </w:p>
        </w:tc>
      </w:tr>
      <w:tr>
        <w:tc>
          <w:tcPr>
            <w:tcW w:type="dxa" w:w="3402"/>
          </w:tcPr>
          <w:p>
            <w:r>
              <w:rPr>
                <w:rFonts w:ascii="Times New Roman" w:hAnsi="Times New Roman" w:eastAsia="宋体"/>
                <w:b w:val="0"/>
                <w:sz w:val="18"/>
              </w:rPr>
              <w:t>OPERATION_PERFORMANCE（操作-性能关系）</w:t>
            </w:r>
          </w:p>
        </w:tc>
        <w:tc>
          <w:tcPr>
            <w:tcW w:type="dxa" w:w="4535"/>
          </w:tcPr>
          <w:p>
            <w:r>
              <w:rPr>
                <w:rFonts w:ascii="Times New Roman" w:hAnsi="Times New Roman" w:eastAsia="宋体"/>
                <w:b w:val="0"/>
                <w:sz w:val="18"/>
              </w:rPr>
              <w:t>3147</w:t>
            </w:r>
          </w:p>
        </w:tc>
      </w:tr>
      <w:tr>
        <w:tc>
          <w:tcPr>
            <w:tcW w:type="dxa" w:w="3402"/>
          </w:tcPr>
          <w:p>
            <w:r>
              <w:rPr>
                <w:rFonts w:ascii="Times New Roman" w:hAnsi="Times New Roman" w:eastAsia="宋体"/>
                <w:b w:val="0"/>
                <w:sz w:val="18"/>
              </w:rPr>
              <w:t>MECHANISM_PATHWAY（机理路径关系）</w:t>
            </w:r>
          </w:p>
        </w:tc>
        <w:tc>
          <w:tcPr>
            <w:tcW w:type="dxa" w:w="4535"/>
          </w:tcPr>
          <w:p>
            <w:r>
              <w:rPr>
                <w:rFonts w:ascii="Times New Roman" w:hAnsi="Times New Roman" w:eastAsia="宋体"/>
                <w:b w:val="0"/>
                <w:sz w:val="18"/>
              </w:rPr>
              <w:t>2511</w:t>
            </w:r>
          </w:p>
        </w:tc>
      </w:tr>
      <w:tr>
        <w:tc>
          <w:tcPr>
            <w:tcW w:type="dxa" w:w="3402"/>
          </w:tcPr>
          <w:p>
            <w:r>
              <w:rPr>
                <w:rFonts w:ascii="Times New Roman" w:hAnsi="Times New Roman" w:eastAsia="宋体"/>
                <w:b w:val="0"/>
                <w:sz w:val="18"/>
              </w:rPr>
              <w:t>MATERIAL_DESIGN（材料设计关系）</w:t>
            </w:r>
          </w:p>
        </w:tc>
        <w:tc>
          <w:tcPr>
            <w:tcW w:type="dxa" w:w="4535"/>
          </w:tcPr>
          <w:p>
            <w:r>
              <w:rPr>
                <w:rFonts w:ascii="Times New Roman" w:hAnsi="Times New Roman" w:eastAsia="宋体"/>
                <w:b w:val="0"/>
                <w:sz w:val="18"/>
              </w:rPr>
              <w:t>2303</w:t>
            </w:r>
          </w:p>
        </w:tc>
      </w:tr>
      <w:tr>
        <w:tc>
          <w:tcPr>
            <w:tcW w:type="dxa" w:w="3402"/>
          </w:tcPr>
          <w:p>
            <w:r>
              <w:rPr>
                <w:rFonts w:ascii="Times New Roman" w:hAnsi="Times New Roman" w:eastAsia="宋体"/>
                <w:b w:val="0"/>
                <w:sz w:val="18"/>
              </w:rPr>
              <w:t>COMPARISON（比较关系）</w:t>
            </w:r>
          </w:p>
        </w:tc>
        <w:tc>
          <w:tcPr>
            <w:tcW w:type="dxa" w:w="4535"/>
          </w:tcPr>
          <w:p>
            <w:r>
              <w:rPr>
                <w:rFonts w:ascii="Times New Roman" w:hAnsi="Times New Roman" w:eastAsia="宋体"/>
                <w:b w:val="0"/>
                <w:sz w:val="18"/>
              </w:rPr>
              <w:t>943</w:t>
            </w:r>
          </w:p>
        </w:tc>
      </w:tr>
      <w:tr>
        <w:tc>
          <w:tcPr>
            <w:tcW w:type="dxa" w:w="3402"/>
          </w:tcPr>
          <w:p>
            <w:r>
              <w:rPr>
                <w:rFonts w:ascii="Times New Roman" w:hAnsi="Times New Roman" w:eastAsia="宋体"/>
                <w:b w:val="0"/>
                <w:sz w:val="18"/>
              </w:rPr>
              <w:t>MATRIX_APPLICATION（基质应用关系）</w:t>
            </w:r>
          </w:p>
        </w:tc>
        <w:tc>
          <w:tcPr>
            <w:tcW w:type="dxa" w:w="4535"/>
          </w:tcPr>
          <w:p>
            <w:r>
              <w:rPr>
                <w:rFonts w:ascii="Times New Roman" w:hAnsi="Times New Roman" w:eastAsia="宋体"/>
                <w:b w:val="0"/>
                <w:sz w:val="18"/>
              </w:rPr>
              <w:t>563</w:t>
            </w:r>
          </w:p>
        </w:tc>
      </w:tr>
      <w:tr>
        <w:tc>
          <w:tcPr>
            <w:tcW w:type="dxa" w:w="3402"/>
          </w:tcPr>
          <w:p>
            <w:r>
              <w:rPr>
                <w:rFonts w:ascii="Times New Roman" w:hAnsi="Times New Roman" w:eastAsia="宋体"/>
                <w:b w:val="0"/>
                <w:sz w:val="18"/>
              </w:rPr>
              <w:t>COUPLING_STRATEGY（耦合策略关系）</w:t>
            </w:r>
          </w:p>
        </w:tc>
        <w:tc>
          <w:tcPr>
            <w:tcW w:type="dxa" w:w="4535"/>
          </w:tcPr>
          <w:p>
            <w:r>
              <w:rPr>
                <w:rFonts w:ascii="Times New Roman" w:hAnsi="Times New Roman" w:eastAsia="宋体"/>
                <w:b w:val="0"/>
                <w:sz w:val="18"/>
              </w:rPr>
              <w:t>337</w:t>
            </w:r>
          </w:p>
        </w:tc>
      </w:tr>
      <w:tr>
        <w:tc>
          <w:tcPr>
            <w:tcW w:type="dxa" w:w="3402"/>
          </w:tcPr>
          <w:p>
            <w:r>
              <w:rPr>
                <w:rFonts w:ascii="Times New Roman" w:hAnsi="Times New Roman" w:eastAsia="宋体"/>
                <w:b w:val="0"/>
                <w:sz w:val="18"/>
              </w:rPr>
              <w:t>CHARGE_TRANSFER（电荷转移关系）</w:t>
            </w:r>
          </w:p>
        </w:tc>
        <w:tc>
          <w:tcPr>
            <w:tcW w:type="dxa" w:w="4535"/>
          </w:tcPr>
          <w:p>
            <w:r>
              <w:rPr>
                <w:rFonts w:ascii="Times New Roman" w:hAnsi="Times New Roman" w:eastAsia="宋体"/>
                <w:b w:val="0"/>
                <w:sz w:val="18"/>
              </w:rPr>
              <w:t>220</w:t>
            </w:r>
          </w:p>
        </w:tc>
      </w:tr>
      <w:tr>
        <w:tc>
          <w:tcPr>
            <w:tcW w:type="dxa" w:w="3402"/>
          </w:tcPr>
          <w:p>
            <w:r>
              <w:rPr>
                <w:rFonts w:ascii="Times New Roman" w:hAnsi="Times New Roman" w:eastAsia="宋体"/>
                <w:b w:val="0"/>
                <w:sz w:val="18"/>
              </w:rPr>
              <w:t>ADSORPTION_ORIENTATION（吸附取向关系）</w:t>
            </w:r>
          </w:p>
        </w:tc>
        <w:tc>
          <w:tcPr>
            <w:tcW w:type="dxa" w:w="4535"/>
          </w:tcPr>
          <w:p>
            <w:r>
              <w:rPr>
                <w:rFonts w:ascii="Times New Roman" w:hAnsi="Times New Roman" w:eastAsia="宋体"/>
                <w:b w:val="0"/>
                <w:sz w:val="18"/>
              </w:rPr>
              <w:t>189</w:t>
            </w:r>
          </w:p>
        </w:tc>
      </w:tr>
    </w:tbl>
    <w:p>
      <w:pPr>
        <w:spacing w:lineRule="exact" w:line="315" w:before="0" w:after="0"/>
        <w:ind w:firstLine="420"/>
        <w:jc w:val="both"/>
      </w:pPr>
      <w:r>
        <w:rPr>
          <w:rFonts w:ascii="Times New Roman" w:hAnsi="Times New Roman" w:eastAsia="宋体"/>
          <w:b w:val="0"/>
          <w:sz w:val="21"/>
        </w:rPr>
        <w:t>上述统计表明，在PFAS去除与降解案例中，高阶关系/超边占全部关系的21.98%，该比例与液流电池案例（20.9%）处于相近水平，说明PFAS降解文献中同样存在大量不能由普通二元边完整表达的多变量实验事实。OPERATION_PERFORMANCE、MECHANISM_PATHWAY和MATERIAL_DESIGN三类关系占比较高，说明PFAS降解文献的知识组织并不只是"材料A降解污染物B"这类简单事实，而是集中体现为实验操作、性能结果和机理证据之间的多实体耦合。需要指出的是，当前PFAS案例仅基于50篇文献的子集语料，本节不将后续问答结果解释为对PFAS降解领域的全面综述结论。</w:t>
      </w:r>
    </w:p>
    <w:p>
      <w:pPr>
        <w:spacing w:before="120" w:after="60"/>
        <w:ind w:firstLine="420"/>
      </w:pPr>
      <w:r>
        <w:rPr>
          <w:rFonts w:ascii="Times New Roman" w:hAnsi="Times New Roman" w:eastAsia="黑体"/>
          <w:b/>
          <w:sz w:val="21"/>
        </w:rPr>
        <w:t>4.2 问题设置与总体检索差异</w:t>
      </w:r>
    </w:p>
    <w:p>
      <w:pPr>
        <w:spacing w:lineRule="exact" w:line="315" w:before="0" w:after="0"/>
        <w:ind w:firstLine="420"/>
        <w:jc w:val="both"/>
      </w:pPr>
      <w:r>
        <w:rPr>
          <w:rFonts w:ascii="Times New Roman" w:hAnsi="Times New Roman" w:eastAsia="宋体"/>
          <w:b w:val="0"/>
          <w:sz w:val="21"/>
        </w:rPr>
        <w:t>为系统评估超图结构在PFAS去除与降解专业知识检索中的效果，设计了覆盖6个难度层次的12个代表性问题（编号Q1~Q12），分别使用Hyper-ChE和Graph-RAG进行检索与回答。问题题目均不以显式方式提及"超图"，以保证两套系统在相同自然语言查询条件下的对比公平性。表8给出了问题难度分层。</w:t>
      </w:r>
    </w:p>
    <w:p>
      <w:pPr>
        <w:spacing w:before="120" w:after="60"/>
        <w:ind w:firstLine="420"/>
      </w:pPr>
      <w:r>
        <w:rPr>
          <w:rFonts w:ascii="Times New Roman" w:hAnsi="Times New Roman" w:eastAsia="黑体"/>
          <w:b/>
          <w:sz w:val="21"/>
        </w:rPr>
        <w:t>表8 PFAS去除与降解案例问题难度分层</w:t>
      </w:r>
    </w:p>
    <w:tbl>
      <w:tblPr>
        <w:tblStyle w:val="TableGrid"/>
        <w:tblW w:type="auto" w:w="0"/>
        <w:tblLayout w:type="fixed"/>
        <w:tblLook w:firstColumn="1" w:firstRow="1" w:lastColumn="0" w:lastRow="0" w:noHBand="0" w:noVBand="1" w:val="04A0"/>
      </w:tblPr>
      <w:tblGrid>
        <w:gridCol w:w="1134"/>
        <w:gridCol w:w="1701"/>
        <w:gridCol w:w="1417"/>
        <w:gridCol w:w="3402"/>
      </w:tblGrid>
      <w:tr>
        <w:tc>
          <w:tcPr>
            <w:tcW w:type="dxa" w:w="2078"/>
          </w:tcPr>
          <w:p>
            <w:pPr>
              <w:jc w:val="center"/>
            </w:pPr>
            <w:r>
              <w:rPr>
                <w:rFonts w:ascii="Times New Roman" w:hAnsi="Times New Roman" w:eastAsia="黑体"/>
                <w:b/>
                <w:sz w:val="16"/>
              </w:rPr>
              <w:t>难度层级</w:t>
            </w:r>
          </w:p>
        </w:tc>
        <w:tc>
          <w:tcPr>
            <w:tcW w:type="dxa" w:w="2078"/>
          </w:tcPr>
          <w:p>
            <w:pPr>
              <w:jc w:val="center"/>
            </w:pPr>
            <w:r>
              <w:rPr>
                <w:rFonts w:ascii="Times New Roman" w:hAnsi="Times New Roman" w:eastAsia="黑体"/>
                <w:b/>
                <w:sz w:val="16"/>
              </w:rPr>
              <w:t>问题类型</w:t>
            </w:r>
          </w:p>
        </w:tc>
        <w:tc>
          <w:tcPr>
            <w:tcW w:type="dxa" w:w="2078"/>
          </w:tcPr>
          <w:p>
            <w:pPr>
              <w:jc w:val="center"/>
            </w:pPr>
            <w:r>
              <w:rPr>
                <w:rFonts w:ascii="Times New Roman" w:hAnsi="Times New Roman" w:eastAsia="黑体"/>
                <w:b/>
                <w:sz w:val="16"/>
              </w:rPr>
              <w:t>对应问题</w:t>
            </w:r>
          </w:p>
        </w:tc>
        <w:tc>
          <w:tcPr>
            <w:tcW w:type="dxa" w:w="2078"/>
          </w:tcPr>
          <w:p>
            <w:pPr>
              <w:jc w:val="center"/>
            </w:pPr>
            <w:r>
              <w:rPr>
                <w:rFonts w:ascii="Times New Roman" w:hAnsi="Times New Roman" w:eastAsia="黑体"/>
                <w:b/>
                <w:sz w:val="16"/>
              </w:rPr>
              <w:t>核心认知要求</w:t>
            </w:r>
          </w:p>
        </w:tc>
      </w:tr>
      <w:tr>
        <w:tc>
          <w:tcPr>
            <w:tcW w:type="dxa" w:w="1134"/>
          </w:tcPr>
          <w:p>
            <w:pPr>
              <w:jc w:val="center"/>
            </w:pPr>
            <w:r>
              <w:rPr>
                <w:rFonts w:ascii="Times New Roman" w:hAnsi="Times New Roman" w:eastAsia="宋体"/>
                <w:b w:val="0"/>
                <w:sz w:val="16"/>
              </w:rPr>
              <w:t>Level 1</w:t>
            </w:r>
          </w:p>
        </w:tc>
        <w:tc>
          <w:tcPr>
            <w:tcW w:type="dxa" w:w="1701"/>
          </w:tcPr>
          <w:p>
            <w:pPr>
              <w:jc w:val="center"/>
            </w:pPr>
            <w:r>
              <w:rPr>
                <w:rFonts w:ascii="Times New Roman" w:hAnsi="Times New Roman" w:eastAsia="宋体"/>
                <w:b w:val="0"/>
                <w:sz w:val="16"/>
              </w:rPr>
              <w:t>语料总览型</w:t>
            </w:r>
          </w:p>
        </w:tc>
        <w:tc>
          <w:tcPr>
            <w:tcW w:type="dxa" w:w="1417"/>
          </w:tcPr>
          <w:p>
            <w:pPr>
              <w:jc w:val="center"/>
            </w:pPr>
            <w:r>
              <w:rPr>
                <w:rFonts w:ascii="Times New Roman" w:hAnsi="Times New Roman" w:eastAsia="宋体"/>
                <w:b w:val="0"/>
                <w:sz w:val="16"/>
              </w:rPr>
              <w:t>Q1~Q2</w:t>
            </w:r>
          </w:p>
        </w:tc>
        <w:tc>
          <w:tcPr>
            <w:tcW w:type="dxa" w:w="3402"/>
          </w:tcPr>
          <w:p>
            <w:pPr>
              <w:jc w:val="left"/>
            </w:pPr>
            <w:r>
              <w:rPr>
                <w:rFonts w:ascii="Times New Roman" w:hAnsi="Times New Roman" w:eastAsia="宋体"/>
                <w:b w:val="0"/>
                <w:sz w:val="16"/>
              </w:rPr>
              <w:t>污染物、处理策略、材料体系和指标的宏观归纳</w:t>
            </w:r>
          </w:p>
        </w:tc>
      </w:tr>
      <w:tr>
        <w:tc>
          <w:tcPr>
            <w:tcW w:type="dxa" w:w="1134"/>
          </w:tcPr>
          <w:p>
            <w:pPr>
              <w:jc w:val="center"/>
            </w:pPr>
            <w:r>
              <w:rPr>
                <w:rFonts w:ascii="Times New Roman" w:hAnsi="Times New Roman" w:eastAsia="宋体"/>
                <w:b w:val="0"/>
                <w:sz w:val="16"/>
              </w:rPr>
              <w:t>Level 2</w:t>
            </w:r>
          </w:p>
        </w:tc>
        <w:tc>
          <w:tcPr>
            <w:tcW w:type="dxa" w:w="1701"/>
          </w:tcPr>
          <w:p>
            <w:pPr>
              <w:jc w:val="center"/>
            </w:pPr>
            <w:r>
              <w:rPr>
                <w:rFonts w:ascii="Times New Roman" w:hAnsi="Times New Roman" w:eastAsia="宋体"/>
                <w:b w:val="0"/>
                <w:sz w:val="16"/>
              </w:rPr>
              <w:t>局部关系检索型</w:t>
            </w:r>
          </w:p>
        </w:tc>
        <w:tc>
          <w:tcPr>
            <w:tcW w:type="dxa" w:w="1417"/>
          </w:tcPr>
          <w:p>
            <w:pPr>
              <w:jc w:val="center"/>
            </w:pPr>
            <w:r>
              <w:rPr>
                <w:rFonts w:ascii="Times New Roman" w:hAnsi="Times New Roman" w:eastAsia="宋体"/>
                <w:b w:val="0"/>
                <w:sz w:val="16"/>
              </w:rPr>
              <w:t>Q3~Q4</w:t>
            </w:r>
          </w:p>
        </w:tc>
        <w:tc>
          <w:tcPr>
            <w:tcW w:type="dxa" w:w="3402"/>
          </w:tcPr>
          <w:p>
            <w:pPr>
              <w:jc w:val="left"/>
            </w:pPr>
            <w:r>
              <w:rPr>
                <w:rFonts w:ascii="Times New Roman" w:hAnsi="Times New Roman" w:eastAsia="宋体"/>
                <w:b w:val="0"/>
                <w:sz w:val="16"/>
              </w:rPr>
              <w:t>目标PFAS、材料、条件和指标的局部关系识别</w:t>
            </w:r>
          </w:p>
        </w:tc>
      </w:tr>
      <w:tr>
        <w:tc>
          <w:tcPr>
            <w:tcW w:type="dxa" w:w="1134"/>
          </w:tcPr>
          <w:p>
            <w:pPr>
              <w:jc w:val="center"/>
            </w:pPr>
            <w:r>
              <w:rPr>
                <w:rFonts w:ascii="Times New Roman" w:hAnsi="Times New Roman" w:eastAsia="宋体"/>
                <w:b w:val="0"/>
                <w:sz w:val="16"/>
              </w:rPr>
              <w:t>Level 3</w:t>
            </w:r>
          </w:p>
        </w:tc>
        <w:tc>
          <w:tcPr>
            <w:tcW w:type="dxa" w:w="1701"/>
          </w:tcPr>
          <w:p>
            <w:pPr>
              <w:jc w:val="center"/>
            </w:pPr>
            <w:r>
              <w:rPr>
                <w:rFonts w:ascii="Times New Roman" w:hAnsi="Times New Roman" w:eastAsia="宋体"/>
                <w:b w:val="0"/>
                <w:sz w:val="16"/>
              </w:rPr>
              <w:t>条件组合型</w:t>
            </w:r>
          </w:p>
        </w:tc>
        <w:tc>
          <w:tcPr>
            <w:tcW w:type="dxa" w:w="1417"/>
          </w:tcPr>
          <w:p>
            <w:pPr>
              <w:jc w:val="center"/>
            </w:pPr>
            <w:r>
              <w:rPr>
                <w:rFonts w:ascii="Times New Roman" w:hAnsi="Times New Roman" w:eastAsia="宋体"/>
                <w:b w:val="0"/>
                <w:sz w:val="16"/>
              </w:rPr>
              <w:t>Q5~Q6</w:t>
            </w:r>
          </w:p>
        </w:tc>
        <w:tc>
          <w:tcPr>
            <w:tcW w:type="dxa" w:w="3402"/>
          </w:tcPr>
          <w:p>
            <w:pPr>
              <w:jc w:val="left"/>
            </w:pPr>
            <w:r>
              <w:rPr>
                <w:rFonts w:ascii="Times New Roman" w:hAnsi="Times New Roman" w:eastAsia="宋体"/>
                <w:b w:val="0"/>
                <w:sz w:val="16"/>
              </w:rPr>
              <w:t>多条件共同约束下的性能与材料性质关联</w:t>
            </w:r>
          </w:p>
        </w:tc>
      </w:tr>
      <w:tr>
        <w:tc>
          <w:tcPr>
            <w:tcW w:type="dxa" w:w="1134"/>
          </w:tcPr>
          <w:p>
            <w:pPr>
              <w:jc w:val="center"/>
            </w:pPr>
            <w:r>
              <w:rPr>
                <w:rFonts w:ascii="Times New Roman" w:hAnsi="Times New Roman" w:eastAsia="宋体"/>
                <w:b w:val="0"/>
                <w:sz w:val="16"/>
              </w:rPr>
              <w:t>Level 4</w:t>
            </w:r>
          </w:p>
        </w:tc>
        <w:tc>
          <w:tcPr>
            <w:tcW w:type="dxa" w:w="1701"/>
          </w:tcPr>
          <w:p>
            <w:pPr>
              <w:jc w:val="center"/>
            </w:pPr>
            <w:r>
              <w:rPr>
                <w:rFonts w:ascii="Times New Roman" w:hAnsi="Times New Roman" w:eastAsia="宋体"/>
                <w:b w:val="0"/>
                <w:sz w:val="16"/>
              </w:rPr>
              <w:t>对比分析型</w:t>
            </w:r>
          </w:p>
        </w:tc>
        <w:tc>
          <w:tcPr>
            <w:tcW w:type="dxa" w:w="1417"/>
          </w:tcPr>
          <w:p>
            <w:pPr>
              <w:jc w:val="center"/>
            </w:pPr>
            <w:r>
              <w:rPr>
                <w:rFonts w:ascii="Times New Roman" w:hAnsi="Times New Roman" w:eastAsia="宋体"/>
                <w:b w:val="0"/>
                <w:sz w:val="16"/>
              </w:rPr>
              <w:t>Q7~Q8</w:t>
            </w:r>
          </w:p>
        </w:tc>
        <w:tc>
          <w:tcPr>
            <w:tcW w:type="dxa" w:w="3402"/>
          </w:tcPr>
          <w:p>
            <w:pPr>
              <w:jc w:val="left"/>
            </w:pPr>
            <w:r>
              <w:rPr>
                <w:rFonts w:ascii="Times New Roman" w:hAnsi="Times New Roman" w:eastAsia="宋体"/>
                <w:b w:val="0"/>
                <w:sz w:val="16"/>
              </w:rPr>
              <w:t>跨策略、跨污染物类型的横向比较</w:t>
            </w:r>
          </w:p>
        </w:tc>
      </w:tr>
      <w:tr>
        <w:tc>
          <w:tcPr>
            <w:tcW w:type="dxa" w:w="1134"/>
          </w:tcPr>
          <w:p>
            <w:pPr>
              <w:jc w:val="center"/>
            </w:pPr>
            <w:r>
              <w:rPr>
                <w:rFonts w:ascii="Times New Roman" w:hAnsi="Times New Roman" w:eastAsia="宋体"/>
                <w:b w:val="0"/>
                <w:sz w:val="16"/>
              </w:rPr>
              <w:t>Level 5</w:t>
            </w:r>
          </w:p>
        </w:tc>
        <w:tc>
          <w:tcPr>
            <w:tcW w:type="dxa" w:w="1701"/>
          </w:tcPr>
          <w:p>
            <w:pPr>
              <w:jc w:val="center"/>
            </w:pPr>
            <w:r>
              <w:rPr>
                <w:rFonts w:ascii="Times New Roman" w:hAnsi="Times New Roman" w:eastAsia="宋体"/>
                <w:b w:val="0"/>
                <w:sz w:val="16"/>
              </w:rPr>
              <w:t>机理证据链型</w:t>
            </w:r>
          </w:p>
        </w:tc>
        <w:tc>
          <w:tcPr>
            <w:tcW w:type="dxa" w:w="1417"/>
          </w:tcPr>
          <w:p>
            <w:pPr>
              <w:jc w:val="center"/>
            </w:pPr>
            <w:r>
              <w:rPr>
                <w:rFonts w:ascii="Times New Roman" w:hAnsi="Times New Roman" w:eastAsia="宋体"/>
                <w:b w:val="0"/>
                <w:sz w:val="16"/>
              </w:rPr>
              <w:t>Q9~Q10</w:t>
            </w:r>
          </w:p>
        </w:tc>
        <w:tc>
          <w:tcPr>
            <w:tcW w:type="dxa" w:w="3402"/>
          </w:tcPr>
          <w:p>
            <w:pPr>
              <w:jc w:val="left"/>
            </w:pPr>
            <w:r>
              <w:rPr>
                <w:rFonts w:ascii="Times New Roman" w:hAnsi="Times New Roman" w:eastAsia="宋体"/>
                <w:b w:val="0"/>
                <w:sz w:val="16"/>
              </w:rPr>
              <w:t>活性物种、电子转移和多类证据的链式组织</w:t>
            </w:r>
          </w:p>
        </w:tc>
      </w:tr>
      <w:tr>
        <w:tc>
          <w:tcPr>
            <w:tcW w:type="dxa" w:w="1134"/>
          </w:tcPr>
          <w:p>
            <w:pPr>
              <w:jc w:val="center"/>
            </w:pPr>
            <w:r>
              <w:rPr>
                <w:rFonts w:ascii="Times New Roman" w:hAnsi="Times New Roman" w:eastAsia="宋体"/>
                <w:b w:val="0"/>
                <w:sz w:val="16"/>
              </w:rPr>
              <w:t>Level 6</w:t>
            </w:r>
          </w:p>
        </w:tc>
        <w:tc>
          <w:tcPr>
            <w:tcW w:type="dxa" w:w="1701"/>
          </w:tcPr>
          <w:p>
            <w:pPr>
              <w:jc w:val="center"/>
            </w:pPr>
            <w:r>
              <w:rPr>
                <w:rFonts w:ascii="Times New Roman" w:hAnsi="Times New Roman" w:eastAsia="宋体"/>
                <w:b w:val="0"/>
                <w:sz w:val="16"/>
              </w:rPr>
              <w:t>方案归纳与推荐型</w:t>
            </w:r>
          </w:p>
        </w:tc>
        <w:tc>
          <w:tcPr>
            <w:tcW w:type="dxa" w:w="1417"/>
          </w:tcPr>
          <w:p>
            <w:pPr>
              <w:jc w:val="center"/>
            </w:pPr>
            <w:r>
              <w:rPr>
                <w:rFonts w:ascii="Times New Roman" w:hAnsi="Times New Roman" w:eastAsia="宋体"/>
                <w:b w:val="0"/>
                <w:sz w:val="16"/>
              </w:rPr>
              <w:t>Q11~Q12</w:t>
            </w:r>
          </w:p>
        </w:tc>
        <w:tc>
          <w:tcPr>
            <w:tcW w:type="dxa" w:w="3402"/>
          </w:tcPr>
          <w:p>
            <w:pPr>
              <w:jc w:val="left"/>
            </w:pPr>
            <w:r>
              <w:rPr>
                <w:rFonts w:ascii="Times New Roman" w:hAnsi="Times New Roman" w:eastAsia="宋体"/>
                <w:b w:val="0"/>
                <w:sz w:val="16"/>
              </w:rPr>
              <w:t>设计原则归纳与候选实验方案组织</w:t>
            </w:r>
          </w:p>
        </w:tc>
      </w:tr>
    </w:tbl>
    <w:p>
      <w:pPr>
        <w:spacing w:before="120" w:after="60"/>
        <w:ind w:firstLine="420"/>
      </w:pPr>
      <w:r>
        <w:rPr>
          <w:rFonts w:ascii="Times New Roman" w:hAnsi="Times New Roman" w:eastAsia="黑体"/>
          <w:b/>
          <w:sz w:val="21"/>
        </w:rPr>
        <w:t>表9 PFAS去除与降解案例中Hyper-ChE与Graph-RAG检索数量对比</w:t>
      </w:r>
    </w:p>
    <w:tbl>
      <w:tblPr>
        <w:tblStyle w:val="TableGrid"/>
        <w:tblW w:type="auto" w:w="0"/>
        <w:tblLayout w:type="fixed"/>
        <w:tblLook w:firstColumn="1" w:firstRow="1" w:lastColumn="0" w:lastRow="0" w:noHBand="0" w:noVBand="1" w:val="04A0"/>
      </w:tblPr>
      <w:tblGrid>
        <w:gridCol w:w="850"/>
        <w:gridCol w:w="1701"/>
        <w:gridCol w:w="1417"/>
        <w:gridCol w:w="1417"/>
        <w:gridCol w:w="2835"/>
      </w:tblGrid>
      <w:tr>
        <w:tc>
          <w:tcPr>
            <w:tcW w:type="dxa" w:w="1662"/>
          </w:tcPr>
          <w:p>
            <w:pPr>
              <w:jc w:val="center"/>
            </w:pPr>
            <w:r>
              <w:rPr>
                <w:rFonts w:ascii="Times New Roman" w:hAnsi="Times New Roman" w:eastAsia="黑体"/>
                <w:b/>
                <w:sz w:val="16"/>
              </w:rPr>
              <w:t>问题</w:t>
            </w:r>
          </w:p>
        </w:tc>
        <w:tc>
          <w:tcPr>
            <w:tcW w:type="dxa" w:w="1662"/>
          </w:tcPr>
          <w:p>
            <w:pPr>
              <w:jc w:val="center"/>
            </w:pPr>
            <w:r>
              <w:rPr>
                <w:rFonts w:ascii="Times New Roman" w:hAnsi="Times New Roman" w:eastAsia="黑体"/>
                <w:b/>
                <w:sz w:val="16"/>
              </w:rPr>
              <w:t>问题类型</w:t>
            </w:r>
          </w:p>
        </w:tc>
        <w:tc>
          <w:tcPr>
            <w:tcW w:type="dxa" w:w="1662"/>
          </w:tcPr>
          <w:p>
            <w:pPr>
              <w:jc w:val="center"/>
            </w:pPr>
            <w:r>
              <w:rPr>
                <w:rFonts w:ascii="Times New Roman" w:hAnsi="Times New Roman" w:eastAsia="黑体"/>
                <w:b/>
                <w:sz w:val="16"/>
              </w:rPr>
              <w:t>Hyper-ChE</w:t>
            </w:r>
          </w:p>
        </w:tc>
        <w:tc>
          <w:tcPr>
            <w:tcW w:type="dxa" w:w="1662"/>
          </w:tcPr>
          <w:p>
            <w:pPr>
              <w:jc w:val="center"/>
            </w:pPr>
            <w:r>
              <w:rPr>
                <w:rFonts w:ascii="Times New Roman" w:hAnsi="Times New Roman" w:eastAsia="黑体"/>
                <w:b/>
                <w:sz w:val="16"/>
              </w:rPr>
              <w:t>Graph-RAG</w:t>
            </w:r>
          </w:p>
        </w:tc>
        <w:tc>
          <w:tcPr>
            <w:tcW w:type="dxa" w:w="1662"/>
          </w:tcPr>
          <w:p>
            <w:pPr>
              <w:jc w:val="center"/>
            </w:pPr>
            <w:r>
              <w:rPr>
                <w:rFonts w:ascii="Times New Roman" w:hAnsi="Times New Roman" w:eastAsia="黑体"/>
                <w:b/>
                <w:sz w:val="16"/>
              </w:rPr>
              <w:t>主要差异</w:t>
            </w:r>
          </w:p>
        </w:tc>
      </w:tr>
      <w:tr>
        <w:tc>
          <w:tcPr>
            <w:tcW w:type="dxa" w:w="850"/>
          </w:tcPr>
          <w:p>
            <w:pPr>
              <w:jc w:val="left"/>
            </w:pPr>
            <w:r>
              <w:rPr>
                <w:rFonts w:ascii="Times New Roman" w:hAnsi="Times New Roman" w:eastAsia="宋体"/>
                <w:b w:val="0"/>
                <w:sz w:val="16"/>
              </w:rPr>
              <w:t>Q1</w:t>
            </w:r>
          </w:p>
        </w:tc>
        <w:tc>
          <w:tcPr>
            <w:tcW w:type="dxa" w:w="1701"/>
          </w:tcPr>
          <w:p>
            <w:pPr>
              <w:jc w:val="left"/>
            </w:pPr>
            <w:r>
              <w:rPr>
                <w:rFonts w:ascii="Times New Roman" w:hAnsi="Times New Roman" w:eastAsia="宋体"/>
                <w:b w:val="0"/>
                <w:sz w:val="16"/>
              </w:rPr>
              <w:t>语料总览</w:t>
            </w:r>
          </w:p>
        </w:tc>
        <w:tc>
          <w:tcPr>
            <w:tcW w:type="dxa" w:w="1417"/>
          </w:tcPr>
          <w:p>
            <w:pPr>
              <w:jc w:val="center"/>
            </w:pPr>
            <w:r>
              <w:rPr>
                <w:rFonts w:ascii="Times New Roman" w:hAnsi="Times New Roman" w:eastAsia="宋体"/>
                <w:b w:val="0"/>
                <w:sz w:val="16"/>
              </w:rPr>
              <w:t>90/60</w:t>
            </w:r>
          </w:p>
        </w:tc>
        <w:tc>
          <w:tcPr>
            <w:tcW w:type="dxa" w:w="1417"/>
          </w:tcPr>
          <w:p>
            <w:pPr>
              <w:jc w:val="center"/>
            </w:pPr>
            <w:r>
              <w:rPr>
                <w:rFonts w:ascii="Times New Roman" w:hAnsi="Times New Roman" w:eastAsia="宋体"/>
                <w:b w:val="0"/>
                <w:sz w:val="16"/>
              </w:rPr>
              <w:t>45/—</w:t>
            </w:r>
          </w:p>
        </w:tc>
        <w:tc>
          <w:tcPr>
            <w:tcW w:type="dxa" w:w="2835"/>
          </w:tcPr>
          <w:p>
            <w:pPr>
              <w:jc w:val="center"/>
            </w:pPr>
            <w:r>
              <w:rPr>
                <w:rFonts w:ascii="Times New Roman" w:hAnsi="Times New Roman" w:eastAsia="宋体"/>
                <w:b w:val="0"/>
                <w:sz w:val="16"/>
              </w:rPr>
              <w:t>Hyper-ChE覆盖策略和材料更完整</w:t>
            </w:r>
          </w:p>
        </w:tc>
      </w:tr>
      <w:tr>
        <w:tc>
          <w:tcPr>
            <w:tcW w:type="dxa" w:w="850"/>
          </w:tcPr>
          <w:p>
            <w:pPr>
              <w:jc w:val="left"/>
            </w:pPr>
            <w:r>
              <w:rPr>
                <w:rFonts w:ascii="Times New Roman" w:hAnsi="Times New Roman" w:eastAsia="宋体"/>
                <w:b w:val="0"/>
                <w:sz w:val="16"/>
              </w:rPr>
              <w:t>Q2</w:t>
            </w:r>
          </w:p>
        </w:tc>
        <w:tc>
          <w:tcPr>
            <w:tcW w:type="dxa" w:w="1701"/>
          </w:tcPr>
          <w:p>
            <w:pPr>
              <w:jc w:val="left"/>
            </w:pPr>
            <w:r>
              <w:rPr>
                <w:rFonts w:ascii="Times New Roman" w:hAnsi="Times New Roman" w:eastAsia="宋体"/>
                <w:b w:val="0"/>
                <w:sz w:val="16"/>
              </w:rPr>
              <w:t>指标解释</w:t>
            </w:r>
          </w:p>
        </w:tc>
        <w:tc>
          <w:tcPr>
            <w:tcW w:type="dxa" w:w="1417"/>
          </w:tcPr>
          <w:p>
            <w:pPr>
              <w:jc w:val="center"/>
            </w:pPr>
            <w:r>
              <w:rPr>
                <w:rFonts w:ascii="Times New Roman" w:hAnsi="Times New Roman" w:eastAsia="宋体"/>
                <w:b w:val="0"/>
                <w:sz w:val="16"/>
              </w:rPr>
              <w:t>85/62</w:t>
            </w:r>
          </w:p>
        </w:tc>
        <w:tc>
          <w:tcPr>
            <w:tcW w:type="dxa" w:w="1417"/>
          </w:tcPr>
          <w:p>
            <w:pPr>
              <w:jc w:val="center"/>
            </w:pPr>
            <w:r>
              <w:rPr>
                <w:rFonts w:ascii="Times New Roman" w:hAnsi="Times New Roman" w:eastAsia="宋体"/>
                <w:b w:val="0"/>
                <w:sz w:val="16"/>
              </w:rPr>
              <w:t>43/9</w:t>
            </w:r>
          </w:p>
        </w:tc>
        <w:tc>
          <w:tcPr>
            <w:tcW w:type="dxa" w:w="2835"/>
          </w:tcPr>
          <w:p>
            <w:pPr>
              <w:jc w:val="center"/>
            </w:pPr>
            <w:r>
              <w:rPr>
                <w:rFonts w:ascii="Times New Roman" w:hAnsi="Times New Roman" w:eastAsia="宋体"/>
                <w:b w:val="0"/>
                <w:sz w:val="16"/>
              </w:rPr>
              <w:t>两者均可回答，Hyper-ChE上下文更丰富</w:t>
            </w:r>
          </w:p>
        </w:tc>
      </w:tr>
      <w:tr>
        <w:tc>
          <w:tcPr>
            <w:tcW w:type="dxa" w:w="850"/>
          </w:tcPr>
          <w:p>
            <w:pPr>
              <w:jc w:val="left"/>
            </w:pPr>
            <w:r>
              <w:rPr>
                <w:rFonts w:ascii="Times New Roman" w:hAnsi="Times New Roman" w:eastAsia="宋体"/>
                <w:b w:val="0"/>
                <w:sz w:val="16"/>
              </w:rPr>
              <w:t>Q3</w:t>
            </w:r>
          </w:p>
        </w:tc>
        <w:tc>
          <w:tcPr>
            <w:tcW w:type="dxa" w:w="1701"/>
          </w:tcPr>
          <w:p>
            <w:pPr>
              <w:jc w:val="left"/>
            </w:pPr>
            <w:r>
              <w:rPr>
                <w:rFonts w:ascii="Times New Roman" w:hAnsi="Times New Roman" w:eastAsia="宋体"/>
                <w:b w:val="0"/>
                <w:sz w:val="16"/>
              </w:rPr>
              <w:t>PFOA/PFOS对比</w:t>
            </w:r>
          </w:p>
        </w:tc>
        <w:tc>
          <w:tcPr>
            <w:tcW w:type="dxa" w:w="1417"/>
          </w:tcPr>
          <w:p>
            <w:pPr>
              <w:jc w:val="center"/>
            </w:pPr>
            <w:r>
              <w:rPr>
                <w:rFonts w:ascii="Times New Roman" w:hAnsi="Times New Roman" w:eastAsia="宋体"/>
                <w:b w:val="0"/>
                <w:sz w:val="16"/>
              </w:rPr>
              <w:t>80/61</w:t>
            </w:r>
          </w:p>
        </w:tc>
        <w:tc>
          <w:tcPr>
            <w:tcW w:type="dxa" w:w="1417"/>
          </w:tcPr>
          <w:p>
            <w:pPr>
              <w:jc w:val="center"/>
            </w:pPr>
            <w:r>
              <w:rPr>
                <w:rFonts w:ascii="Times New Roman" w:hAnsi="Times New Roman" w:eastAsia="宋体"/>
                <w:b w:val="0"/>
                <w:sz w:val="16"/>
              </w:rPr>
              <w:t>36/5</w:t>
            </w:r>
          </w:p>
        </w:tc>
        <w:tc>
          <w:tcPr>
            <w:tcW w:type="dxa" w:w="2835"/>
          </w:tcPr>
          <w:p>
            <w:pPr>
              <w:jc w:val="center"/>
            </w:pPr>
            <w:r>
              <w:rPr>
                <w:rFonts w:ascii="Times New Roman" w:hAnsi="Times New Roman" w:eastAsia="宋体"/>
                <w:b w:val="0"/>
                <w:sz w:val="16"/>
              </w:rPr>
              <w:t>Hyper-ChE更能保留材料-条件-指标组合</w:t>
            </w:r>
          </w:p>
        </w:tc>
      </w:tr>
      <w:tr>
        <w:tc>
          <w:tcPr>
            <w:tcW w:type="dxa" w:w="850"/>
          </w:tcPr>
          <w:p>
            <w:pPr>
              <w:jc w:val="left"/>
            </w:pPr>
            <w:r>
              <w:rPr>
                <w:rFonts w:ascii="Times New Roman" w:hAnsi="Times New Roman" w:eastAsia="宋体"/>
                <w:b w:val="0"/>
                <w:sz w:val="16"/>
              </w:rPr>
              <w:t>Q4</w:t>
            </w:r>
          </w:p>
        </w:tc>
        <w:tc>
          <w:tcPr>
            <w:tcW w:type="dxa" w:w="1701"/>
          </w:tcPr>
          <w:p>
            <w:pPr>
              <w:jc w:val="left"/>
            </w:pPr>
            <w:r>
              <w:rPr>
                <w:rFonts w:ascii="Times New Roman" w:hAnsi="Times New Roman" w:eastAsia="宋体"/>
                <w:b w:val="0"/>
                <w:sz w:val="16"/>
              </w:rPr>
              <w:t>材料角色区分</w:t>
            </w:r>
          </w:p>
        </w:tc>
        <w:tc>
          <w:tcPr>
            <w:tcW w:type="dxa" w:w="1417"/>
          </w:tcPr>
          <w:p>
            <w:pPr>
              <w:jc w:val="center"/>
            </w:pPr>
            <w:r>
              <w:rPr>
                <w:rFonts w:ascii="Times New Roman" w:hAnsi="Times New Roman" w:eastAsia="宋体"/>
                <w:b w:val="0"/>
                <w:sz w:val="16"/>
              </w:rPr>
              <w:t>95/60</w:t>
            </w:r>
          </w:p>
        </w:tc>
        <w:tc>
          <w:tcPr>
            <w:tcW w:type="dxa" w:w="1417"/>
          </w:tcPr>
          <w:p>
            <w:pPr>
              <w:jc w:val="center"/>
            </w:pPr>
            <w:r>
              <w:rPr>
                <w:rFonts w:ascii="Times New Roman" w:hAnsi="Times New Roman" w:eastAsia="宋体"/>
                <w:b w:val="0"/>
                <w:sz w:val="16"/>
              </w:rPr>
              <w:t>40/2</w:t>
            </w:r>
          </w:p>
        </w:tc>
        <w:tc>
          <w:tcPr>
            <w:tcW w:type="dxa" w:w="2835"/>
          </w:tcPr>
          <w:p>
            <w:pPr>
              <w:jc w:val="center"/>
            </w:pPr>
            <w:r>
              <w:rPr>
                <w:rFonts w:ascii="Times New Roman" w:hAnsi="Times New Roman" w:eastAsia="宋体"/>
                <w:b w:val="0"/>
                <w:sz w:val="16"/>
              </w:rPr>
              <w:t>Hyper-ChE角色分类更完整</w:t>
            </w:r>
          </w:p>
        </w:tc>
      </w:tr>
      <w:tr>
        <w:tc>
          <w:tcPr>
            <w:tcW w:type="dxa" w:w="850"/>
          </w:tcPr>
          <w:p>
            <w:pPr>
              <w:jc w:val="left"/>
            </w:pPr>
            <w:r>
              <w:rPr>
                <w:rFonts w:ascii="Times New Roman" w:hAnsi="Times New Roman" w:eastAsia="宋体"/>
                <w:b w:val="0"/>
                <w:sz w:val="16"/>
              </w:rPr>
              <w:t>Q5</w:t>
            </w:r>
          </w:p>
        </w:tc>
        <w:tc>
          <w:tcPr>
            <w:tcW w:type="dxa" w:w="1701"/>
          </w:tcPr>
          <w:p>
            <w:pPr>
              <w:jc w:val="left"/>
            </w:pPr>
            <w:r>
              <w:rPr>
                <w:rFonts w:ascii="Times New Roman" w:hAnsi="Times New Roman" w:eastAsia="宋体"/>
                <w:b w:val="0"/>
                <w:sz w:val="16"/>
              </w:rPr>
              <w:t>多条件组合</w:t>
            </w:r>
          </w:p>
        </w:tc>
        <w:tc>
          <w:tcPr>
            <w:tcW w:type="dxa" w:w="1417"/>
          </w:tcPr>
          <w:p>
            <w:pPr>
              <w:jc w:val="center"/>
            </w:pPr>
            <w:r>
              <w:rPr>
                <w:rFonts w:ascii="Times New Roman" w:hAnsi="Times New Roman" w:eastAsia="宋体"/>
                <w:b w:val="0"/>
                <w:sz w:val="16"/>
              </w:rPr>
              <w:t>58/61</w:t>
            </w:r>
          </w:p>
        </w:tc>
        <w:tc>
          <w:tcPr>
            <w:tcW w:type="dxa" w:w="1417"/>
          </w:tcPr>
          <w:p>
            <w:pPr>
              <w:jc w:val="center"/>
            </w:pPr>
            <w:r>
              <w:rPr>
                <w:rFonts w:ascii="Times New Roman" w:hAnsi="Times New Roman" w:eastAsia="宋体"/>
                <w:b w:val="0"/>
                <w:sz w:val="16"/>
              </w:rPr>
              <w:t>36/4</w:t>
            </w:r>
          </w:p>
        </w:tc>
        <w:tc>
          <w:tcPr>
            <w:tcW w:type="dxa" w:w="2835"/>
          </w:tcPr>
          <w:p>
            <w:pPr>
              <w:jc w:val="center"/>
            </w:pPr>
            <w:r>
              <w:rPr>
                <w:rFonts w:ascii="Times New Roman" w:hAnsi="Times New Roman" w:eastAsia="宋体"/>
                <w:b w:val="0"/>
                <w:sz w:val="16"/>
              </w:rPr>
              <w:t>差异最明显，Graph-RAG表现为证据不足</w:t>
            </w:r>
          </w:p>
        </w:tc>
      </w:tr>
      <w:tr>
        <w:tc>
          <w:tcPr>
            <w:tcW w:type="dxa" w:w="850"/>
          </w:tcPr>
          <w:p>
            <w:pPr>
              <w:jc w:val="left"/>
            </w:pPr>
            <w:r>
              <w:rPr>
                <w:rFonts w:ascii="Times New Roman" w:hAnsi="Times New Roman" w:eastAsia="宋体"/>
                <w:b w:val="0"/>
                <w:sz w:val="16"/>
              </w:rPr>
              <w:t>Q6</w:t>
            </w:r>
          </w:p>
        </w:tc>
        <w:tc>
          <w:tcPr>
            <w:tcW w:type="dxa" w:w="1701"/>
          </w:tcPr>
          <w:p>
            <w:pPr>
              <w:jc w:val="left"/>
            </w:pPr>
            <w:r>
              <w:rPr>
                <w:rFonts w:ascii="Times New Roman" w:hAnsi="Times New Roman" w:eastAsia="宋体"/>
                <w:b w:val="0"/>
                <w:sz w:val="16"/>
              </w:rPr>
              <w:t>材料性质关联</w:t>
            </w:r>
          </w:p>
        </w:tc>
        <w:tc>
          <w:tcPr>
            <w:tcW w:type="dxa" w:w="1417"/>
          </w:tcPr>
          <w:p>
            <w:pPr>
              <w:jc w:val="center"/>
            </w:pPr>
            <w:r>
              <w:rPr>
                <w:rFonts w:ascii="Times New Roman" w:hAnsi="Times New Roman" w:eastAsia="宋体"/>
                <w:b w:val="0"/>
                <w:sz w:val="16"/>
              </w:rPr>
              <w:t>88/61</w:t>
            </w:r>
          </w:p>
        </w:tc>
        <w:tc>
          <w:tcPr>
            <w:tcW w:type="dxa" w:w="1417"/>
          </w:tcPr>
          <w:p>
            <w:pPr>
              <w:jc w:val="center"/>
            </w:pPr>
            <w:r>
              <w:rPr>
                <w:rFonts w:ascii="Times New Roman" w:hAnsi="Times New Roman" w:eastAsia="宋体"/>
                <w:b w:val="0"/>
                <w:sz w:val="16"/>
              </w:rPr>
              <w:t>39/8</w:t>
            </w:r>
          </w:p>
        </w:tc>
        <w:tc>
          <w:tcPr>
            <w:tcW w:type="dxa" w:w="2835"/>
          </w:tcPr>
          <w:p>
            <w:pPr>
              <w:jc w:val="center"/>
            </w:pPr>
            <w:r>
              <w:rPr>
                <w:rFonts w:ascii="Times New Roman" w:hAnsi="Times New Roman" w:eastAsia="宋体"/>
                <w:b w:val="0"/>
                <w:sz w:val="16"/>
              </w:rPr>
              <w:t>Hyper-ChE能构造间接机制链</w:t>
            </w:r>
          </w:p>
        </w:tc>
      </w:tr>
      <w:tr>
        <w:tc>
          <w:tcPr>
            <w:tcW w:type="dxa" w:w="850"/>
          </w:tcPr>
          <w:p>
            <w:pPr>
              <w:jc w:val="left"/>
            </w:pPr>
            <w:r>
              <w:rPr>
                <w:rFonts w:ascii="Times New Roman" w:hAnsi="Times New Roman" w:eastAsia="宋体"/>
                <w:b w:val="0"/>
                <w:sz w:val="16"/>
              </w:rPr>
              <w:t>Q7</w:t>
            </w:r>
          </w:p>
        </w:tc>
        <w:tc>
          <w:tcPr>
            <w:tcW w:type="dxa" w:w="1701"/>
          </w:tcPr>
          <w:p>
            <w:pPr>
              <w:jc w:val="left"/>
            </w:pPr>
            <w:r>
              <w:rPr>
                <w:rFonts w:ascii="Times New Roman" w:hAnsi="Times New Roman" w:eastAsia="宋体"/>
                <w:b w:val="0"/>
                <w:sz w:val="16"/>
              </w:rPr>
              <w:t>跨策略比较</w:t>
            </w:r>
          </w:p>
        </w:tc>
        <w:tc>
          <w:tcPr>
            <w:tcW w:type="dxa" w:w="1417"/>
          </w:tcPr>
          <w:p>
            <w:pPr>
              <w:jc w:val="center"/>
            </w:pPr>
            <w:r>
              <w:rPr>
                <w:rFonts w:ascii="Times New Roman" w:hAnsi="Times New Roman" w:eastAsia="宋体"/>
                <w:b w:val="0"/>
                <w:sz w:val="16"/>
              </w:rPr>
              <w:t>83/62</w:t>
            </w:r>
          </w:p>
        </w:tc>
        <w:tc>
          <w:tcPr>
            <w:tcW w:type="dxa" w:w="1417"/>
          </w:tcPr>
          <w:p>
            <w:pPr>
              <w:jc w:val="center"/>
            </w:pPr>
            <w:r>
              <w:rPr>
                <w:rFonts w:ascii="Times New Roman" w:hAnsi="Times New Roman" w:eastAsia="宋体"/>
                <w:b w:val="0"/>
                <w:sz w:val="16"/>
              </w:rPr>
              <w:t>38/6</w:t>
            </w:r>
          </w:p>
        </w:tc>
        <w:tc>
          <w:tcPr>
            <w:tcW w:type="dxa" w:w="2835"/>
          </w:tcPr>
          <w:p>
            <w:pPr>
              <w:jc w:val="center"/>
            </w:pPr>
            <w:r>
              <w:rPr>
                <w:rFonts w:ascii="Times New Roman" w:hAnsi="Times New Roman" w:eastAsia="宋体"/>
                <w:b w:val="0"/>
                <w:sz w:val="16"/>
              </w:rPr>
              <w:t>Hyper-ChE对耦合策略覆盖更好</w:t>
            </w:r>
          </w:p>
        </w:tc>
      </w:tr>
      <w:tr>
        <w:tc>
          <w:tcPr>
            <w:tcW w:type="dxa" w:w="850"/>
          </w:tcPr>
          <w:p>
            <w:pPr>
              <w:jc w:val="left"/>
            </w:pPr>
            <w:r>
              <w:rPr>
                <w:rFonts w:ascii="Times New Roman" w:hAnsi="Times New Roman" w:eastAsia="宋体"/>
                <w:b w:val="0"/>
                <w:sz w:val="16"/>
              </w:rPr>
              <w:t>Q8</w:t>
            </w:r>
          </w:p>
        </w:tc>
        <w:tc>
          <w:tcPr>
            <w:tcW w:type="dxa" w:w="1701"/>
          </w:tcPr>
          <w:p>
            <w:pPr>
              <w:jc w:val="left"/>
            </w:pPr>
            <w:r>
              <w:rPr>
                <w:rFonts w:ascii="Times New Roman" w:hAnsi="Times New Roman" w:eastAsia="宋体"/>
                <w:b w:val="0"/>
                <w:sz w:val="16"/>
              </w:rPr>
              <w:t>长短链对比</w:t>
            </w:r>
          </w:p>
        </w:tc>
        <w:tc>
          <w:tcPr>
            <w:tcW w:type="dxa" w:w="1417"/>
          </w:tcPr>
          <w:p>
            <w:pPr>
              <w:jc w:val="center"/>
            </w:pPr>
            <w:r>
              <w:rPr>
                <w:rFonts w:ascii="Times New Roman" w:hAnsi="Times New Roman" w:eastAsia="宋体"/>
                <w:b w:val="0"/>
                <w:sz w:val="16"/>
              </w:rPr>
              <w:t>66/66</w:t>
            </w:r>
          </w:p>
        </w:tc>
        <w:tc>
          <w:tcPr>
            <w:tcW w:type="dxa" w:w="1417"/>
          </w:tcPr>
          <w:p>
            <w:pPr>
              <w:jc w:val="center"/>
            </w:pPr>
            <w:r>
              <w:rPr>
                <w:rFonts w:ascii="Times New Roman" w:hAnsi="Times New Roman" w:eastAsia="宋体"/>
                <w:b w:val="0"/>
                <w:sz w:val="16"/>
              </w:rPr>
              <w:t>32/4</w:t>
            </w:r>
          </w:p>
        </w:tc>
        <w:tc>
          <w:tcPr>
            <w:tcW w:type="dxa" w:w="2835"/>
          </w:tcPr>
          <w:p>
            <w:pPr>
              <w:jc w:val="center"/>
            </w:pPr>
            <w:r>
              <w:rPr>
                <w:rFonts w:ascii="Times New Roman" w:hAnsi="Times New Roman" w:eastAsia="宋体"/>
                <w:b w:val="0"/>
                <w:sz w:val="16"/>
              </w:rPr>
              <w:t>Hyper-ChE对短链PFAS讨论更完整</w:t>
            </w:r>
          </w:p>
        </w:tc>
      </w:tr>
      <w:tr>
        <w:tc>
          <w:tcPr>
            <w:tcW w:type="dxa" w:w="850"/>
          </w:tcPr>
          <w:p>
            <w:pPr>
              <w:jc w:val="left"/>
            </w:pPr>
            <w:r>
              <w:rPr>
                <w:rFonts w:ascii="Times New Roman" w:hAnsi="Times New Roman" w:eastAsia="宋体"/>
                <w:b w:val="0"/>
                <w:sz w:val="16"/>
              </w:rPr>
              <w:t>Q9</w:t>
            </w:r>
          </w:p>
        </w:tc>
        <w:tc>
          <w:tcPr>
            <w:tcW w:type="dxa" w:w="1701"/>
          </w:tcPr>
          <w:p>
            <w:pPr>
              <w:jc w:val="left"/>
            </w:pPr>
            <w:r>
              <w:rPr>
                <w:rFonts w:ascii="Times New Roman" w:hAnsi="Times New Roman" w:eastAsia="宋体"/>
                <w:b w:val="0"/>
                <w:sz w:val="16"/>
              </w:rPr>
              <w:t>活性物种路径</w:t>
            </w:r>
          </w:p>
        </w:tc>
        <w:tc>
          <w:tcPr>
            <w:tcW w:type="dxa" w:w="1417"/>
          </w:tcPr>
          <w:p>
            <w:pPr>
              <w:jc w:val="center"/>
            </w:pPr>
            <w:r>
              <w:rPr>
                <w:rFonts w:ascii="Times New Roman" w:hAnsi="Times New Roman" w:eastAsia="宋体"/>
                <w:b w:val="0"/>
                <w:sz w:val="16"/>
              </w:rPr>
              <w:t>81/61</w:t>
            </w:r>
          </w:p>
        </w:tc>
        <w:tc>
          <w:tcPr>
            <w:tcW w:type="dxa" w:w="1417"/>
          </w:tcPr>
          <w:p>
            <w:pPr>
              <w:jc w:val="center"/>
            </w:pPr>
            <w:r>
              <w:rPr>
                <w:rFonts w:ascii="Times New Roman" w:hAnsi="Times New Roman" w:eastAsia="宋体"/>
                <w:b w:val="0"/>
                <w:sz w:val="16"/>
              </w:rPr>
              <w:t>38/—</w:t>
            </w:r>
          </w:p>
        </w:tc>
        <w:tc>
          <w:tcPr>
            <w:tcW w:type="dxa" w:w="2835"/>
          </w:tcPr>
          <w:p>
            <w:pPr>
              <w:jc w:val="center"/>
            </w:pPr>
            <w:r>
              <w:rPr>
                <w:rFonts w:ascii="Times New Roman" w:hAnsi="Times New Roman" w:eastAsia="宋体"/>
                <w:b w:val="0"/>
                <w:sz w:val="16"/>
              </w:rPr>
              <w:t>Hyper-ChE机制链条更完整</w:t>
            </w:r>
          </w:p>
        </w:tc>
      </w:tr>
      <w:tr>
        <w:tc>
          <w:tcPr>
            <w:tcW w:type="dxa" w:w="850"/>
          </w:tcPr>
          <w:p>
            <w:pPr>
              <w:jc w:val="left"/>
            </w:pPr>
            <w:r>
              <w:rPr>
                <w:rFonts w:ascii="Times New Roman" w:hAnsi="Times New Roman" w:eastAsia="宋体"/>
                <w:b w:val="0"/>
                <w:sz w:val="16"/>
              </w:rPr>
              <w:t>Q10</w:t>
            </w:r>
          </w:p>
        </w:tc>
        <w:tc>
          <w:tcPr>
            <w:tcW w:type="dxa" w:w="1701"/>
          </w:tcPr>
          <w:p>
            <w:pPr>
              <w:jc w:val="left"/>
            </w:pPr>
            <w:r>
              <w:rPr>
                <w:rFonts w:ascii="Times New Roman" w:hAnsi="Times New Roman" w:eastAsia="宋体"/>
                <w:b w:val="0"/>
                <w:sz w:val="16"/>
              </w:rPr>
              <w:t>直接电子转移</w:t>
            </w:r>
          </w:p>
        </w:tc>
        <w:tc>
          <w:tcPr>
            <w:tcW w:type="dxa" w:w="1417"/>
          </w:tcPr>
          <w:p>
            <w:pPr>
              <w:jc w:val="center"/>
            </w:pPr>
            <w:r>
              <w:rPr>
                <w:rFonts w:ascii="Times New Roman" w:hAnsi="Times New Roman" w:eastAsia="宋体"/>
                <w:b w:val="0"/>
                <w:sz w:val="16"/>
              </w:rPr>
              <w:t>88/60</w:t>
            </w:r>
          </w:p>
        </w:tc>
        <w:tc>
          <w:tcPr>
            <w:tcW w:type="dxa" w:w="1417"/>
          </w:tcPr>
          <w:p>
            <w:pPr>
              <w:jc w:val="center"/>
            </w:pPr>
            <w:r>
              <w:rPr>
                <w:rFonts w:ascii="Times New Roman" w:hAnsi="Times New Roman" w:eastAsia="宋体"/>
                <w:b w:val="0"/>
                <w:sz w:val="16"/>
              </w:rPr>
              <w:t>39/1</w:t>
            </w:r>
          </w:p>
        </w:tc>
        <w:tc>
          <w:tcPr>
            <w:tcW w:type="dxa" w:w="2835"/>
          </w:tcPr>
          <w:p>
            <w:pPr>
              <w:jc w:val="center"/>
            </w:pPr>
            <w:r>
              <w:rPr>
                <w:rFonts w:ascii="Times New Roman" w:hAnsi="Times New Roman" w:eastAsia="宋体"/>
                <w:b w:val="0"/>
                <w:sz w:val="16"/>
              </w:rPr>
              <w:t>Hyper-ChE证据链更完整</w:t>
            </w:r>
          </w:p>
        </w:tc>
      </w:tr>
      <w:tr>
        <w:tc>
          <w:tcPr>
            <w:tcW w:type="dxa" w:w="850"/>
          </w:tcPr>
          <w:p>
            <w:pPr>
              <w:jc w:val="left"/>
            </w:pPr>
            <w:r>
              <w:rPr>
                <w:rFonts w:ascii="Times New Roman" w:hAnsi="Times New Roman" w:eastAsia="宋体"/>
                <w:b w:val="0"/>
                <w:sz w:val="16"/>
              </w:rPr>
              <w:t>Q11</w:t>
            </w:r>
          </w:p>
        </w:tc>
        <w:tc>
          <w:tcPr>
            <w:tcW w:type="dxa" w:w="1701"/>
          </w:tcPr>
          <w:p>
            <w:pPr>
              <w:jc w:val="left"/>
            </w:pPr>
            <w:r>
              <w:rPr>
                <w:rFonts w:ascii="Times New Roman" w:hAnsi="Times New Roman" w:eastAsia="宋体"/>
                <w:b w:val="0"/>
                <w:sz w:val="16"/>
              </w:rPr>
              <w:t>设计原则</w:t>
            </w:r>
          </w:p>
        </w:tc>
        <w:tc>
          <w:tcPr>
            <w:tcW w:type="dxa" w:w="1417"/>
          </w:tcPr>
          <w:p>
            <w:pPr>
              <w:jc w:val="center"/>
            </w:pPr>
            <w:r>
              <w:rPr>
                <w:rFonts w:ascii="Times New Roman" w:hAnsi="Times New Roman" w:eastAsia="宋体"/>
                <w:b w:val="0"/>
                <w:sz w:val="16"/>
              </w:rPr>
              <w:t>82/61</w:t>
            </w:r>
          </w:p>
        </w:tc>
        <w:tc>
          <w:tcPr>
            <w:tcW w:type="dxa" w:w="1417"/>
          </w:tcPr>
          <w:p>
            <w:pPr>
              <w:jc w:val="center"/>
            </w:pPr>
            <w:r>
              <w:rPr>
                <w:rFonts w:ascii="Times New Roman" w:hAnsi="Times New Roman" w:eastAsia="宋体"/>
                <w:b w:val="0"/>
                <w:sz w:val="16"/>
              </w:rPr>
              <w:t>29/4</w:t>
            </w:r>
          </w:p>
        </w:tc>
        <w:tc>
          <w:tcPr>
            <w:tcW w:type="dxa" w:w="2835"/>
          </w:tcPr>
          <w:p>
            <w:pPr>
              <w:jc w:val="center"/>
            </w:pPr>
            <w:r>
              <w:rPr>
                <w:rFonts w:ascii="Times New Roman" w:hAnsi="Times New Roman" w:eastAsia="宋体"/>
                <w:b w:val="0"/>
                <w:sz w:val="16"/>
              </w:rPr>
              <w:t>Hyper-ChE归纳更全面</w:t>
            </w:r>
          </w:p>
        </w:tc>
      </w:tr>
      <w:tr>
        <w:tc>
          <w:tcPr>
            <w:tcW w:type="dxa" w:w="850"/>
          </w:tcPr>
          <w:p>
            <w:pPr>
              <w:jc w:val="left"/>
            </w:pPr>
            <w:r>
              <w:rPr>
                <w:rFonts w:ascii="Times New Roman" w:hAnsi="Times New Roman" w:eastAsia="宋体"/>
                <w:b w:val="0"/>
                <w:sz w:val="16"/>
              </w:rPr>
              <w:t>Q12</w:t>
            </w:r>
          </w:p>
        </w:tc>
        <w:tc>
          <w:tcPr>
            <w:tcW w:type="dxa" w:w="1701"/>
          </w:tcPr>
          <w:p>
            <w:pPr>
              <w:jc w:val="left"/>
            </w:pPr>
            <w:r>
              <w:rPr>
                <w:rFonts w:ascii="Times New Roman" w:hAnsi="Times New Roman" w:eastAsia="宋体"/>
                <w:b w:val="0"/>
                <w:sz w:val="16"/>
              </w:rPr>
              <w:t>实验推荐</w:t>
            </w:r>
          </w:p>
        </w:tc>
        <w:tc>
          <w:tcPr>
            <w:tcW w:type="dxa" w:w="1417"/>
          </w:tcPr>
          <w:p>
            <w:pPr>
              <w:jc w:val="center"/>
            </w:pPr>
            <w:r>
              <w:rPr>
                <w:rFonts w:ascii="Times New Roman" w:hAnsi="Times New Roman" w:eastAsia="宋体"/>
                <w:b w:val="0"/>
                <w:sz w:val="16"/>
              </w:rPr>
              <w:t>82/61</w:t>
            </w:r>
          </w:p>
        </w:tc>
        <w:tc>
          <w:tcPr>
            <w:tcW w:type="dxa" w:w="1417"/>
          </w:tcPr>
          <w:p>
            <w:pPr>
              <w:jc w:val="center"/>
            </w:pPr>
            <w:r>
              <w:rPr>
                <w:rFonts w:ascii="Times New Roman" w:hAnsi="Times New Roman" w:eastAsia="宋体"/>
                <w:b w:val="0"/>
                <w:sz w:val="16"/>
              </w:rPr>
              <w:t>40/6</w:t>
            </w:r>
          </w:p>
        </w:tc>
        <w:tc>
          <w:tcPr>
            <w:tcW w:type="dxa" w:w="2835"/>
          </w:tcPr>
          <w:p>
            <w:pPr>
              <w:jc w:val="center"/>
            </w:pPr>
            <w:r>
              <w:rPr>
                <w:rFonts w:ascii="Times New Roman" w:hAnsi="Times New Roman" w:eastAsia="宋体"/>
                <w:b w:val="0"/>
                <w:sz w:val="16"/>
              </w:rPr>
              <w:t>Hyper-ChE方案结构更完整</w:t>
            </w:r>
          </w:p>
        </w:tc>
      </w:tr>
    </w:tbl>
    <w:p>
      <w:pPr>
        <w:spacing w:lineRule="exact" w:line="315" w:before="0" w:after="0"/>
        <w:ind w:firstLine="420"/>
        <w:jc w:val="both"/>
      </w:pPr>
      <w:r>
        <w:rPr>
          <w:rFonts w:ascii="Times New Roman" w:hAnsi="Times New Roman" w:eastAsia="宋体"/>
          <w:b w:val="0"/>
          <w:sz w:val="21"/>
        </w:rPr>
        <w:t>统计结果显示，Hyper-ChE平均召回81.5条高阶关系/超边（约61个实体），而Graph-RAG平均召回37.9条二元边（多数问题仅1~9个实体），关系召回倍数约为Graph-RAG的2.15倍。召回数量差异不能单独代表回答质量。进一步观察回答内容可发现，两套系统的差异不仅体现在检索数量上，更体现在高阶上下文的完整性方面。Hyper-ChE召回的高阶超边往往同时包含催化材料、目标污染物、反应条件、性能指标和机理证据，能够保留同一实验事实中的多变量共同约束；Graph-RAG虽能命中相关材料或污染物，但回答常表现为离散事实罗列，难以维持多变量组合关系。</w:t>
      </w:r>
    </w:p>
    <w:p>
      <w:pPr>
        <w:spacing w:before="120" w:after="60"/>
        <w:ind w:firstLine="420"/>
      </w:pPr>
      <w:r>
        <w:rPr>
          <w:rFonts w:ascii="Times New Roman" w:hAnsi="Times New Roman" w:eastAsia="黑体"/>
          <w:b/>
          <w:sz w:val="21"/>
        </w:rPr>
        <w:t>4.3 典型问题分析</w:t>
      </w:r>
    </w:p>
    <w:p>
      <w:pPr>
        <w:spacing w:lineRule="exact" w:line="315" w:before="0" w:after="0"/>
        <w:ind w:firstLine="420"/>
        <w:jc w:val="both"/>
      </w:pPr>
      <w:r>
        <w:rPr>
          <w:rFonts w:ascii="Times New Roman" w:hAnsi="Times New Roman" w:eastAsia="宋体"/>
          <w:b w:val="0"/>
          <w:sz w:val="21"/>
        </w:rPr>
        <w:t>为深入考察不同知识结构对检索增强效果的影响，从12个问题中选取能体现Graph-RAG与Hyper-ChE差异的5个问题进行定性分析，涵盖条件组合、跨策略比较、污染物类型对比、机理证据链和实验方案推荐五类任务。以下分别阐述各问题中两种检索方式的表现差异。</w:t>
      </w:r>
    </w:p>
    <w:p>
      <w:pPr>
        <w:spacing w:before="60" w:after="60"/>
        <w:ind w:firstLine="420"/>
      </w:pPr>
      <w:r>
        <w:rPr>
          <w:rFonts w:ascii="Times New Roman" w:hAnsi="Times New Roman" w:eastAsia="黑体"/>
          <w:b/>
          <w:sz w:val="21"/>
        </w:rPr>
        <w:t>Q5 反应条件组合问题（Level 3条件组合型）</w:t>
      </w:r>
    </w:p>
    <w:p>
      <w:pPr>
        <w:spacing w:lineRule="exact" w:line="315" w:before="0" w:after="0"/>
        <w:ind w:firstLine="420"/>
        <w:jc w:val="both"/>
      </w:pPr>
      <w:r>
        <w:rPr>
          <w:rFonts w:ascii="Times New Roman" w:hAnsi="Times New Roman" w:eastAsia="宋体"/>
          <w:b w:val="0"/>
          <w:sz w:val="21"/>
        </w:rPr>
        <w:t>Q5要求综合说明超声频率、功率密度、反应时间、pH、催化剂剂量和PFAS初始浓度对降解效率与脱氟率的共同影响，属于典型的多条件约束型问题。Graph-RAG在此类问题中主要返回若干孤立的材料-指标或条件-指标关系，例如BaTiO₃+PFOS在超声条件下降解率达90.5%、MoSe₂/TiO₂对PFOA去除率达93.6%等离散示例，并判断现有关系数据不足以综合描述多参数共同影响。由于二元边仅能表达两个实体之间的直接关系，当问题需要同时调用多种反应条件与性能指标时，Graph-RAG难以将同一实验条件下的多个变量组合恢复为完整语义。</w:t>
      </w:r>
    </w:p>
    <w:p>
      <w:pPr>
        <w:spacing w:lineRule="exact" w:line="315" w:before="0" w:after="0"/>
        <w:ind w:firstLine="420"/>
        <w:jc w:val="both"/>
      </w:pPr>
      <w:r>
        <w:rPr>
          <w:rFonts w:ascii="Times New Roman" w:hAnsi="Times New Roman" w:eastAsia="宋体"/>
          <w:b w:val="0"/>
          <w:sz w:val="21"/>
        </w:rPr>
        <w:t>相比之下，Hyper-ChE能够围绕具体材料体系（如PTFE、Cu-N/C@PVDF、Fe@PTFE）组织目标污染物、超声频率（40~68 kHz）、功率密度（0.3~2.34 W/cm²）、pH、反应时间（1~5 h）和脱氟率等变量，形成较完整的"材料-污染物-条件-指标"组合。例如，Hyper-ChE回答同时保留了"40 kHz、0.3 W/cm²、250 mg/L PTFE、120 min、PFOA 10 mg/L"这一完整参数组合及其对应的脱氟率范围。这表明当问题涉及多个条件共同约束时，高阶关系比二元关系更容易保留实验事实的完整语义。</w:t>
      </w:r>
    </w:p>
    <w:p>
      <w:pPr>
        <w:spacing w:before="60" w:after="60"/>
        <w:ind w:firstLine="420"/>
      </w:pPr>
      <w:r>
        <w:rPr>
          <w:rFonts w:ascii="Times New Roman" w:hAnsi="Times New Roman" w:eastAsia="黑体"/>
          <w:b/>
          <w:sz w:val="21"/>
        </w:rPr>
        <w:t>Q7 跨策略比较问题（Level 4对比分析型）</w:t>
      </w:r>
    </w:p>
    <w:p>
      <w:pPr>
        <w:spacing w:lineRule="exact" w:line="315" w:before="0" w:after="0"/>
        <w:ind w:firstLine="420"/>
        <w:jc w:val="both"/>
      </w:pPr>
      <w:r>
        <w:rPr>
          <w:rFonts w:ascii="Times New Roman" w:hAnsi="Times New Roman" w:eastAsia="宋体"/>
          <w:b w:val="0"/>
          <w:sz w:val="21"/>
        </w:rPr>
        <w:t>Q7要求比较压电催化、压电-光催化、压电-Fenton和电化学氧化四种策略在PFAS去除与降解中的表现，属于跨策略横向比较型问题。Graph-RAG更依赖显式命中的二元关系，因此对耦合策略的覆盖判断偏保守。在检索结果中，Graph-RAG能够获取大量关于压电催化和电化学氧化的二元关系，但由于piezo-photocatalysis和piezo-Fenton相关的显式二元边数量不足，判断这两种策略"无数据"或"证据有限"，未能将其有效纳入比较框架。Hyper-ChE则通过策略相关超边同时连接过程类型、催化材料、目标污染物、活性物种和性能指标，能够形成更完整的横向比较。例如，Hyper-ChE将Fe@PTFE与压电-Fenton反应关联，将Pt/BTO/BO复合物与压电-光催化关联，再将这些策略与各自对应的目标污染物、活性物种（•O₂⁻、•OH、h⁺等）和脱氟能力数据组织到同一比较表中。这说明比较型问题需要同时调用多个关系簇而非单一二元边。</w:t>
      </w:r>
    </w:p>
    <w:p>
      <w:pPr>
        <w:spacing w:before="60" w:after="60"/>
        <w:ind w:firstLine="420"/>
      </w:pPr>
      <w:r>
        <w:rPr>
          <w:rFonts w:ascii="Times New Roman" w:hAnsi="Times New Roman" w:eastAsia="黑体"/>
          <w:b/>
          <w:sz w:val="21"/>
        </w:rPr>
        <w:t>Q8 长链与短链PFAS对比问题（Level 4对比分析型）</w:t>
      </w:r>
    </w:p>
    <w:p>
      <w:pPr>
        <w:spacing w:lineRule="exact" w:line="315" w:before="0" w:after="0"/>
        <w:ind w:firstLine="420"/>
        <w:jc w:val="both"/>
      </w:pPr>
      <w:r>
        <w:rPr>
          <w:rFonts w:ascii="Times New Roman" w:hAnsi="Times New Roman" w:eastAsia="宋体"/>
          <w:b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pPr>
        <w:spacing w:lineRule="exact" w:line="315" w:before="0" w:after="0"/>
        <w:ind w:firstLine="420"/>
        <w:jc w:val="both"/>
      </w:pPr>
      <w:r>
        <w:rPr>
          <w:rFonts w:ascii="Times New Roman" w:hAnsi="Times New Roman" w:eastAsia="宋体"/>
          <w:b w:val="0"/>
          <w:sz w:val="21"/>
        </w:rPr>
        <w:t>Hyper-ChE能够覆盖吸附亲和性、链长效应、短链PFAS难降解性和GenX替代污染物等多个维度，并将PFAS链长、官能团、材料表面作用和性能指标同时组织起来。例如，Hyper-ChE不仅指出长链PFAS因log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p>
      <w:pPr>
        <w:spacing w:before="60" w:after="60"/>
        <w:ind w:firstLine="420"/>
      </w:pPr>
      <w:r>
        <w:rPr>
          <w:rFonts w:ascii="Times New Roman" w:hAnsi="Times New Roman" w:eastAsia="黑体"/>
          <w:b/>
          <w:sz w:val="21"/>
        </w:rPr>
        <w:t>Q10 直接电子转移机制问题（Level 5机理证据链型）</w:t>
      </w:r>
    </w:p>
    <w:p>
      <w:pPr>
        <w:spacing w:lineRule="exact" w:line="315" w:before="0" w:after="0"/>
        <w:ind w:firstLine="420"/>
        <w:jc w:val="both"/>
      </w:pPr>
      <w:r>
        <w:rPr>
          <w:rFonts w:ascii="Times New Roman" w:hAnsi="Times New Roman" w:eastAsia="宋体"/>
          <w:b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Hyper-ChE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该结果说明机理判断依赖多类证据的共同支持，而高阶超边能够更自然地表达"多证据共同支持一个判断"的知识形态。</w:t>
      </w:r>
    </w:p>
    <w:p>
      <w:pPr>
        <w:spacing w:before="60" w:after="60"/>
        <w:ind w:firstLine="420"/>
      </w:pPr>
      <w:r>
        <w:rPr>
          <w:rFonts w:ascii="Times New Roman" w:hAnsi="Times New Roman" w:eastAsia="黑体"/>
          <w:b/>
          <w:sz w:val="21"/>
        </w:rPr>
        <w:t>Q12 实验方向推荐问题（Level 6方案推荐型）</w:t>
      </w:r>
    </w:p>
    <w:p>
      <w:pPr>
        <w:spacing w:lineRule="exact" w:line="315" w:before="0" w:after="0"/>
        <w:ind w:firstLine="420"/>
        <w:jc w:val="both"/>
      </w:pPr>
      <w:r>
        <w:rPr>
          <w:rFonts w:ascii="Times New Roman" w:hAnsi="Times New Roman" w:eastAsia="宋体"/>
          <w:b w:val="0"/>
          <w:sz w:val="21"/>
        </w:rPr>
        <w:t>Q12要求基于已有文献推荐5个值得后续实验验证的PFAS去除与降解研究方向，属于知识检索支持实验设计的综合型问题。Graph-RAG在此类问题中也能生成推荐方向，但部分方向的变量组合跳跃性较强，且同一方向内的关键变量组合不够稳定，容易出现"目标污染物-材料策略"配对后缺少对应条件约束或对照实验设计的情况。Hyper-ChE的优势主要体现在候选方案的结构完整性。其回答通常同时包含目标污染物、候选材料或策略、关键变量组合、预期提升指标、潜在风险和必要对照实验。例如，推荐方向不仅指出"Cu-N/C@PVDF用于PFOA深度脱氟"，还包含超声参数（40 kHz、0.3 W/cm²）、剂量范围、预期氟释放指标以及对照实验建议（无超声对照、无催化剂对照、氮气气氛对照）。需要强调的是，此类推荐结果应理解为"候选方向"或"可供后续实验验证的组合"，而非已被文献证明的最优方案。该结果表明高阶知识组织不仅能够支持事实检索，也能为后续实验设计提供更具上下文约束的候选方案。</w:t>
      </w:r>
    </w:p>
    <w:p>
      <w:pPr>
        <w:spacing w:before="240" w:after="120"/>
        <w:ind w:firstLine="420"/>
      </w:pPr>
      <w:r>
        <w:rPr>
          <w:rFonts w:ascii="Times New Roman" w:hAnsi="Times New Roman" w:eastAsia="黑体"/>
          <w:b/>
          <w:sz w:val="24"/>
        </w:rPr>
        <w:t>5 讨论</w:t>
      </w:r>
    </w:p>
    <w:p>
      <w:pPr>
        <w:spacing w:before="120" w:after="60"/>
        <w:ind w:firstLine="420"/>
      </w:pPr>
      <w:r>
        <w:rPr>
          <w:rFonts w:ascii="Times New Roman" w:hAnsi="Times New Roman" w:eastAsia="黑体"/>
          <w:b/>
          <w:sz w:val="21"/>
        </w:rPr>
        <w:t>5.1 超图建模的优势与适用边界</w:t>
      </w:r>
    </w:p>
    <w:p>
      <w:pPr>
        <w:spacing w:lineRule="exact" w:line="315" w:before="0" w:after="0"/>
        <w:ind w:firstLine="420"/>
        <w:jc w:val="both"/>
      </w:pPr>
      <w:r>
        <w:rPr>
          <w:rFonts w:ascii="Times New Roman" w:hAnsi="Times New Roman" w:eastAsia="宋体"/>
          <w:b w:val="0"/>
          <w:sz w:val="21"/>
        </w:rPr>
        <w:t>基于两个案例的实验结果，超图建模的核心价值集中在三类高复杂度查询：多条件约束问题（Level 3）、跨材料对比问题（Level 4）与策略推荐问题（Level 6）。对于多条件约束问题，高阶超边能够将同一实验中的多个操作条件与性能指标保留在同一关系结构内，避免二元图检索中常见的条件-指标对碎片化问题。对于跨材料对比问题，超图通过共享实体连接不同材料体系的关系簇，使得横向比较不再依赖检索时的人工对齐。对于策略推荐问题，高阶关系能够维持"目标-约束-方案-预期"之间的语义完整性，减少推荐结果中变量组合的跳跃性。</w:t>
      </w:r>
    </w:p>
    <w:p>
      <w:pPr>
        <w:spacing w:lineRule="exact" w:line="315" w:before="0" w:after="0"/>
        <w:ind w:firstLine="420"/>
        <w:jc w:val="both"/>
      </w:pPr>
      <w:r>
        <w:rPr>
          <w:rFonts w:ascii="Times New Roman" w:hAnsi="Times New Roman" w:eastAsia="宋体"/>
          <w:b w:val="0"/>
          <w:sz w:val="21"/>
        </w:rPr>
        <w:t>上述优势的边界条件可刻画为：当查询需要判断"多个条件是否属于同一实验事实"时，高阶超边提供的结构信息才成为决定性因素。对于单一概念解释类问题、简单事实查询或仅需枚举型知识的语料总览型问题，向量检索或二元图检索已能提供足够准确的答案，超图建模的边际收益相对有限。简言之，简单查询用传统RAG或Graph-RAG足够，复杂查询超图更有优势。</w:t>
      </w:r>
    </w:p>
    <w:p>
      <w:pPr>
        <w:spacing w:lineRule="exact" w:line="315" w:before="0" w:after="0"/>
        <w:ind w:firstLine="420"/>
        <w:jc w:val="both"/>
      </w:pPr>
      <w:r>
        <w:rPr>
          <w:rFonts w:ascii="Times New Roman" w:hAnsi="Times New Roman" w:eastAsia="宋体"/>
          <w:b w:val="0"/>
          <w:sz w:val="21"/>
        </w:rPr>
        <w:t>两个案例的对比表明，超图建模的优势表现呈现相似的规律，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一差异反映了不同化工子领域中知识组织的领域特异性：液流电池研究以电化学性能测试为主线，条件组合主要服务于效率优化；PFAS降解研究以污染物去除机理为核心，条件组合需要同时支撑性能评价与机制解释。两个案例的共同结果表明，当查询涉及多个条件共同约束、跨实体横向对比或多证据协同支撑时，超图建模均能提供优于二元图的知识表达与检索能力。</w:t>
      </w:r>
    </w:p>
    <w:p>
      <w:pPr>
        <w:spacing w:before="120" w:after="60"/>
        <w:ind w:firstLine="420"/>
      </w:pPr>
      <w:r>
        <w:rPr>
          <w:rFonts w:ascii="Times New Roman" w:hAnsi="Times New Roman" w:eastAsia="黑体"/>
          <w:b/>
          <w:sz w:val="21"/>
        </w:rPr>
        <w:t>5.2 领域适配的必要性</w:t>
      </w:r>
    </w:p>
    <w:p>
      <w:pPr>
        <w:spacing w:lineRule="exact" w:line="315" w:before="0" w:after="0"/>
        <w:ind w:firstLine="420"/>
        <w:jc w:val="both"/>
      </w:pPr>
      <w:r>
        <w:rPr>
          <w:rFonts w:ascii="Times New Roman" w:hAnsi="Times New Roman" w:eastAsia="宋体"/>
          <w:b w:val="0"/>
          <w:sz w:val="21"/>
        </w:rPr>
        <w:t>通用LLM在化工专业文献实体抽取中面临三重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pPr>
        <w:spacing w:lineRule="exact" w:line="315" w:before="0" w:after="0"/>
        <w:ind w:firstLine="420"/>
        <w:jc w:val="both"/>
      </w:pPr>
      <w:r>
        <w:rPr>
          <w:rFonts w:ascii="Times New Roman" w:hAnsi="Times New Roman" w:eastAsia="宋体"/>
          <w:b w:val="0"/>
          <w:sz w:val="21"/>
        </w:rPr>
        <w:t>本文采用三层领域适配机制应对上述挑战。第一层，通过预定义实体类型与超边类型约束抽取空间，使LLM在有限类型的引导下进行结构化输出，降低术语歧义导致的抽取偏差。第二层，采用JSON结构化输出格式，明确指定字段名称与层级关系，减少自然语言生成中的格式漂移。第三层，将UNKNOWN率作为辅助质量指标。在液流电池案例中，UNKNOWN率约为10%~15%，提示仍有部分术语或关系超出预定义类型的覆盖范围；而在PFAS降解案例中，UNKNOWN节点数较低，表明当前领域提示词的实体一致性较好。需要指出的是，本文未对LLM进行微调训练，所有领域适配均通过提示词工程实现。这一设计选择确保了方法的可迁移性，但其精度上限仍低于基于领域语料微调的专业模型。</w:t>
      </w:r>
    </w:p>
    <w:p>
      <w:pPr>
        <w:spacing w:before="120" w:after="60"/>
        <w:ind w:firstLine="420"/>
      </w:pPr>
      <w:r>
        <w:rPr>
          <w:rFonts w:ascii="Times New Roman" w:hAnsi="Times New Roman" w:eastAsia="黑体"/>
          <w:b/>
          <w:sz w:val="21"/>
        </w:rPr>
        <w:t>5.3 局限性与未来工作</w:t>
      </w:r>
    </w:p>
    <w:p>
      <w:pPr>
        <w:spacing w:lineRule="exact" w:line="315" w:before="0" w:after="0"/>
        <w:ind w:firstLine="420"/>
        <w:jc w:val="both"/>
      </w:pPr>
      <w:r>
        <w:rPr>
          <w:rFonts w:ascii="Times New Roman" w:hAnsi="Times New Roman" w:eastAsia="宋体"/>
          <w:b w:val="0"/>
          <w:sz w:val="21"/>
        </w:rPr>
        <w:t>本文方法存在以下四方面局限性。</w:t>
      </w:r>
    </w:p>
    <w:p>
      <w:pPr>
        <w:spacing w:lineRule="exact" w:line="315" w:before="0" w:after="0"/>
        <w:ind w:firstLine="420"/>
        <w:jc w:val="both"/>
      </w:pPr>
      <w:r>
        <w:rPr>
          <w:rFonts w:ascii="Times New Roman" w:hAnsi="Times New Roman" w:eastAsia="宋体"/>
          <w:b w:val="0"/>
          <w:sz w:val="21"/>
        </w:rPr>
        <w:t>第一，实体名称归一化尚不充分。不同文献对同一材料或概念可能使用不同表述（如"Nafion"与"全氟磺酸树脂"、"PFOA"与"C8"、"PFOS"与"C8S"），当前抽取流程将这些变体视为独立节点，未进行语义层面的合并。这一问题在PFAS降解领域尤为突出：PFAS类物质存在大量同义词变体、催化材料的缩写与全称并存、活性物种的多种表示方式（如"•OH""羟基自由基""OH radical"）。未来工作可引入ChEBI、PubChem等化学本体库作为外部知识源，通过实体链接或嵌入相似度计算实现语义对齐。</w:t>
      </w:r>
    </w:p>
    <w:p>
      <w:pPr>
        <w:spacing w:lineRule="exact" w:line="315" w:before="0" w:after="0"/>
        <w:ind w:firstLine="420"/>
        <w:jc w:val="both"/>
      </w:pPr>
      <w:r>
        <w:rPr>
          <w:rFonts w:ascii="Times New Roman" w:hAnsi="Times New Roman" w:eastAsia="宋体"/>
          <w:b w:val="0"/>
          <w:sz w:val="21"/>
        </w:rPr>
        <w:t>第二，高阶超边的抽取质量依赖LLM理解能力，存在稳定性问题。高阶超边的结构正确性依赖LLM对复杂语义的理解能力。当文献描述存在长距离依赖、隐含条件或复杂逻辑关系时，抽取的高阶超边可能出现实体遗漏或关系类型误判。未来可通过微调策略或多轮一致性校验提升高阶关系抽取的稳定性，例如利用验证LLM对已抽取的超边进行结构合理性检查。近期提出的Hyper-KGGen[11]将知识超图生成与技能驱动抽取相结合，通过粗到细抽取、并行候选生成、稳定性反馈和技能库更新提升高阶关系抽取质量，后续可借鉴此类思路，在Hyper-ChE中引入超边一致性校验和领域技能库。</w:t>
      </w:r>
    </w:p>
    <w:p>
      <w:pPr>
        <w:spacing w:lineRule="exact" w:line="315" w:before="0" w:after="0"/>
        <w:ind w:firstLine="420"/>
        <w:jc w:val="both"/>
      </w:pPr>
      <w:r>
        <w:rPr>
          <w:rFonts w:ascii="Times New Roman" w:hAnsi="Times New Roman" w:eastAsia="宋体"/>
          <w:b w:val="0"/>
          <w:sz w:val="21"/>
        </w:rPr>
        <w:t>第三，数值范围和逻辑条件查询的支持不足。当查询涉及数值范围（如"电流密度大于100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未来工作可探索将数值解析与逻辑约束集成到超图检索过程中，实现语义匹配与结构化查询的联合优化。</w:t>
      </w:r>
    </w:p>
    <w:p>
      <w:pPr>
        <w:spacing w:lineRule="exact" w:line="315" w:before="0" w:after="0"/>
        <w:ind w:firstLine="420"/>
        <w:jc w:val="both"/>
      </w:pPr>
      <w:r>
        <w:rPr>
          <w:rFonts w:ascii="Times New Roman" w:hAnsi="Times New Roman" w:eastAsia="宋体"/>
          <w:b w:val="0"/>
          <w:sz w:val="21"/>
        </w:rPr>
        <w:t>第四，语料规模有限。当前两个案例分别仅基于50篇文献的子集语料，尚未覆盖全部候选文献集。基于当前子集规模的验证结果虽已初步表明超图建模在多变量组合查询中的优势，但更全面、更具统计代表性的结论仍有待更大规模语料的支持。</w:t>
      </w:r>
    </w:p>
    <w:p>
      <w:pPr>
        <w:spacing w:lineRule="exact" w:line="315" w:before="0" w:after="0"/>
        <w:ind w:firstLine="420"/>
        <w:jc w:val="both"/>
      </w:pPr>
      <w:r>
        <w:rPr>
          <w:rFonts w:ascii="Times New Roman" w:hAnsi="Times New Roman" w:eastAsia="宋体"/>
          <w:b w:val="0"/>
          <w:sz w:val="21"/>
        </w:rPr>
        <w:t>未来工作可从以下方向展开：一是扩大语料覆盖范围，纳入更多文献以检验方法的可扩展性；二是探索超边权重学习机制，优化检索排序；三是将方法推广至电催化、电池材料、反应工程等其他化工子领域，进一步验证其领域通用性；四是借鉴近期知识图谱生成方法的启发，探索从超图结构自动生成领域知识图谱的可行性。</w:t>
      </w:r>
    </w:p>
    <w:p>
      <w:pPr>
        <w:spacing w:before="240" w:after="120"/>
        <w:ind w:firstLine="420"/>
      </w:pPr>
      <w:r>
        <w:rPr>
          <w:rFonts w:ascii="Times New Roman" w:hAnsi="Times New Roman" w:eastAsia="黑体"/>
          <w:b/>
          <w:sz w:val="24"/>
        </w:rPr>
        <w:t>6 结论</w:t>
      </w:r>
    </w:p>
    <w:p>
      <w:pPr>
        <w:spacing w:lineRule="exact" w:line="315" w:before="0" w:after="0"/>
        <w:ind w:firstLine="420"/>
        <w:jc w:val="both"/>
      </w:pPr>
      <w:r>
        <w:rPr>
          <w:rFonts w:ascii="Times New Roman" w:hAnsi="Times New Roman" w:eastAsia="宋体"/>
          <w:b w:val="0"/>
          <w:sz w:val="21"/>
        </w:rPr>
        <w:t>本文提出一种面向化工实验知识检索的超图增强RAG方法（Hyper-ChE），通过高阶超边建模化工实验中多变量耦合关系，解决传统Graph-RAG以二元边为主导致的多条件组合信息损失问题。方法核心是将化工文献中的实验知识抽象为"体系—材料—条件—指标—机理"高阶组合，以超图结构替代传统图结构进行知识存储与检索。</w:t>
      </w:r>
    </w:p>
    <w:p>
      <w:pPr>
        <w:spacing w:lineRule="exact" w:line="315" w:before="0" w:after="0"/>
        <w:ind w:firstLine="420"/>
        <w:jc w:val="both"/>
      </w:pPr>
      <w:r>
        <w:rPr>
          <w:rFonts w:ascii="Times New Roman" w:hAnsi="Times New Roman" w:eastAsia="宋体"/>
          <w:b w:val="0"/>
          <w:sz w:val="21"/>
        </w:rPr>
        <w:t>在液流电池领域，基于50篇文献构建的知识库包含9970个实体和12987条超边，其中高阶超边占20.9%。对比评估表明，Hyper-ChE平均召回103条高阶超边/63个实体，Graph-RAG平均召回46条二元边。该案例初步支持以下判断：超图结构有助于维持液流电池文献中"体系—材料—条件—性能"高阶关系的条件完整性。为进一步验证框架的领域迁移能力，本文以PFAS去除与降解领域为第二案例。基于50篇文献构建的知识库包含7476个实体和10812条关系/超边，其中高阶超边占比21.98%。在覆盖语料总览、条件组合、跨策略比较、长短链对比、机理证据链和实验方案推荐的12个测试问题中，Hyper-ChE平均召回81.5条高阶超边，约为Graph-RAG（37.9条二元边）的2.15倍。典型问题分析表明，Hyper-ChE在多条件组合保留（Q5）、跨策略横向比较（Q7）、目标污染物差异化分析（Q8）、多证据机理链组织（Q10）和实验方案结构化推荐（Q12）等任务中召回结果表现出更好的上下文完整性。该结果与液流电池案例的发现形成呼应。</w:t>
      </w:r>
    </w:p>
    <w:p>
      <w:pPr>
        <w:spacing w:lineRule="exact" w:line="315" w:before="0" w:after="0"/>
        <w:ind w:firstLine="420"/>
        <w:jc w:val="both"/>
      </w:pPr>
      <w:r>
        <w:rPr>
          <w:rFonts w:ascii="Times New Roman" w:hAnsi="Times New Roman" w:eastAsia="宋体"/>
          <w:b w:val="0"/>
          <w:sz w:val="21"/>
        </w:rPr>
        <w:t>综合两个案例在当前语料子集上的验证结果，超图增强检索方法的贡献可初步概括为以下三个价值维度：条件完整性（Condition Integrity）——通过高阶超边保留了"多个条件属于同一实验事实"的语义关联，减少了二元关系拆分导致的信息散失；上下文可解释性（Contextual Explainability）——通过机理路径和比较关系的结构化组织，使检索结果不仅包含事实数据，还包含"为什么"的机理解释；跨域关联能力（Cross-domain Association）——通过统一的知识建模框架实现不同化工子领域之间的知识迁移，两个案例共用同一套方法框架，仅替换实体类型和关系类型即可完成适配。</w:t>
      </w:r>
    </w:p>
    <w:p>
      <w:pPr>
        <w:spacing w:lineRule="exact" w:line="315" w:before="0" w:after="0"/>
        <w:ind w:firstLine="420"/>
        <w:jc w:val="both"/>
      </w:pPr>
      <w:r>
        <w:rPr>
          <w:rFonts w:ascii="Times New Roman" w:hAnsi="Times New Roman" w:eastAsia="宋体"/>
          <w:b w:val="0"/>
          <w:sz w:val="21"/>
        </w:rPr>
        <w:t>需要指出的是，当前两个案例分别基于50篇文献的子集语料，尚未覆盖全部候选文献集，因此上述结论应理解为知识结构对检索增强效果的初步支持，而非对液流电池或PFAS去除与降解领域的全面综述。此外，知识抽取的准确性受限于大语言模型的实体识别与关系抽取能力，复杂机理关系仍可能出现边界模糊的情况。</w:t>
      </w:r>
    </w:p>
    <w:p>
      <w:pPr>
        <w:spacing w:before="120" w:after="60"/>
        <w:ind w:firstLine="420"/>
      </w:pPr>
      <w:r>
        <w:rPr>
          <w:rFonts w:ascii="Times New Roman" w:hAnsi="Times New Roman" w:eastAsia="黑体"/>
          <w:b/>
          <w:sz w:val="21"/>
        </w:rPr>
        <w:t>代码可用性</w:t>
      </w:r>
    </w:p>
    <w:p>
      <w:pPr>
        <w:spacing w:lineRule="exact" w:line="315" w:before="0" w:after="0"/>
        <w:ind w:firstLine="420"/>
        <w:jc w:val="both"/>
      </w:pPr>
      <w:r>
        <w:rPr>
          <w:rFonts w:ascii="Times New Roman" w:hAnsi="Times New Roman" w:eastAsia="宋体"/>
          <w:b w:val="0"/>
          <w:sz w:val="21"/>
        </w:rPr>
        <w:t>本文方法的原型代码已整理为Hyper-ChE项目，代码仓库包含化工领域适配提示词、文献嵌入与结构化抽取流程、超图数据库构建、Graph-RAG对照检索、Hyper-ChE问答检索以及Web可视化界面等模块。仓库中同时保留了与原始Hyper-RAG框架的兼容接口，便于后续扩展至电催化、反应工程、分离过程、储能材料等其他化工子领域。原型代码将在论文接收后开放。</w:t>
      </w:r>
    </w:p>
    <w:p>
      <w:pPr>
        <w:spacing w:before="240" w:after="120"/>
        <w:ind w:firstLine="420"/>
      </w:pPr>
      <w:r>
        <w:rPr>
          <w:rFonts w:ascii="Times New Roman" w:hAnsi="Times New Roman" w:eastAsia="黑体"/>
          <w:b/>
          <w:sz w:val="24"/>
        </w:rPr>
        <w:t>参考文献</w:t>
      </w:r>
    </w:p>
    <w:p>
      <w:pPr>
        <w:spacing w:after="20" w:lineRule="exact" w:line="300"/>
        <w:ind w:firstLine="420"/>
      </w:pPr>
      <w:r>
        <w:rPr>
          <w:rFonts w:ascii="Times New Roman" w:hAnsi="Times New Roman" w:eastAsia="宋体"/>
          <w:b w:val="0"/>
          <w:sz w:val="18"/>
        </w:rPr>
        <w:t>[1] Edge D, Trinh H, Cheng N, et al. From local to global: A graph RAG approach to query-focused summarization[J]. arXiv preprint, 2024, arXiv:2404.16130.</w:t>
      </w:r>
    </w:p>
    <w:p>
      <w:pPr>
        <w:spacing w:after="20" w:lineRule="exact" w:line="300"/>
        <w:ind w:firstLine="420"/>
      </w:pPr>
      <w:r>
        <w:rPr>
          <w:rFonts w:ascii="Times New Roman" w:hAnsi="Times New Roman" w:eastAsia="宋体"/>
          <w:b w:val="0"/>
          <w:sz w:val="18"/>
        </w:rPr>
        <w:t>[2] Han H, Wang Y, Shomer H, et al. Retrieval-augmented generation with graphs (GraphRAG)[J]. arXiv preprint, 2025, arXiv:2501.00309.</w:t>
      </w:r>
    </w:p>
    <w:p>
      <w:pPr>
        <w:spacing w:after="20" w:lineRule="exact" w:line="300"/>
        <w:ind w:firstLine="420"/>
      </w:pPr>
      <w:r>
        <w:rPr>
          <w:rFonts w:ascii="Times New Roman" w:hAnsi="Times New Roman" w:eastAsia="宋体"/>
          <w:b w:val="0"/>
          <w:sz w:val="18"/>
        </w:rPr>
        <w:t>[3] Guo Z, Xia L, Yu Y, et al. LightRAG: Simple and fast retrieval-augmented generation[J]. arXiv preprint, 2024, arXiv:2410.05779.</w:t>
      </w:r>
    </w:p>
    <w:p>
      <w:pPr>
        <w:spacing w:after="20" w:lineRule="exact" w:line="300"/>
        <w:ind w:firstLine="420"/>
      </w:pPr>
      <w:r>
        <w:rPr>
          <w:rFonts w:ascii="Times New Roman" w:hAnsi="Times New Roman" w:eastAsia="宋体"/>
          <w:b w:val="0"/>
          <w:sz w:val="18"/>
        </w:rPr>
        <w:t>[4] Feng Y, Hu H, Hou X, et al. Hyper-RAG: Combating LLM hallucinations using hypergraph-driven retrieval-augmented generation[J]. arXiv preprint, 2025, arXiv:2504.08758.</w:t>
      </w:r>
    </w:p>
    <w:p>
      <w:pPr>
        <w:spacing w:after="20" w:lineRule="exact" w:line="300"/>
        <w:ind w:firstLine="420"/>
      </w:pPr>
      <w:r>
        <w:rPr>
          <w:rFonts w:ascii="Times New Roman" w:hAnsi="Times New Roman" w:eastAsia="宋体"/>
          <w:b w:val="0"/>
          <w:sz w:val="18"/>
        </w:rPr>
        <w:t>[5] Feng Y, You H, Zhang Z, et al. Hypergraph neural networks[C]//Proc. AAAI Conf. Artif. Intell., 2019, 33: 3558-3565.</w:t>
      </w:r>
    </w:p>
    <w:p>
      <w:pPr>
        <w:spacing w:after="20" w:lineRule="exact" w:line="300"/>
        <w:ind w:firstLine="420"/>
      </w:pPr>
      <w:r>
        <w:rPr>
          <w:rFonts w:ascii="Times New Roman" w:hAnsi="Times New Roman" w:eastAsia="宋体"/>
          <w:b w:val="0"/>
          <w:sz w:val="18"/>
        </w:rPr>
        <w:t>[6] Gao Y, Feng Y, Ji S, et al. HGNN+: General hypergraph neural networks[J]. IEEE Trans. Pattern Anal. Mach. Intell., 2023, 45(3): 3181-3199.</w:t>
      </w:r>
    </w:p>
    <w:p>
      <w:pPr>
        <w:spacing w:after="20" w:lineRule="exact" w:line="300"/>
        <w:ind w:firstLine="420"/>
      </w:pPr>
      <w:r>
        <w:rPr>
          <w:rFonts w:ascii="Times New Roman" w:hAnsi="Times New Roman" w:eastAsia="宋体"/>
          <w:b w:val="0"/>
          <w:sz w:val="18"/>
        </w:rPr>
        <w:t>[7] Chien E, Pan C, Peng J, et al. You are AllSet: A multiset function framework for hypergraph neural networks[C]//ICLR, 2022.</w:t>
      </w:r>
    </w:p>
    <w:p>
      <w:pPr>
        <w:spacing w:after="20" w:lineRule="exact" w:line="300"/>
        <w:ind w:firstLine="420"/>
      </w:pPr>
      <w:r>
        <w:rPr>
          <w:rFonts w:ascii="Times New Roman" w:hAnsi="Times New Roman" w:eastAsia="宋体"/>
          <w:b w:val="0"/>
          <w:sz w:val="18"/>
        </w:rPr>
        <w:t>[8] Antelmi A, Cordasco G, Polato M, et al. A survey on hypergraph representation learning[J]. ACM Computing Surveys, 2023, 56(1): 1-38.</w:t>
      </w:r>
    </w:p>
    <w:p>
      <w:pPr>
        <w:spacing w:after="20" w:lineRule="exact" w:line="300"/>
        <w:ind w:firstLine="420"/>
      </w:pPr>
      <w:r>
        <w:rPr>
          <w:rFonts w:ascii="Times New Roman" w:hAnsi="Times New Roman" w:eastAsia="宋体"/>
          <w:b w:val="0"/>
          <w:sz w:val="18"/>
        </w:rPr>
        <w:t>[9] Yadati N, Nimishakavi M, Yadav P, et al. HyperGCN: A new method of training graph convolutional networks on hypergraphs[C]//NeurIPS, 2019, 32.</w:t>
      </w:r>
    </w:p>
    <w:p>
      <w:pPr>
        <w:spacing w:after="20" w:lineRule="exact" w:line="300"/>
        <w:ind w:firstLine="420"/>
      </w:pPr>
      <w:r>
        <w:rPr>
          <w:rFonts w:ascii="Times New Roman" w:hAnsi="Times New Roman" w:eastAsia="宋体"/>
          <w:b w:val="0"/>
          <w:sz w:val="18"/>
        </w:rPr>
        <w:t>[10] Dong Y, Sawin W, Bengio Y. HNHN: Hypergraph networks with hyperedge neurons[J]. arXiv preprint, 2020, arXiv:2006.12278.</w:t>
      </w:r>
    </w:p>
    <w:p>
      <w:pPr>
        <w:spacing w:after="20" w:lineRule="exact" w:line="300"/>
        <w:ind w:firstLine="420"/>
      </w:pPr>
      <w:r>
        <w:rPr>
          <w:rFonts w:ascii="Times New Roman" w:hAnsi="Times New Roman" w:eastAsia="宋体"/>
          <w:b w:val="0"/>
          <w:sz w:val="18"/>
        </w:rPr>
        <w:t>[11] Li Y, Zhang Y, Chen J, et al. Hyper-KGGen: A skill-driven knowledge extractor for high-quality knowledge hypergraph generation[J]. arXiv preprint, 2025, arXiv:2602.19543.</w:t>
      </w:r>
    </w:p>
    <w:p>
      <w:pPr>
        <w:spacing w:after="20" w:lineRule="exact" w:line="300"/>
        <w:ind w:firstLine="420"/>
      </w:pPr>
      <w:r>
        <w:rPr>
          <w:rFonts w:ascii="Times New Roman" w:hAnsi="Times New Roman" w:eastAsia="宋体"/>
          <w:b w:val="0"/>
          <w:sz w:val="18"/>
        </w:rPr>
        <w:t>[12] Luo H, Chen G, Zheng Y, et al. HyperGraphRAG: Retrieval-augmented generation via hypergraph-structured knowledge representation[J]. arXiv preprint, 2025, arXiv:2503.21322.</w:t>
      </w:r>
    </w:p>
    <w:p>
      <w:pPr>
        <w:spacing w:after="20" w:lineRule="exact" w:line="300"/>
        <w:ind w:firstLine="420"/>
      </w:pPr>
      <w:r>
        <w:rPr>
          <w:rFonts w:ascii="Times New Roman" w:hAnsi="Times New Roman" w:eastAsia="宋体"/>
          <w:b w:val="0"/>
          <w:sz w:val="18"/>
        </w:rPr>
        <w:t>[13] Dagdelen J, Dunn A, Lee S, et al. Structured information extraction from scientific text with large language models[J]. Nature Communications, 2024, 15: 1418.</w:t>
      </w:r>
    </w:p>
    <w:p>
      <w:pPr>
        <w:spacing w:after="20" w:lineRule="exact" w:line="300"/>
        <w:ind w:firstLine="420"/>
      </w:pPr>
      <w:r>
        <w:rPr>
          <w:rFonts w:ascii="Times New Roman" w:hAnsi="Times New Roman" w:eastAsia="宋体"/>
          <w:b w:val="0"/>
          <w:sz w:val="18"/>
        </w:rPr>
        <w:t>[14] Polak M P, Morgan D. ChatExtract: Few-shot information extraction for natural language processing in materials science[J]. npj Computational Materials, 2024, 10: 314.</w:t>
      </w:r>
    </w:p>
    <w:p>
      <w:pPr>
        <w:spacing w:after="20" w:lineRule="exact" w:line="300"/>
        <w:ind w:firstLine="420"/>
      </w:pPr>
      <w:r>
        <w:rPr>
          <w:rFonts w:ascii="Times New Roman" w:hAnsi="Times New Roman" w:eastAsia="宋体"/>
          <w:b w:val="0"/>
          <w:sz w:val="18"/>
        </w:rPr>
        <w:t>[15] Ye P, Xie T, Jablonka K M, et al. Construction and application of materials knowledge graph in multidisciplinary materials science via large language model[C]//NeurIPS, 2024, 37.</w:t>
      </w:r>
    </w:p>
    <w:p>
      <w:pPr>
        <w:spacing w:after="20" w:lineRule="exact" w:line="300"/>
        <w:ind w:firstLine="420"/>
      </w:pPr>
      <w:r>
        <w:rPr>
          <w:rFonts w:ascii="Times New Roman" w:hAnsi="Times New Roman" w:eastAsia="宋体"/>
          <w:b w:val="0"/>
          <w:sz w:val="18"/>
        </w:rPr>
        <w:t>[16] Pan S R, Luo L, Wang Y, et al. Unifying large language models and knowledge graphs: A roadmap[J]. IEEE Trans. Knowl. Data Eng., 2024, 37(6): 2460-2482.</w:t>
      </w:r>
    </w:p>
    <w:p>
      <w:pPr>
        <w:spacing w:after="20" w:lineRule="exact" w:line="300"/>
        <w:ind w:firstLine="420"/>
      </w:pPr>
      <w:r>
        <w:rPr>
          <w:rFonts w:ascii="Times New Roman" w:hAnsi="Times New Roman" w:eastAsia="宋体"/>
          <w:b w:val="0"/>
          <w:sz w:val="18"/>
        </w:rPr>
        <w:t>[17] Venugopal V, Olivetti E. MatKG: The materials science knowledge graph[J]. Scientific Data, 2024, 11: 59.</w:t>
      </w:r>
    </w:p>
    <w:p>
      <w:pPr>
        <w:spacing w:after="20" w:lineRule="exact" w:line="300"/>
        <w:ind w:firstLine="420"/>
      </w:pPr>
      <w:r>
        <w:rPr>
          <w:rFonts w:ascii="Times New Roman" w:hAnsi="Times New Roman" w:eastAsia="宋体"/>
          <w:b w:val="0"/>
          <w:sz w:val="18"/>
        </w:rPr>
        <w:t>[18] Nie Z, Zou J, Han J, et al. Automating materials exploration with a semantic knowledge graph for Li-ion battery cathodes[J]. Adv. Funct. Mater., 2022, 32: 2201437.</w:t>
      </w:r>
    </w:p>
    <w:p>
      <w:pPr>
        <w:spacing w:after="20" w:lineRule="exact" w:line="300"/>
        <w:ind w:firstLine="420"/>
      </w:pPr>
      <w:r>
        <w:rPr>
          <w:rFonts w:ascii="Times New Roman" w:hAnsi="Times New Roman" w:eastAsia="宋体"/>
          <w:b w:val="0"/>
          <w:sz w:val="18"/>
        </w:rPr>
        <w:t>[19] Zhang Y, Li X, Chen B, et al. Knowledge graph construction for framework materials enabled by large language models[J]. npj Computational Materials, 2025, 11: 45.</w:t>
      </w:r>
    </w:p>
    <w:p>
      <w:pPr>
        <w:spacing w:after="20" w:lineRule="exact" w:line="300"/>
        <w:ind w:firstLine="420"/>
      </w:pPr>
      <w:r>
        <w:rPr>
          <w:rFonts w:ascii="Times New Roman" w:hAnsi="Times New Roman" w:eastAsia="宋体"/>
          <w:b w:val="0"/>
          <w:sz w:val="18"/>
        </w:rPr>
        <w:t>[20] 陈海生, 蒋凯, 韦统振等. 液流电池关键材料发展研究[J]. 中国工程科学, 2025, 27(10): 1-12.</w:t>
      </w:r>
    </w:p>
    <w:p>
      <w:pPr>
        <w:spacing w:after="20" w:lineRule="exact" w:line="300"/>
        <w:ind w:firstLine="420"/>
      </w:pPr>
      <w:r>
        <w:rPr>
          <w:rFonts w:ascii="Times New Roman" w:hAnsi="Times New Roman" w:eastAsia="宋体"/>
          <w:b w:val="0"/>
          <w:sz w:val="18"/>
        </w:rPr>
        <w:t>[21] Ding C S, Zhang N, Zhou Y, et al. Sulfonated polybenzimidazole zwitterionic exchange membrane with high selectivity and stability for vanadium flow battery[J]. J. Membr. Sci., 2023, 669: 121-135.</w:t>
      </w:r>
    </w:p>
    <w:p>
      <w:pPr>
        <w:spacing w:after="20" w:lineRule="exact" w:line="300"/>
        <w:ind w:firstLine="420"/>
      </w:pPr>
      <w:r>
        <w:rPr>
          <w:rFonts w:ascii="Times New Roman" w:hAnsi="Times New Roman" w:eastAsia="宋体"/>
          <w:b w:val="0"/>
          <w:sz w:val="18"/>
        </w:rPr>
        <w:t>[22] Chen Y K, Li X, Park C M, et al. Bi single-atom electrocatalyst for high-performance vanadium redox flow battery[J]. Adv. Mater., 2024, 36: 2308124.</w:t>
      </w:r>
    </w:p>
    <w:p>
      <w:pPr>
        <w:spacing w:after="20" w:lineRule="exact" w:line="300"/>
        <w:ind w:firstLine="420"/>
      </w:pPr>
      <w:r>
        <w:rPr>
          <w:rFonts w:ascii="Times New Roman" w:hAnsi="Times New Roman" w:eastAsia="宋体"/>
          <w:b w:val="0"/>
          <w:sz w:val="18"/>
        </w:rPr>
        <w:t>[23] Ye J, Xia L, Li H, et al. The critical analysis of membranes toward sustainable and efficient vanadium redox flow batteries[J]. Adv. Mater., 2024, 36(28): 2402090.</w:t>
      </w:r>
    </w:p>
    <w:p>
      <w:pPr>
        <w:spacing w:after="20" w:lineRule="exact" w:line="300"/>
        <w:ind w:firstLine="420"/>
      </w:pPr>
      <w:r>
        <w:rPr>
          <w:rFonts w:ascii="Times New Roman" w:hAnsi="Times New Roman" w:eastAsia="宋体"/>
          <w:b w:val="0"/>
          <w:sz w:val="18"/>
        </w:rPr>
        <w:t>[24] Skyllas-Kazacos M, Chakrabarti M H, Hajimolana S A, et al. Progress in flow battery research and development[J]. J. Electrochem. Soc., 2011, 158(8): R55.</w:t>
      </w:r>
    </w:p>
    <w:p>
      <w:pPr>
        <w:spacing w:after="20" w:lineRule="exact" w:line="300"/>
        <w:ind w:firstLine="420"/>
      </w:pPr>
      <w:r>
        <w:rPr>
          <w:rFonts w:ascii="Times New Roman" w:hAnsi="Times New Roman" w:eastAsia="宋体"/>
          <w:b w:val="0"/>
          <w:sz w:val="18"/>
        </w:rPr>
        <w:t>[25] He Q, Li Z, Xie G, et al. A comprehensive modelling study of all vanadium redox flow battery: Revealing the combined effects of electrode structure and surface property[J]. J. Energy Storage, 2023, 72: 108242.</w:t>
      </w:r>
    </w:p>
    <w:p>
      <w:pPr>
        <w:spacing w:after="20" w:lineRule="exact" w:line="300"/>
        <w:ind w:firstLine="420"/>
      </w:pPr>
      <w:r>
        <w:rPr>
          <w:rFonts w:ascii="Times New Roman" w:hAnsi="Times New Roman" w:eastAsia="宋体"/>
          <w:b w:val="0"/>
          <w:sz w:val="18"/>
        </w:rPr>
        <w:t>[26] Veciana A, Steiner S, Tang Q, et al. Breaking the perfluorooctane sulfonate chain: Piezocatalytic decomposition of PFOS using BaTiO3 nanoparticles[J]. Small Science, 2024, 4: 2400337.</w:t>
      </w:r>
    </w:p>
    <w:p>
      <w:pPr>
        <w:spacing w:after="20" w:lineRule="exact" w:line="300"/>
        <w:ind w:firstLine="420"/>
      </w:pPr>
      <w:r>
        <w:rPr>
          <w:rFonts w:ascii="Times New Roman" w:hAnsi="Times New Roman" w:eastAsia="宋体"/>
          <w:b w:val="0"/>
          <w:sz w:val="18"/>
        </w:rPr>
        <w:t>[27] Wang Y, Zhang J, Zhang W, et al. Electrostatic field in contact-electro-catalysis driven C-F bond cleavage of perfluoroalkyl substances[J]. Angew. Chem. Int. Ed., 2024, 63: e202402440.</w:t>
      </w:r>
    </w:p>
    <w:p>
      <w:pPr>
        <w:spacing w:after="20" w:lineRule="exact" w:line="300"/>
        <w:ind w:firstLine="420"/>
      </w:pPr>
      <w:r>
        <w:rPr>
          <w:rFonts w:ascii="Times New Roman" w:hAnsi="Times New Roman" w:eastAsia="宋体"/>
          <w:b w:val="0"/>
          <w:sz w:val="18"/>
        </w:rPr>
        <w:t>[28] Liu X, Shu Y, Pan Y, et al. Electrochemical destruction of PFAS at low oxidation potential enabled by CeO2 electrodes utilizing adsorption and activation strategies[J]. J. Hazard. Mater., 2025, 486: 137043.</w:t>
      </w:r>
    </w:p>
    <w:p>
      <w:pPr>
        <w:spacing w:after="20" w:lineRule="exact" w:line="300"/>
        <w:ind w:firstLine="420"/>
      </w:pPr>
      <w:r>
        <w:rPr>
          <w:rFonts w:ascii="Times New Roman" w:hAnsi="Times New Roman" w:eastAsia="宋体"/>
          <w:b w:val="0"/>
          <w:sz w:val="18"/>
        </w:rPr>
        <w:t>[29] Li F, Duan J, Tian S, et al. Short-chain per- and polyfluoroalkyl substances in aquatic systems: Occurrence, impacts and treatment[J]. Chem. Eng. J., 2020, 380: 122506.</w:t>
      </w:r>
    </w:p>
    <w:p>
      <w:pPr>
        <w:spacing w:after="20" w:lineRule="exact" w:line="300"/>
        <w:ind w:firstLine="420"/>
      </w:pPr>
      <w:r>
        <w:rPr>
          <w:rFonts w:ascii="Times New Roman" w:hAnsi="Times New Roman" w:eastAsia="宋体"/>
          <w:b w:val="0"/>
          <w:sz w:val="18"/>
        </w:rPr>
        <w:t>[30] Austin C, Purohit A L, Thomsen C, et al. Degradation and defluorination of ultra short-, short-, and long-chain PFASs in high total dissolved solids solutions by hydrothermal alkaline treatment[J]. ACS EST Engg., 2024, 4: 1653-1665.</w:t>
      </w:r>
    </w:p>
    <w:p>
      <w:pPr>
        <w:spacing w:after="20" w:lineRule="exact" w:line="300"/>
        <w:ind w:firstLine="420"/>
      </w:pPr>
      <w:r>
        <w:rPr>
          <w:rFonts w:ascii="Times New Roman" w:hAnsi="Times New Roman" w:eastAsia="宋体"/>
          <w:b w:val="0"/>
          <w:sz w:val="18"/>
        </w:rPr>
        <w:t>[31] Lewis P, Perez E, Piktus A, et al. Retrieval-augmented generation for knowledge-intensive NLP tasks[C]//NeurIPS, 2020, 33: 9459-9474.</w:t>
      </w:r>
    </w:p>
    <w:p>
      <w:pPr>
        <w:spacing w:after="20" w:lineRule="exact" w:line="300"/>
        <w:ind w:firstLine="420"/>
      </w:pPr>
      <w:r>
        <w:rPr>
          <w:rFonts w:ascii="Times New Roman" w:hAnsi="Times New Roman" w:eastAsia="宋体"/>
          <w:b w:val="0"/>
          <w:sz w:val="18"/>
        </w:rPr>
        <w:t>[32] Gao Y L, Xiong Y, Gao X, et al. Retrieval-augmented generation for large language models: A survey[J]. arXiv preprint, 2024, arXiv:2312.10997.</w:t>
      </w:r>
    </w:p>
    <w:p>
      <w:pPr>
        <w:spacing w:after="20" w:lineRule="exact" w:line="300"/>
        <w:ind w:firstLine="420"/>
      </w:pPr>
      <w:r>
        <w:rPr>
          <w:rFonts w:ascii="Times New Roman" w:hAnsi="Times New Roman" w:eastAsia="宋体"/>
          <w:b w:val="0"/>
          <w:sz w:val="18"/>
        </w:rPr>
        <w:t>[33] Mallen A, Asai A, Zhong V, et al. When not to trust language models: Investigating effectiveness of parametric and non-parametric memories[C]//ACL, 2023: 9802-9822.</w:t>
      </w:r>
    </w:p>
    <w:p>
      <w:pPr>
        <w:spacing w:after="20" w:lineRule="exact" w:line="300"/>
        <w:ind w:firstLine="420"/>
      </w:pPr>
      <w:r>
        <w:rPr>
          <w:rFonts w:ascii="Times New Roman" w:hAnsi="Times New Roman" w:eastAsia="宋体"/>
          <w:b w:val="0"/>
          <w:sz w:val="18"/>
        </w:rPr>
        <w:t>[34] Ji Z, Lee N, Frieske R, et al. Survey of hallucination in natural language generation[J]. ACM Computing Surveys, 2023, 55(12): 1-38.</w:t>
      </w:r>
    </w:p>
    <w:p>
      <w:pPr>
        <w:spacing w:after="20" w:lineRule="exact" w:line="300"/>
        <w:ind w:firstLine="420"/>
      </w:pPr>
      <w:r>
        <w:rPr>
          <w:rFonts w:ascii="Times New Roman" w:hAnsi="Times New Roman" w:eastAsia="宋体"/>
          <w:b w:val="0"/>
          <w:sz w:val="18"/>
        </w:rPr>
        <w:t>[35] Huang L, Yu W, Ma W, et al. A survey on hallucination in large language models: Principles, taxonomy, challenges, and open questions[J]. arXiv preprint, 2023, arXiv:2311.05232.</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