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796">
      <w:pPr>
        <w:keepNext w:val="0"/>
        <w:spacing w:before="0" w:after="40" w:line="240" w:lineRule="auto"/>
        <w:jc w:val="center"/>
      </w:pPr>
      <w:r>
        <w:rPr>
          <w:rFonts w:hint="eastAsia"/>
          <w:b w:val="0"/>
          <w:i w:val="0"/>
          <w:sz w:val="21"/>
          <w:lang w:val="en-US" w:eastAsia="zh-CN"/>
        </w:rPr>
        <w:t xml:space="preserve">   </w:t>
      </w:r>
      <w:r>
        <w:rPr>
          <w:rFonts w:ascii="Times New Roman" w:hAnsi="Times New Roman" w:eastAsia="宋体"/>
          <w:b w:val="0"/>
          <w:i w:val="0"/>
          <w:sz w:val="21"/>
        </w:rPr>
        <w:t>研究开发</w:t>
      </w:r>
    </w:p>
    <w:p w14:paraId="3A1FE73A">
      <w:pPr>
        <w:keepNext w:val="0"/>
        <w:spacing w:before="0" w:after="120" w:line="240" w:lineRule="auto"/>
        <w:jc w:val="center"/>
      </w:pPr>
      <w:r>
        <w:rPr>
          <w:rFonts w:ascii="Times New Roman" w:hAnsi="Times New Roman" w:eastAsia="宋体"/>
          <w:b w:val="0"/>
          <w:i w:val="0"/>
          <w:sz w:val="21"/>
        </w:rPr>
        <w:t>DOI：</w:t>
      </w:r>
    </w:p>
    <w:p w14:paraId="1BCBE7B0">
      <w:pPr>
        <w:keepNext w:val="0"/>
        <w:spacing w:before="120" w:after="160" w:line="240" w:lineRule="auto"/>
        <w:jc w:val="center"/>
      </w:pPr>
      <w:r>
        <w:rPr>
          <w:rFonts w:ascii="Times New Roman" w:hAnsi="Times New Roman" w:eastAsia="黑体"/>
          <w:b w:val="0"/>
          <w:i w:val="0"/>
          <w:sz w:val="36"/>
        </w:rPr>
        <w:t>化工知识高阶关系表达的超图建模与检索方法</w:t>
      </w:r>
    </w:p>
    <w:p w14:paraId="4930722E">
      <w:pPr>
        <w:pStyle w:val="19"/>
        <w:jc w:val="center"/>
      </w:pPr>
      <w:r>
        <w:rPr>
          <w:b/>
          <w:bCs/>
        </w:rPr>
        <w:t>作者姓名1，作者姓名2，作者姓名3</w:t>
      </w:r>
    </w:p>
    <w:p w14:paraId="5AB9C61E">
      <w:pPr>
        <w:pStyle w:val="19"/>
        <w:jc w:val="center"/>
      </w:pPr>
      <w:r>
        <w:t>（1单位名称，省 市 邮编；2单位名称，省 市 邮编）</w:t>
      </w:r>
    </w:p>
    <w:p w14:paraId="171813C3">
      <w:pPr>
        <w:spacing w:before="120" w:after="60" w:line="240" w:lineRule="auto"/>
        <w:ind w:firstLine="420"/>
        <w:jc w:val="both"/>
      </w:pPr>
      <w:r>
        <w:rPr>
          <w:rFonts w:ascii="Times New Roman" w:hAnsi="Times New Roman" w:eastAsia="宋体"/>
          <w:sz w:val="21"/>
        </w:rPr>
        <w:t>摘要：化工实验知识通常涉及多个变量在特定条件下的协同作用，传统向量检索和二元知识图谱难以充分表达这类高阶耦合关系。本文通过对液流电池和PFAS降解两个典型化工领域的文献分析发现，化工实验知识中的条件、材料、指标和机理等变量常以多实体耦合形式出现，天然适合用超图结构进行建模。为验证这一判断，构建了面向化工文献的领域适配超图增强检索框架（Hyper-ChE），将实验知识组织为"实验事实单元"，利用超边保持多变量之间的关联信息。以液流电池和PFAS降解两个领域为案例，分别设计了领域本体，并实现了基于大语言模型的结构化抽取与超图自动构建，进而设计了向量数据库与超图数据库协同的双路径检索机制。测试结果表明，Hyper-ChE在复杂条件查询中的召回更丰富，高阶超边有助于维持多个实验变量之间的共同上下文，从而改善了检索完整性和回答可解释性。</w:t>
      </w:r>
    </w:p>
    <w:p w14:paraId="56A72C91">
      <w:pPr>
        <w:spacing w:before="60" w:after="60" w:line="240" w:lineRule="auto"/>
        <w:ind w:firstLine="420"/>
        <w:jc w:val="both"/>
      </w:pPr>
      <w:r>
        <w:rPr>
          <w:rFonts w:ascii="Times New Roman" w:hAnsi="Times New Roman" w:eastAsia="黑体"/>
          <w:b/>
          <w:i w:val="0"/>
          <w:sz w:val="21"/>
        </w:rPr>
        <w:t>关键词：</w:t>
      </w:r>
      <w:r>
        <w:rPr>
          <w:rFonts w:ascii="Times New Roman" w:hAnsi="Times New Roman" w:eastAsia="宋体"/>
          <w:b w:val="0"/>
          <w:i w:val="0"/>
          <w:sz w:val="21"/>
        </w:rPr>
        <w:t>超图知识建模；检索增强生成；知识图谱；液流电池；PFAS降解；领域适配</w:t>
      </w:r>
    </w:p>
    <w:p w14:paraId="2920026B">
      <w:pPr>
        <w:keepNext w:val="0"/>
        <w:spacing w:before="60" w:after="160" w:line="240" w:lineRule="auto"/>
        <w:ind w:firstLine="420"/>
        <w:jc w:val="left"/>
      </w:pPr>
      <w:r>
        <w:rPr>
          <w:rFonts w:ascii="Times New Roman" w:hAnsi="Times New Roman" w:eastAsia="宋体"/>
          <w:b w:val="0"/>
          <w:i w:val="0"/>
          <w:sz w:val="15"/>
        </w:rPr>
        <w:t>中图分类号：TQ  文献标志码：A  文章编号：</w:t>
      </w:r>
    </w:p>
    <w:p w14:paraId="7CC4B06C">
      <w:pPr>
        <w:keepNext w:val="0"/>
        <w:spacing w:before="240" w:after="120" w:line="240" w:lineRule="auto"/>
        <w:jc w:val="center"/>
      </w:pPr>
      <w:r>
        <w:rPr>
          <w:rFonts w:ascii="Times New Roman" w:hAnsi="Times New Roman" w:eastAsia="Times New Roman"/>
          <w:b/>
          <w:i w:val="0"/>
          <w:sz w:val="28"/>
        </w:rPr>
        <w:t>Hypergraph Knowledge Modeling and Enhanced Retrieval for Higher-Order Relational Expression in Chemical Engineering Knowledge</w:t>
      </w:r>
    </w:p>
    <w:p w14:paraId="6EBEF151">
      <w:pPr>
        <w:pStyle w:val="19"/>
        <w:jc w:val="center"/>
      </w:pPr>
      <w:r>
        <w:rPr>
          <w:b/>
          <w:bCs/>
        </w:rPr>
        <w:t>Author Name1, Author Name2, Author Name3</w:t>
      </w:r>
    </w:p>
    <w:p w14:paraId="5BD668D4">
      <w:pPr>
        <w:pStyle w:val="19"/>
        <w:jc w:val="center"/>
      </w:pPr>
      <w:r>
        <w:t>(1 Organization, City Postcode, Province; 2 Organization, City Postcode, Province)</w:t>
      </w:r>
    </w:p>
    <w:p w14:paraId="51F3D8FD">
      <w:pPr>
        <w:spacing w:before="120" w:after="60" w:line="240" w:lineRule="auto"/>
        <w:ind w:firstLine="420"/>
        <w:jc w:val="both"/>
      </w:pPr>
      <w:r>
        <w:rPr>
          <w:rFonts w:ascii="Times New Roman" w:hAnsi="Times New Roman" w:eastAsia="宋体"/>
          <w:sz w:val="21"/>
        </w:rPr>
        <w:t>Abstract: Experimental knowledge in chemical engineering typically involves the coordinated action of multiple variables under specific conditions, which is difficult to fully express through conventional vector retrieval or binary knowledge graphs. Through analysis of literature in two representative chemical engineering domains—flow batteries and PFAS degradation—this study finds that variables such as conditions, materials, metrics, and mechanisms frequently appear in multi-entity coupled forms, making hypergraph structure a natural fit for modeling. To validate this observation, a domain-adaptive hypergraph-enhanced retrieval framework (Hyper-ChE) was developed, organizing experimental knowledge into "experimental fact units" and using hyperedges to preserve associations among multiple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Hyper-ChE achieves richer recall for complex conditional queries, and high-order hyperedges help maintain shared context among multiple experimental variables, thereby improving retrieval completeness and response interpretability.</w:t>
      </w:r>
    </w:p>
    <w:p w14:paraId="348030A0">
      <w:pPr>
        <w:spacing w:before="60" w:after="60" w:line="240" w:lineRule="auto"/>
        <w:ind w:firstLine="420"/>
        <w:jc w:val="both"/>
      </w:pPr>
      <w:r>
        <w:rPr>
          <w:rFonts w:ascii="Times New Roman" w:hAnsi="Times New Roman" w:eastAsia="Times New Roman"/>
          <w:b/>
          <w:i w:val="0"/>
          <w:sz w:val="21"/>
        </w:rPr>
        <w:t xml:space="preserve">Keywords: </w:t>
      </w:r>
      <w:r>
        <w:rPr>
          <w:rFonts w:ascii="Times New Roman" w:hAnsi="Times New Roman" w:eastAsia="Times New Roman"/>
          <w:b w:val="0"/>
          <w:i w:val="0"/>
          <w:sz w:val="21"/>
        </w:rPr>
        <w:t>hypergraph knowledge modeling; retrieval-augmented generation; knowledge graph; flow battery; PFAS degradation; domain adaptation</w:t>
      </w:r>
    </w:p>
    <w:p w14:paraId="7D9CA35E">
      <w:pPr>
        <w:keepNext w:val="0"/>
        <w:spacing w:before="0" w:after="60" w:line="240" w:lineRule="auto"/>
        <w:ind w:firstLine="420"/>
        <w:jc w:val="both"/>
      </w:pPr>
      <w:r>
        <w:rPr>
          <w:rFonts w:ascii="Times New Roman" w:hAnsi="Times New Roman" w:eastAsia="宋体"/>
          <w:sz w:val="21"/>
        </w:rPr>
        <w:t>化工领域依赖关键词匹配和向量相似度计算的知识检索方法，在处理涉及多变量协同作用的实验知识时，往往难以保持条件组合的结构完整性。传统知识图谱通过二元边表达实体间关系，虽在一定程度上改善了结构化表示能力，但面对化工实验中常见的多变量耦合事实——如特定体系在特定材料、特定条件下表现出的性能指标——仍需要将高阶关系拆解为多条二元边，导致实验上下文信息的分散与丢失。近年来，检索增强生成（Retrieval-Augmented Generation, RAG）技术为大语言模型提供了外部知识支撑，有效缓解了领域专业知识不足的问题。然而，标准RAG主要依赖向量检索，对于需要保持多变量协同约束的复杂查询，其召回内容的完整性仍有不足。在此背景下，如何设计一种能够表达高阶耦合关系的知识建模方法，并据此增强专业知识检索效果，成为化工知识工程领域亟待解决的问题。超图（Hypergraph）作为一种允许边同时连接任意数量顶点的图结构，为表达多变量协同关系提供了自然的形式化框架。本文通过对液流电池和PFAS降解两个典型化工领域的文献进行系统分析，发现化工实验知识中的"体系—材料—条件—指标—机理"天然具有多变量耦合的结构特征，适合用超图进行建模。在此基础上，构建了面向化工文献的领域适配超图增强检索框架（Hyper-ChE），利用超边保持实验事实中的变量关联信息，并设计了向量数据库与超图数据库协同的双路径检索机制，以此验证超图建模在化工专业知识检索中的有效性。</w:t>
      </w:r>
    </w:p>
    <w:p w14:paraId="41DCEB7C">
      <w:pPr>
        <w:keepNext/>
        <w:spacing w:before="240" w:after="240" w:line="240" w:lineRule="auto"/>
        <w:jc w:val="left"/>
      </w:pPr>
      <w:r>
        <w:rPr>
          <w:rFonts w:ascii="Times New Roman" w:hAnsi="Times New Roman" w:eastAsia="黑体"/>
          <w:b/>
          <w:i w:val="0"/>
          <w:sz w:val="28"/>
        </w:rPr>
        <w:t>1 方法</w:t>
      </w:r>
    </w:p>
    <w:p w14:paraId="54617A14">
      <w:pPr>
        <w:keepNext/>
        <w:spacing w:before="120" w:after="60" w:line="240" w:lineRule="auto"/>
        <w:jc w:val="left"/>
      </w:pPr>
      <w:r>
        <w:rPr>
          <w:rFonts w:ascii="Times New Roman" w:hAnsi="Times New Roman" w:eastAsia="黑体"/>
          <w:b/>
          <w:i w:val="0"/>
          <w:sz w:val="21"/>
        </w:rPr>
        <w:t>1.1 化工文献知识的高阶关系特征</w:t>
      </w:r>
    </w:p>
    <w:p w14:paraId="41A5962B">
      <w:pPr>
        <w:keepNext w:val="0"/>
        <w:spacing w:before="0" w:after="60" w:line="240" w:lineRule="auto"/>
        <w:ind w:firstLine="420"/>
        <w:jc w:val="both"/>
      </w:pPr>
      <w:r>
        <w:rPr>
          <w:rFonts w:ascii="Times New Roman" w:hAnsi="Times New Roman" w:eastAsia="宋体"/>
          <w:b w:val="0"/>
          <w:i w:val="0"/>
          <w:sz w:val="21"/>
        </w:rPr>
        <w:t>化工领域的实验知识具有显著的条件依赖性与多变量耦合特征。不同于一般文本知识中实体间简单的二元关联，化工实验事实往往涉及活性物质、操作条件、性能指标、系统组件等多个要素在特定情境下的协同作用。以液流电池研究为例，一个完整的实验知识单元通常包含：活性物质类型及其浓度（活性物质，ACTIVE_SPECIES）、操作温度与电流密度等工况条件（操作条件，CONDITION）、能量效率与容量衰减率等性能指标（性能指标，METRIC）、电极材料与膜材料等系统组件（电极材料ELECTRODE/膜材料MEMBRANE），以及这些要素之间的复杂交互关系。这些要素并非独立存在，而是通过实验操作（OPERATION）、组成配置（COMPOSITION）、降解机制（DEGRADATION）等关系类型形成高度交织的知识网络。</w:t>
      </w:r>
    </w:p>
    <w:p w14:paraId="325B4ED1">
      <w:pPr>
        <w:spacing w:after="60" w:line="240" w:lineRule="auto"/>
        <w:ind w:firstLine="420"/>
        <w:jc w:val="left"/>
        <w:rPr>
          <w:rFonts w:ascii="Times New Roman" w:hAnsi="Times New Roman" w:eastAsia="宋体"/>
          <w:b w:val="0"/>
          <w:i w:val="0"/>
          <w:sz w:val="21"/>
        </w:rPr>
      </w:pPr>
      <w:r>
        <w:rPr>
          <w:rFonts w:ascii="Times New Roman" w:hAnsi="Times New Roman" w:eastAsia="宋体"/>
          <w:b w:val="0"/>
          <w:i w:val="0"/>
          <w:sz w:val="21"/>
        </w:rPr>
        <w:t>传统基于图的知识表示采用二元边</w:t>
      </w:r>
      <m:oMath>
        <m:r>
          <m:rPr/>
          <w:rPr>
            <w:rFonts w:hint="default" w:ascii="Cambria Math" w:hAnsi="Cambria Math" w:eastAsia="宋体"/>
            <w:sz w:val="21"/>
          </w:rPr>
          <m:t>e=(</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 描述实体间关系，难以直接表达"在特定温度和电流密度条件下，活性物质A在电极B上表现出容量衰减C"这类涉及三个及以上节点的复合实验事实。这种局限使得传统Graph-RAG在处理化工文献时需要将高阶关系拆分为多条二元边，分散了知识单元原有的变量关联信息。超图（Hypergraph）通过允许超边（hyperedge）同时连接任意数量的顶点，能够自然地表达化工实验知识中的多变量耦合关系</w:t>
      </w:r>
      <w:r>
        <w:rPr>
          <w:rFonts w:hint="eastAsia"/>
          <w:b w:val="0"/>
          <w:i w:val="0"/>
          <w:sz w:val="21"/>
          <w:lang w:eastAsia="zh-CN"/>
        </w:rPr>
        <w:t>。</w:t>
      </w:r>
    </w:p>
    <w:p w14:paraId="72032569">
      <w:pPr>
        <w:keepNext w:val="0"/>
        <w:spacing w:before="0" w:after="60" w:line="240" w:lineRule="auto"/>
        <w:ind w:firstLine="420"/>
        <w:jc w:val="both"/>
      </w:pPr>
      <w:r>
        <w:rPr>
          <w:rFonts w:ascii="Times New Roman" w:hAnsi="Times New Roman" w:eastAsia="宋体"/>
          <w:sz w:val="21"/>
        </w:rPr>
        <w:t>基于观察，本文将化工文献中的知识单元建模为"实验事实单元"（Experimental Fact Unit, EFU），每个EFU对应超图中的一条超边，其关联的实体要素构成该超边的顶点集合。这种建模方式使得检索过程能够在保持语义完整性的前提下，实现从高阶关系到具体实体的双向信息扩散。</w:t>
      </w:r>
    </w:p>
    <w:p w14:paraId="3B89D0B2">
      <w:pPr>
        <w:keepNext/>
        <w:spacing w:before="120" w:after="60" w:line="240" w:lineRule="auto"/>
        <w:jc w:val="left"/>
      </w:pPr>
      <w:r>
        <w:rPr>
          <w:rFonts w:ascii="Times New Roman" w:hAnsi="Times New Roman" w:eastAsia="黑体"/>
          <w:b/>
          <w:i w:val="0"/>
          <w:sz w:val="21"/>
        </w:rPr>
        <w:t>1.2 领域适配超图增强检索框架</w:t>
      </w:r>
    </w:p>
    <w:p w14:paraId="4E8F309C">
      <w:pPr>
        <w:keepNext w:val="0"/>
        <w:spacing w:before="0" w:after="60" w:line="240" w:lineRule="auto"/>
        <w:ind w:firstLine="420"/>
        <w:jc w:val="both"/>
      </w:pPr>
      <w:r>
        <w:rPr>
          <w:rFonts w:ascii="Times New Roman" w:hAnsi="Times New Roman" w:eastAsia="宋体"/>
          <w:b w:val="0"/>
          <w:sz w:val="21"/>
        </w:rPr>
        <w:t>Feng等[11]提出通用Hyper-RAG框架，以超图结构替代二元图进行知识检索。本文在此基础上，面向化工文献中"多变量共同约束实验事实"的表达需求，进行领域适配，提出Hyper-ChE框架。框架整体包括文献解析、文本分块、结构化抽取、超图构建、向量索引和问答检索六个环节，如图2所示。其中，前四个环节侧重于将非结构化文献转化为领域超图，后两个环节则利用超图结构为复杂问题回答提供增强上下文。</w:t>
      </w:r>
    </w:p>
    <w:p w14:paraId="76B72301">
      <w:pPr>
        <w:keepNext w:val="0"/>
        <w:spacing w:before="0" w:after="60" w:line="240" w:lineRule="auto"/>
        <w:ind w:firstLine="420"/>
        <w:jc w:val="both"/>
      </w:pPr>
      <w:r>
        <w:rPr>
          <w:rFonts w:ascii="Times New Roman" w:hAnsi="Times New Roman" w:eastAsia="宋体"/>
          <w:sz w:val="21"/>
        </w:rPr>
        <w:t>整体流程包含四个步骤：对文献PDF进行解析与文本分块，通过领域提示引导结构化抽取获得实体、二元关系及实验条件、指标、机理等信息，据此构建领域超图并建立超图数据库与向量索引，接收用户查询后提取关键词经由双路检索融合上下文并由大语言模型生成答案。</w:t>
      </w:r>
    </w:p>
    <w:p w14:paraId="2C685449">
      <w:pPr>
        <w:keepNext w:val="0"/>
        <w:spacing w:before="0" w:after="60" w:line="240" w:lineRule="auto"/>
        <w:ind w:firstLine="420"/>
        <w:jc w:val="both"/>
      </w:pPr>
      <w:r>
        <w:rPr>
          <w:rFonts w:ascii="Times New Roman" w:hAnsi="Times New Roman" w:eastAsia="宋体"/>
          <w:b w:val="0"/>
          <w:sz w:val="21"/>
        </w:rPr>
        <w:t>与现有方法相比，传统RAG仅依赖文本块导致结构关联丢失，Graph-RAG虽保留低阶关系却难以刻画实验条件、指标与机理间的高阶共约束关系，Hyper-ChE将完整实验基本单元（EFU）保留为超边以实现实验上下文的完整建模，其优势体现在三个方面：完整保留EFU上下文信息，支持实体与关系的双路协同检索，并能通过超图上下文扩展为大语言模型提供更丰富的生成依据。</w:t>
      </w:r>
    </w:p>
    <w:p w14:paraId="732E5F1D">
      <w:pPr>
        <w:keepNext w:val="0"/>
        <w:spacing w:before="0" w:after="60" w:line="240" w:lineRule="auto"/>
        <w:ind w:firstLine="420"/>
        <w:jc w:val="both"/>
        <w:rPr>
          <w:rFonts w:ascii="Times New Roman" w:hAnsi="Times New Roman" w:eastAsia="宋体"/>
          <w:b w:val="0"/>
          <w:i w:val="0"/>
          <w:sz w:val="21"/>
        </w:rPr>
      </w:pPr>
    </w:p>
    <w:p w14:paraId="359F2C9F">
      <w:pPr>
        <w:keepNext w:val="0"/>
        <w:spacing w:before="0" w:after="60" w:line="240" w:lineRule="auto"/>
        <w:jc w:val="both"/>
        <w:rPr>
          <w:rFonts w:ascii="Times New Roman" w:hAnsi="Times New Roman" w:eastAsia="宋体"/>
          <w:b w:val="0"/>
          <w:i w:val="0"/>
          <w:sz w:val="21"/>
        </w:rPr>
      </w:pPr>
      <w:r>
        <w:rPr>
          <w:rFonts w:ascii="Times New Roman" w:hAnsi="Times New Roman" w:eastAsia="宋体"/>
          <w:b w:val="0"/>
          <w:i w:val="0"/>
          <w:sz w:val="21"/>
        </w:rPr>
        <w:t>的上下文</w:t>
      </w:r>
      <w:r>
        <w:rPr>
          <w:rFonts w:hint="eastAsia"/>
          <w:b w:val="0"/>
          <w:i w:val="0"/>
          <w:sz w:val="21"/>
          <w:lang w:val="en-US" w:eastAsia="zh-CN"/>
        </w:rPr>
        <w:t>信息</w:t>
      </w:r>
      <w:r>
        <w:rPr>
          <w:rFonts w:ascii="Times New Roman" w:hAnsi="Times New Roman" w:eastAsia="宋体"/>
          <w:b w:val="0"/>
          <w:i w:val="0"/>
          <w:sz w:val="21"/>
        </w:rPr>
        <w:t>。</w:t>
      </w:r>
    </w:p>
    <w:p w14:paraId="45F7CC2C">
      <w:pPr>
        <w:keepNext w:val="0"/>
        <w:spacing w:before="0" w:after="60" w:line="240" w:lineRule="auto"/>
        <w:jc w:val="center"/>
        <w:rPr>
          <w:rFonts w:hint="eastAsia" w:ascii="Times New Roman" w:hAnsi="Times New Roman" w:eastAsia="宋体"/>
          <w:b w:val="0"/>
          <w:i w:val="0"/>
          <w:sz w:val="21"/>
          <w:lang w:eastAsia="zh-CN"/>
        </w:rPr>
      </w:pPr>
    </w:p>
    <w:p>
      <w:pPr>
        <w:jc w:val="center"/>
      </w:pPr>
      <w:r>
        <w:drawing>
          <wp:inline xmlns:a="http://schemas.openxmlformats.org/drawingml/2006/main" xmlns:pic="http://schemas.openxmlformats.org/drawingml/2006/picture">
            <wp:extent cx="5303520" cy="3805546"/>
            <wp:docPr id="1" name="Picture 1"/>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5303520" cy="3805546"/>
                    </a:xfrm>
                    <a:prstGeom prst="rect"/>
                  </pic:spPr>
                </pic:pic>
              </a:graphicData>
            </a:graphic>
          </wp:inline>
        </w:drawing>
      </w:r>
    </w:p>
    <w:p>
      <w:pPr>
        <w:jc w:val="center"/>
      </w:pPr>
      <w:r/>
    </w:p>
    <w:p w14:paraId="313555A0">
      <w:pPr>
        <w:keepNext w:val="0"/>
        <w:spacing w:before="120" w:after="120" w:line="240" w:lineRule="auto"/>
        <w:jc w:val="center"/>
      </w:pPr>
      <w:r>
        <w:rPr>
          <w:rFonts w:ascii="Times New Roman" w:hAnsi="Times New Roman" w:eastAsia="宋体"/>
          <w:sz w:val="18"/>
        </w:rPr>
        <w:t>图1  Hyper-ChE领域适配超图增强检索框架：（左）四步流程（文献解析→结构化抽取→超图构建→双路径检索）；（右上）RAG/Graph-RAG/Hyper-ChE方法对比；（右下）Hyper-ChE三大优势</w:t>
      </w:r>
    </w:p>
    <w:p w14:paraId="6A044C15">
      <w:pPr>
        <w:keepNext/>
        <w:spacing w:before="120" w:after="60" w:line="240" w:lineRule="auto"/>
        <w:jc w:val="left"/>
      </w:pPr>
      <w:r>
        <w:rPr>
          <w:rFonts w:ascii="Times New Roman" w:hAnsi="Times New Roman" w:eastAsia="黑体"/>
          <w:b/>
          <w:i w:val="0"/>
          <w:sz w:val="21"/>
        </w:rPr>
        <w:t>1.3 化工领域结构化抽取设计</w:t>
      </w:r>
    </w:p>
    <w:p w14:paraId="15BD97EB">
      <w:pPr>
        <w:keepNext w:val="0"/>
        <w:spacing w:before="0" w:after="60" w:line="240" w:lineRule="auto"/>
        <w:ind w:firstLine="420"/>
        <w:jc w:val="both"/>
      </w:pPr>
      <w:r>
        <w:rPr>
          <w:rFonts w:ascii="Times New Roman" w:hAnsi="Times New Roman" w:eastAsia="宋体"/>
          <w:b w:val="0"/>
          <w:i w:val="0"/>
          <w:sz w:val="21"/>
        </w:rPr>
        <w:t>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14:paraId="3430EA96">
      <w:pPr>
        <w:keepNext w:val="0"/>
        <w:spacing w:before="0" w:after="60" w:line="240" w:lineRule="auto"/>
        <w:ind w:firstLine="420"/>
        <w:jc w:val="both"/>
      </w:pPr>
      <w:r>
        <w:rPr>
          <w:rFonts w:ascii="Times New Roman" w:hAnsi="Times New Roman" w:eastAsia="宋体"/>
          <w:b w:val="0"/>
          <w:i w:val="0"/>
          <w:sz w:val="21"/>
        </w:rPr>
        <w:t>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活性物质）用于表示电解液中的氧化还原活性物质，CONDITION（操作条件）用于表示电流密度、温度、流速等实验工况，METRIC（性能指标）用于表示能量效率、容量保持率、功率密度等评价指标。通过这种领域化实体类型设计，可以使抽取结果更贴近化工研究者实际关注的知识单元。</w:t>
      </w:r>
    </w:p>
    <w:p w14:paraId="261AF4B6">
      <w:pPr>
        <w:keepNext w:val="0"/>
        <w:spacing w:before="120" w:after="60" w:line="240" w:lineRule="auto"/>
        <w:jc w:val="center"/>
      </w:pPr>
      <w:r>
        <w:rPr>
          <w:rFonts w:ascii="Times New Roman" w:hAnsi="Times New Roman" w:eastAsia="宋体"/>
          <w:b w:val="0"/>
          <w:i w:val="0"/>
          <w:sz w:val="18"/>
        </w:rPr>
        <w:t>表1 液流电池领域实体类型体系</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814"/>
        <w:gridCol w:w="1190"/>
        <w:gridCol w:w="4422"/>
      </w:tblGrid>
      <w:tr w14:paraId="77FBD2F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Borders>
              <w:bottom w:val="single" w:color="000000" w:sz="8" w:space="0"/>
            </w:tcBorders>
            <w:shd w:val="clear" w:color="auto" w:fill="EDEDED"/>
            <w:tcMar>
              <w:top w:w="80" w:type="dxa"/>
              <w:left w:w="80" w:type="dxa"/>
              <w:bottom w:w="80" w:type="dxa"/>
              <w:right w:w="80" w:type="dxa"/>
            </w:tcMar>
            <w:vAlign w:val="center"/>
          </w:tcPr>
          <w:p w14:paraId="68E385B6">
            <w:pPr>
              <w:jc w:val="center"/>
            </w:pPr>
            <w:r>
              <w:rPr>
                <w:rFonts w:ascii="Times New Roman" w:hAnsi="Times New Roman" w:eastAsia="??"/>
                <w:b/>
                <w:i w:val="0"/>
                <w:sz w:val="19"/>
              </w:rPr>
              <w:t>实体类型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4B3FC387">
            <w:pPr>
              <w:jc w:val="center"/>
            </w:pPr>
            <w:r>
              <w:rPr>
                <w:rFonts w:ascii="Times New Roman" w:hAnsi="Times New Roman" w:eastAsia="??"/>
                <w:b/>
                <w:i w:val="0"/>
                <w:sz w:val="19"/>
              </w:rPr>
              <w:t>说明</w:t>
            </w:r>
          </w:p>
        </w:tc>
        <w:tc>
          <w:tcPr>
            <w:tcW w:w="4422" w:type="dxa"/>
            <w:tcBorders>
              <w:bottom w:val="single" w:color="000000" w:sz="8" w:space="0"/>
            </w:tcBorders>
            <w:shd w:val="clear" w:color="auto" w:fill="EDEDED"/>
            <w:tcMar>
              <w:top w:w="80" w:type="dxa"/>
              <w:left w:w="80" w:type="dxa"/>
              <w:bottom w:w="80" w:type="dxa"/>
              <w:right w:w="80" w:type="dxa"/>
            </w:tcMar>
            <w:vAlign w:val="center"/>
          </w:tcPr>
          <w:p w14:paraId="00B3C577">
            <w:pPr>
              <w:jc w:val="center"/>
            </w:pPr>
            <w:r>
              <w:rPr>
                <w:rFonts w:ascii="Times New Roman" w:hAnsi="Times New Roman" w:eastAsia="??"/>
                <w:b/>
                <w:i w:val="0"/>
                <w:sz w:val="19"/>
              </w:rPr>
              <w:t>描述</w:t>
            </w:r>
          </w:p>
        </w:tc>
      </w:tr>
      <w:tr w14:paraId="779DDE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47D3E0">
            <w:pPr>
              <w:jc w:val="center"/>
            </w:pPr>
            <w:r>
              <w:rPr>
                <w:rFonts w:ascii="Times New Roman" w:hAnsi="Times New Roman" w:eastAsia="??"/>
                <w:b w:val="0"/>
                <w:i w:val="0"/>
                <w:sz w:val="18"/>
              </w:rPr>
              <w:t>ACTIVE_SPECIES</w:t>
            </w:r>
          </w:p>
        </w:tc>
        <w:tc>
          <w:tcPr>
            <w:tcW w:w="1190" w:type="dxa"/>
            <w:tcMar>
              <w:top w:w="80" w:type="dxa"/>
              <w:left w:w="80" w:type="dxa"/>
              <w:bottom w:w="80" w:type="dxa"/>
              <w:right w:w="80" w:type="dxa"/>
            </w:tcMar>
            <w:vAlign w:val="center"/>
          </w:tcPr>
          <w:p w14:paraId="373B3910">
            <w:pPr>
              <w:jc w:val="center"/>
            </w:pPr>
            <w:r>
              <w:rPr>
                <w:rFonts w:ascii="Times New Roman" w:hAnsi="Times New Roman" w:eastAsia="??"/>
                <w:b w:val="0"/>
                <w:i w:val="0"/>
                <w:sz w:val="18"/>
              </w:rPr>
              <w:t>活性物质</w:t>
            </w:r>
          </w:p>
        </w:tc>
        <w:tc>
          <w:tcPr>
            <w:tcW w:w="4422" w:type="dxa"/>
            <w:tcMar>
              <w:top w:w="80" w:type="dxa"/>
              <w:left w:w="80" w:type="dxa"/>
              <w:bottom w:w="80" w:type="dxa"/>
              <w:right w:w="80" w:type="dxa"/>
            </w:tcMar>
            <w:vAlign w:val="center"/>
          </w:tcPr>
          <w:p w14:paraId="27215E12">
            <w:pPr>
              <w:jc w:val="left"/>
            </w:pPr>
            <w:r>
              <w:rPr>
                <w:rFonts w:ascii="Times New Roman" w:hAnsi="Times New Roman" w:eastAsia="??"/>
                <w:b w:val="0"/>
                <w:i w:val="0"/>
                <w:sz w:val="18"/>
              </w:rPr>
              <w:t>电解液中的氧化还原活性物质，如全钒液流电池中的V²⁺/V³⁺电对</w:t>
            </w:r>
          </w:p>
        </w:tc>
      </w:tr>
      <w:tr w14:paraId="119F3CB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9786F06">
            <w:pPr>
              <w:jc w:val="center"/>
            </w:pPr>
            <w:r>
              <w:rPr>
                <w:rFonts w:ascii="Times New Roman" w:hAnsi="Times New Roman" w:eastAsia="??"/>
                <w:b w:val="0"/>
                <w:i w:val="0"/>
                <w:sz w:val="18"/>
              </w:rPr>
              <w:t>METRIC</w:t>
            </w:r>
          </w:p>
        </w:tc>
        <w:tc>
          <w:tcPr>
            <w:tcW w:w="1190" w:type="dxa"/>
            <w:tcMar>
              <w:top w:w="80" w:type="dxa"/>
              <w:left w:w="80" w:type="dxa"/>
              <w:bottom w:w="80" w:type="dxa"/>
              <w:right w:w="80" w:type="dxa"/>
            </w:tcMar>
            <w:vAlign w:val="center"/>
          </w:tcPr>
          <w:p w14:paraId="769CB1D0">
            <w:pPr>
              <w:jc w:val="center"/>
            </w:pPr>
            <w:r>
              <w:rPr>
                <w:rFonts w:ascii="Times New Roman" w:hAnsi="Times New Roman" w:eastAsia="??"/>
                <w:b w:val="0"/>
                <w:i w:val="0"/>
                <w:sz w:val="18"/>
              </w:rPr>
              <w:t>性能指标</w:t>
            </w:r>
          </w:p>
        </w:tc>
        <w:tc>
          <w:tcPr>
            <w:tcW w:w="4422" w:type="dxa"/>
            <w:tcMar>
              <w:top w:w="80" w:type="dxa"/>
              <w:left w:w="80" w:type="dxa"/>
              <w:bottom w:w="80" w:type="dxa"/>
              <w:right w:w="80" w:type="dxa"/>
            </w:tcMar>
            <w:vAlign w:val="center"/>
          </w:tcPr>
          <w:p w14:paraId="4A2FB81D">
            <w:pPr>
              <w:jc w:val="left"/>
            </w:pPr>
            <w:r>
              <w:rPr>
                <w:rFonts w:ascii="Times New Roman" w:hAnsi="Times New Roman" w:eastAsia="??"/>
                <w:b w:val="0"/>
                <w:i w:val="0"/>
                <w:sz w:val="18"/>
              </w:rPr>
              <w:t>量化评价指标，如能量效率、电压效率、容量衰减率、循环寿命等</w:t>
            </w:r>
          </w:p>
        </w:tc>
      </w:tr>
      <w:tr w14:paraId="7AC3F5E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E6DFD15">
            <w:pPr>
              <w:jc w:val="center"/>
            </w:pPr>
            <w:r>
              <w:rPr>
                <w:rFonts w:ascii="Times New Roman" w:hAnsi="Times New Roman" w:eastAsia="??"/>
                <w:b w:val="0"/>
                <w:i w:val="0"/>
                <w:sz w:val="18"/>
              </w:rPr>
              <w:t>CONDITION</w:t>
            </w:r>
          </w:p>
        </w:tc>
        <w:tc>
          <w:tcPr>
            <w:tcW w:w="1190" w:type="dxa"/>
            <w:tcMar>
              <w:top w:w="80" w:type="dxa"/>
              <w:left w:w="80" w:type="dxa"/>
              <w:bottom w:w="80" w:type="dxa"/>
              <w:right w:w="80" w:type="dxa"/>
            </w:tcMar>
            <w:vAlign w:val="center"/>
          </w:tcPr>
          <w:p w14:paraId="2C4EA63E">
            <w:pPr>
              <w:jc w:val="center"/>
            </w:pPr>
            <w:r>
              <w:rPr>
                <w:rFonts w:ascii="Times New Roman" w:hAnsi="Times New Roman" w:eastAsia="??"/>
                <w:b w:val="0"/>
                <w:i w:val="0"/>
                <w:sz w:val="18"/>
              </w:rPr>
              <w:t>操作条件</w:t>
            </w:r>
          </w:p>
        </w:tc>
        <w:tc>
          <w:tcPr>
            <w:tcW w:w="4422" w:type="dxa"/>
            <w:tcMar>
              <w:top w:w="80" w:type="dxa"/>
              <w:left w:w="80" w:type="dxa"/>
              <w:bottom w:w="80" w:type="dxa"/>
              <w:right w:w="80" w:type="dxa"/>
            </w:tcMar>
            <w:vAlign w:val="center"/>
          </w:tcPr>
          <w:p w14:paraId="5589C60D">
            <w:pPr>
              <w:jc w:val="left"/>
            </w:pPr>
            <w:r>
              <w:rPr>
                <w:rFonts w:ascii="Times New Roman" w:hAnsi="Times New Roman" w:eastAsia="??"/>
                <w:b w:val="0"/>
                <w:i w:val="0"/>
                <w:sz w:val="18"/>
              </w:rPr>
              <w:t>实验工况参数，如温度、电流密度、流速、充放电制度等</w:t>
            </w:r>
          </w:p>
        </w:tc>
      </w:tr>
      <w:tr w14:paraId="6DD69F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ADDB9E">
            <w:pPr>
              <w:jc w:val="center"/>
            </w:pPr>
            <w:r>
              <w:rPr>
                <w:rFonts w:ascii="Times New Roman" w:hAnsi="Times New Roman" w:eastAsia="??"/>
                <w:b w:val="0"/>
                <w:i w:val="0"/>
                <w:sz w:val="18"/>
              </w:rPr>
              <w:t>SYSTEM</w:t>
            </w:r>
          </w:p>
        </w:tc>
        <w:tc>
          <w:tcPr>
            <w:tcW w:w="1190" w:type="dxa"/>
            <w:tcMar>
              <w:top w:w="80" w:type="dxa"/>
              <w:left w:w="80" w:type="dxa"/>
              <w:bottom w:w="80" w:type="dxa"/>
              <w:right w:w="80" w:type="dxa"/>
            </w:tcMar>
            <w:vAlign w:val="center"/>
          </w:tcPr>
          <w:p w14:paraId="4C3D704E">
            <w:pPr>
              <w:jc w:val="center"/>
            </w:pPr>
            <w:r>
              <w:rPr>
                <w:rFonts w:ascii="Times New Roman" w:hAnsi="Times New Roman" w:eastAsia="??"/>
                <w:b w:val="0"/>
                <w:i w:val="0"/>
                <w:sz w:val="18"/>
              </w:rPr>
              <w:t>系统类型</w:t>
            </w:r>
          </w:p>
        </w:tc>
        <w:tc>
          <w:tcPr>
            <w:tcW w:w="4422" w:type="dxa"/>
            <w:tcMar>
              <w:top w:w="80" w:type="dxa"/>
              <w:left w:w="80" w:type="dxa"/>
              <w:bottom w:w="80" w:type="dxa"/>
              <w:right w:w="80" w:type="dxa"/>
            </w:tcMar>
            <w:vAlign w:val="center"/>
          </w:tcPr>
          <w:p w14:paraId="7AC41B32">
            <w:pPr>
              <w:jc w:val="left"/>
            </w:pPr>
            <w:r>
              <w:rPr>
                <w:rFonts w:ascii="Times New Roman" w:hAnsi="Times New Roman" w:eastAsia="??"/>
                <w:b w:val="0"/>
                <w:i w:val="0"/>
                <w:sz w:val="18"/>
              </w:rPr>
              <w:t>液流电池系统构型，如全钒液流电池、锌溴液流电池等</w:t>
            </w:r>
          </w:p>
        </w:tc>
      </w:tr>
      <w:tr w14:paraId="3551C38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A129BE6">
            <w:pPr>
              <w:jc w:val="center"/>
            </w:pPr>
            <w:r>
              <w:rPr>
                <w:rFonts w:ascii="Times New Roman" w:hAnsi="Times New Roman" w:eastAsia="??"/>
                <w:b w:val="0"/>
                <w:i w:val="0"/>
                <w:sz w:val="18"/>
              </w:rPr>
              <w:t>ELECTRODE</w:t>
            </w:r>
          </w:p>
        </w:tc>
        <w:tc>
          <w:tcPr>
            <w:tcW w:w="1190" w:type="dxa"/>
            <w:tcMar>
              <w:top w:w="80" w:type="dxa"/>
              <w:left w:w="80" w:type="dxa"/>
              <w:bottom w:w="80" w:type="dxa"/>
              <w:right w:w="80" w:type="dxa"/>
            </w:tcMar>
            <w:vAlign w:val="center"/>
          </w:tcPr>
          <w:p w14:paraId="6761A72D">
            <w:pPr>
              <w:jc w:val="center"/>
            </w:pPr>
            <w:r>
              <w:rPr>
                <w:rFonts w:ascii="Times New Roman" w:hAnsi="Times New Roman" w:eastAsia="??"/>
                <w:b w:val="0"/>
                <w:i w:val="0"/>
                <w:sz w:val="18"/>
              </w:rPr>
              <w:t>电极材料</w:t>
            </w:r>
          </w:p>
        </w:tc>
        <w:tc>
          <w:tcPr>
            <w:tcW w:w="4422" w:type="dxa"/>
            <w:tcMar>
              <w:top w:w="80" w:type="dxa"/>
              <w:left w:w="80" w:type="dxa"/>
              <w:bottom w:w="80" w:type="dxa"/>
              <w:right w:w="80" w:type="dxa"/>
            </w:tcMar>
            <w:vAlign w:val="center"/>
          </w:tcPr>
          <w:p w14:paraId="1BC4BDE0">
            <w:pPr>
              <w:jc w:val="left"/>
            </w:pPr>
            <w:r>
              <w:rPr>
                <w:rFonts w:ascii="Times New Roman" w:hAnsi="Times New Roman" w:eastAsia="??"/>
                <w:b w:val="0"/>
                <w:i w:val="0"/>
                <w:sz w:val="18"/>
              </w:rPr>
              <w:t>电极基体材料及改性，如石墨毡、碳毡、氮掺杂电极等</w:t>
            </w:r>
          </w:p>
        </w:tc>
      </w:tr>
      <w:tr w14:paraId="0022E70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B1F6EAA">
            <w:pPr>
              <w:jc w:val="center"/>
            </w:pPr>
            <w:r>
              <w:rPr>
                <w:rFonts w:ascii="Times New Roman" w:hAnsi="Times New Roman" w:eastAsia="??"/>
                <w:b w:val="0"/>
                <w:i w:val="0"/>
                <w:sz w:val="18"/>
              </w:rPr>
              <w:t>DEGRADATION</w:t>
            </w:r>
          </w:p>
        </w:tc>
        <w:tc>
          <w:tcPr>
            <w:tcW w:w="1190" w:type="dxa"/>
            <w:tcMar>
              <w:top w:w="80" w:type="dxa"/>
              <w:left w:w="80" w:type="dxa"/>
              <w:bottom w:w="80" w:type="dxa"/>
              <w:right w:w="80" w:type="dxa"/>
            </w:tcMar>
            <w:vAlign w:val="center"/>
          </w:tcPr>
          <w:p w14:paraId="3DEF6363">
            <w:pPr>
              <w:jc w:val="center"/>
            </w:pPr>
            <w:r>
              <w:rPr>
                <w:rFonts w:ascii="Times New Roman" w:hAnsi="Times New Roman" w:eastAsia="??"/>
                <w:b w:val="0"/>
                <w:i w:val="0"/>
                <w:sz w:val="18"/>
              </w:rPr>
              <w:t>降解机制</w:t>
            </w:r>
          </w:p>
        </w:tc>
        <w:tc>
          <w:tcPr>
            <w:tcW w:w="4422" w:type="dxa"/>
            <w:tcMar>
              <w:top w:w="80" w:type="dxa"/>
              <w:left w:w="80" w:type="dxa"/>
              <w:bottom w:w="80" w:type="dxa"/>
              <w:right w:w="80" w:type="dxa"/>
            </w:tcMar>
            <w:vAlign w:val="center"/>
          </w:tcPr>
          <w:p w14:paraId="62578494">
            <w:pPr>
              <w:jc w:val="left"/>
            </w:pPr>
            <w:r>
              <w:rPr>
                <w:rFonts w:ascii="Times New Roman" w:hAnsi="Times New Roman" w:eastAsia="??"/>
                <w:b w:val="0"/>
                <w:i w:val="0"/>
                <w:sz w:val="18"/>
              </w:rPr>
              <w:t>性能衰减机理类型，如活性物质交叉污染、电极氧化降解等</w:t>
            </w:r>
          </w:p>
        </w:tc>
      </w:tr>
      <w:tr w14:paraId="2EECDFE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79E0AD4">
            <w:pPr>
              <w:jc w:val="center"/>
            </w:pPr>
            <w:r>
              <w:rPr>
                <w:rFonts w:ascii="Times New Roman" w:hAnsi="Times New Roman" w:eastAsia="??"/>
                <w:b w:val="0"/>
                <w:i w:val="0"/>
                <w:sz w:val="18"/>
              </w:rPr>
              <w:t>MEMBRANE</w:t>
            </w:r>
          </w:p>
        </w:tc>
        <w:tc>
          <w:tcPr>
            <w:tcW w:w="1190" w:type="dxa"/>
            <w:tcMar>
              <w:top w:w="80" w:type="dxa"/>
              <w:left w:w="80" w:type="dxa"/>
              <w:bottom w:w="80" w:type="dxa"/>
              <w:right w:w="80" w:type="dxa"/>
            </w:tcMar>
            <w:vAlign w:val="center"/>
          </w:tcPr>
          <w:p w14:paraId="3F6B1FE4">
            <w:pPr>
              <w:jc w:val="center"/>
            </w:pPr>
            <w:r>
              <w:rPr>
                <w:rFonts w:ascii="Times New Roman" w:hAnsi="Times New Roman" w:eastAsia="??"/>
                <w:b w:val="0"/>
                <w:i w:val="0"/>
                <w:sz w:val="18"/>
              </w:rPr>
              <w:t>膜材料</w:t>
            </w:r>
          </w:p>
        </w:tc>
        <w:tc>
          <w:tcPr>
            <w:tcW w:w="4422" w:type="dxa"/>
            <w:tcMar>
              <w:top w:w="80" w:type="dxa"/>
              <w:left w:w="80" w:type="dxa"/>
              <w:bottom w:w="80" w:type="dxa"/>
              <w:right w:w="80" w:type="dxa"/>
            </w:tcMar>
            <w:vAlign w:val="center"/>
          </w:tcPr>
          <w:p w14:paraId="32F3E344">
            <w:pPr>
              <w:jc w:val="left"/>
            </w:pPr>
            <w:r>
              <w:rPr>
                <w:rFonts w:ascii="Times New Roman" w:hAnsi="Times New Roman" w:eastAsia="??"/>
                <w:b w:val="0"/>
                <w:i w:val="0"/>
                <w:sz w:val="18"/>
              </w:rPr>
              <w:t>离子交换膜及多孔膜，如Nafion膜、多孔离子传导膜等</w:t>
            </w:r>
          </w:p>
        </w:tc>
      </w:tr>
    </w:tbl>
    <w:p w14:paraId="1338727F"/>
    <w:p w14:paraId="6DCD3755">
      <w:pPr>
        <w:keepNext w:val="0"/>
        <w:spacing w:before="0" w:after="60" w:line="240" w:lineRule="auto"/>
        <w:ind w:firstLine="420"/>
        <w:jc w:val="both"/>
      </w:pPr>
      <w:r>
        <w:rPr>
          <w:rFonts w:ascii="Times New Roman" w:hAnsi="Times New Roman" w:eastAsia="宋体"/>
          <w:b w:val="0"/>
          <w:i w:val="0"/>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r>
    </w:p>
    <w:p w14:paraId="3F9ECF70">
      <w:pPr>
        <w:keepNext w:val="0"/>
        <w:spacing w:before="0" w:after="60" w:line="240" w:lineRule="auto"/>
        <w:ind w:firstLine="420"/>
        <w:jc w:val="both"/>
      </w:pPr>
      <w:r>
        <w:rPr>
          <w:rFonts w:ascii="Times New Roman" w:hAnsi="Times New Roman" w:eastAsia="宋体"/>
          <w:b w:val="0"/>
          <w:i w:val="0"/>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r>
    </w:p>
    <w:p w14:paraId="311A52B6">
      <w:pPr>
        <w:keepNext w:val="0"/>
        <w:spacing w:before="0" w:after="60" w:line="240" w:lineRule="auto"/>
        <w:ind w:firstLine="420"/>
        <w:jc w:val="both"/>
      </w:pPr>
      <w:r>
        <w:rPr>
          <w:rFonts w:ascii="Times New Roman" w:hAnsi="Times New Roman" w:eastAsia="宋体"/>
          <w:b w:val="0"/>
          <w:i w:val="0"/>
          <w:sz w:val="21"/>
        </w:rPr>
        <w:t>（2）COMPOSITION（组成关系）：用于描述材料、组件或体系的组成结构。例如，膜材料的基体、改性基团、掺杂组分和离子交换容量可以共同构成一条COMPOSITION超边，用于表示材料设计方案。</w:t>
      </w:r>
    </w:p>
    <w:p w14:paraId="7530FBC9">
      <w:pPr>
        <w:keepNext w:val="0"/>
        <w:spacing w:before="0" w:after="60" w:line="240" w:lineRule="auto"/>
        <w:ind w:firstLine="420"/>
        <w:jc w:val="both"/>
      </w:pPr>
      <w:r>
        <w:rPr>
          <w:rFonts w:ascii="Times New Roman" w:hAnsi="Times New Roman" w:eastAsia="宋体"/>
          <w:b w:val="0"/>
          <w:i w:val="0"/>
          <w:sz w:val="21"/>
        </w:rPr>
        <w:t>（3）DEGRADATION（衰减关系）：用于描述性能衰减或失效过程中的条件、机制和结果。例如，高温、活性物质交叉迁移、副反应和容量衰减可以被组织为一条DEGRADATION超边，用于表示从条件到机制再到性能变化的链式关系。</w:t>
      </w:r>
    </w:p>
    <w:p w14:paraId="48516343">
      <w:pPr>
        <w:keepNext w:val="0"/>
        <w:spacing w:before="0" w:after="60" w:line="240" w:lineRule="auto"/>
        <w:ind w:firstLine="420"/>
        <w:jc w:val="both"/>
      </w:pPr>
      <w:r>
        <w:rPr>
          <w:rFonts w:ascii="Times New Roman" w:hAnsi="Times New Roman" w:eastAsia="宋体"/>
          <w:b w:val="0"/>
          <w:i w:val="0"/>
          <w:sz w:val="21"/>
        </w:rPr>
        <w:t>（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14:paraId="77D74055">
      <w:pPr>
        <w:keepNext w:val="0"/>
        <w:spacing w:before="0" w:after="60" w:line="240" w:lineRule="auto"/>
        <w:ind w:firstLine="420"/>
        <w:jc w:val="both"/>
      </w:pPr>
      <w:r>
        <w:rPr>
          <w:rFonts w:ascii="Times New Roman" w:hAnsi="Times New Roman" w:eastAsia="宋体"/>
          <w:b w:val="0"/>
          <w:i w:val="0"/>
          <w:sz w:val="21"/>
        </w:rPr>
        <w:t>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14:paraId="6BD0C934">
      <w:pPr>
        <w:keepNext w:val="0"/>
        <w:spacing w:before="0" w:after="60" w:line="240" w:lineRule="auto"/>
        <w:ind w:firstLine="420"/>
        <w:jc w:val="both"/>
      </w:pPr>
      <w:r>
        <w:rPr>
          <w:rFonts w:ascii="Times New Roman" w:hAnsi="Times New Roman" w:eastAsia="宋体"/>
          <w:b w:val="0"/>
          <w:i w:val="0"/>
          <w:sz w:val="21"/>
        </w:rPr>
        <w:t>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w:t>
      </w:r>
      <w:r>
        <w:rPr>
          <w:rFonts w:hint="eastAsia"/>
          <w:b w:val="0"/>
          <w:i w:val="0"/>
          <w:sz w:val="21"/>
          <w:lang w:val="en-US" w:eastAsia="zh-CN"/>
        </w:rPr>
        <w:t>关系类型调整为</w:t>
      </w:r>
      <w:r>
        <w:rPr>
          <w:rFonts w:ascii="Times New Roman" w:hAnsi="Times New Roman" w:eastAsia="宋体"/>
          <w:b w:val="0"/>
          <w:i w:val="0"/>
          <w:sz w:val="21"/>
        </w:rPr>
        <w:t>OPERATION_PERFORMANCE、MECHANISM_PATHWAY、ADSORPTION_ORIENTATION等。由此，本文方法能够在保持统一超图建模框架的同时，适配不同化工领域的知识结构特征。</w:t>
      </w:r>
    </w:p>
    <w:p w14:paraId="016D16C7">
      <w:pPr>
        <w:keepNext/>
        <w:spacing w:before="240" w:after="240" w:line="240" w:lineRule="auto"/>
        <w:jc w:val="left"/>
      </w:pPr>
      <w:r>
        <w:rPr>
          <w:rFonts w:ascii="Times New Roman" w:hAnsi="Times New Roman" w:eastAsia="黑体"/>
          <w:b/>
          <w:i w:val="0"/>
          <w:sz w:val="28"/>
        </w:rPr>
        <w:t>2 案例一：液流电池文献知识建模与检索分析</w:t>
      </w:r>
    </w:p>
    <w:p w14:paraId="4841A43A">
      <w:pPr>
        <w:keepNext/>
        <w:spacing w:before="120" w:after="60" w:line="240" w:lineRule="auto"/>
        <w:jc w:val="left"/>
      </w:pPr>
      <w:r>
        <w:rPr>
          <w:rFonts w:ascii="Times New Roman" w:hAnsi="Times New Roman" w:eastAsia="黑体"/>
          <w:b/>
          <w:i w:val="0"/>
          <w:sz w:val="21"/>
        </w:rPr>
        <w:t>2.1 数据来源与领域特点</w:t>
      </w:r>
    </w:p>
    <w:p w14:paraId="67B9C710">
      <w:pPr>
        <w:keepNext w:val="0"/>
        <w:spacing w:before="0" w:after="60" w:line="240" w:lineRule="auto"/>
        <w:ind w:firstLine="420"/>
        <w:jc w:val="both"/>
      </w:pPr>
      <w:r>
        <w:rPr>
          <w:rFonts w:ascii="Times New Roman" w:hAnsi="Times New Roman" w:eastAsia="宋体"/>
          <w:b w:val="0"/>
          <w:i w:val="0"/>
          <w:sz w:val="21"/>
        </w:rPr>
        <w:t>以液流电池（Redox Flow Battery, RFB）为应用背景，构建包含多体系、多维度的专业知识库。实验语料库来源于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全钒液流电池（VRFB）、铁铬液流电池（ICRFB）、锌基液流电池、可溶铅酸液流电池、有机液流电池及多硫化物-溴液流电池等主流技术路线。经文本预处理后，共提取664个文本块作为知识抽取的基本单元。</w:t>
      </w:r>
    </w:p>
    <w:p w14:paraId="222AA0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液流电池实验知识具有强多变量耦合特征。如图2a所示，知识图谱围绕电池实验单元组织，涵盖系统、活性物种、膜、电极、实验条件、性能指标与降解机制7类核心实体。针对这一领域结构，抽取方案以领域本体为中介，将文本片段映射为包含实体类型、关系及超边类型的结构化输出，形成超图EFU（图2b）。</w:t>
      </w:r>
    </w:p>
    <w:p>
      <w:pPr>
        <w:jc w:val="center"/>
      </w:pPr>
      <w:r>
        <w:drawing>
          <wp:inline xmlns:a="http://schemas.openxmlformats.org/drawingml/2006/main" xmlns:pic="http://schemas.openxmlformats.org/drawingml/2006/picture">
            <wp:extent cx="5303520" cy="3367839"/>
            <wp:docPr id="2" name="Picture 2"/>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303520" cy="3367839"/>
                    </a:xfrm>
                    <a:prstGeom prst="rect"/>
                  </pic:spPr>
                </pic:pic>
              </a:graphicData>
            </a:graphic>
          </wp:inline>
        </w:drawing>
      </w:r>
    </w:p>
    <w:p w14:paraId="744C7192">
      <w:pPr>
        <w:keepNext w:val="0"/>
        <w:spacing w:before="0" w:after="60" w:line="240" w:lineRule="auto"/>
        <w:ind w:firstLine="420"/>
        <w:jc w:val="both"/>
        <w:rPr>
          <w:rFonts w:hint="eastAsia" w:ascii="Times New Roman" w:hAnsi="Times New Roman" w:eastAsia="宋体"/>
          <w:b w:val="0"/>
          <w:i w:val="0"/>
          <w:sz w:val="21"/>
          <w:lang w:eastAsia="zh-CN"/>
        </w:rPr>
      </w:pPr>
      <w:r>
        <w:rPr>
          <w:rFonts w:ascii="Times New Roman" w:hAnsi="Times New Roman" w:eastAsia="宋体"/>
          <w:b w:val="0"/>
          <w:sz w:val="21"/>
        </w:rPr>
        <w:t>基于上述流程处理50篇文献，得到664个文本块、9970个实体节点和12987条关系/超边，其中高阶结构占20.9%，超边最大阶数为20（图2c）。检索实验中，Hyper-ChE在12个问题上平均召回约103条相关超边，Graph-RAG仅约46条边（图2d），表明超图结构在覆盖复杂领域关联时具有明显优势。</w:t>
      </w:r>
    </w:p>
    <w:p w14:paraId="40F9B238">
      <w:pPr>
        <w:keepNext w:val="0"/>
        <w:spacing w:before="120" w:after="60" w:line="240" w:lineRule="auto"/>
        <w:jc w:val="center"/>
        <w:rPr>
          <w:rFonts w:ascii="Times New Roman" w:hAnsi="Times New Roman" w:eastAsia="宋体"/>
          <w:b w:val="0"/>
          <w:i w:val="0"/>
          <w:sz w:val="18"/>
        </w:rPr>
      </w:pPr>
    </w:p>
    <w:p w14:paraId="47002EFC">
      <w:pPr>
        <w:keepNext w:val="0"/>
        <w:spacing w:before="120" w:after="60" w:line="240" w:lineRule="auto"/>
        <w:jc w:val="center"/>
      </w:pPr>
      <w:r>
        <w:rPr>
          <w:rFonts w:ascii="Times New Roman" w:hAnsi="Times New Roman" w:eastAsia="宋体"/>
          <w:sz w:val="18"/>
        </w:rPr>
        <w:t>图2  液流电池案例：（a）实验知识图谱（7实体类型）；（b）领域适配结构化抽取方案；（c）知识库统计（50篇/664块/9970实体/12987关系/20.9%高阶）；（d）Q1-Q12检索召回对比</w:t>
      </w:r>
    </w:p>
    <w:p w14:paraId="659249E8">
      <w:pPr>
        <w:keepNext w:val="0"/>
        <w:spacing w:before="120" w:after="60" w:line="240" w:lineRule="auto"/>
        <w:jc w:val="center"/>
      </w:pPr>
      <w:r>
        <w:rPr>
          <w:rFonts w:ascii="Times New Roman" w:hAnsi="Times New Roman" w:eastAsia="宋体"/>
          <w:b w:val="0"/>
          <w:i w:val="0"/>
          <w:sz w:val="18"/>
        </w:rPr>
        <w:t>表2 液流电池知识库构建统计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3989340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6411E16F">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A514C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04939CA2">
            <w:pPr>
              <w:jc w:val="center"/>
            </w:pPr>
            <w:r>
              <w:rPr>
                <w:rFonts w:ascii="Times New Roman" w:hAnsi="Times New Roman" w:eastAsia="??"/>
                <w:b/>
                <w:i w:val="0"/>
                <w:sz w:val="19"/>
              </w:rPr>
              <w:t>说明</w:t>
            </w:r>
          </w:p>
        </w:tc>
      </w:tr>
      <w:tr w14:paraId="268DD1A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19287587">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3959C743">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44ADFBB9">
            <w:pPr>
              <w:jc w:val="left"/>
              <w:rPr>
                <w:rFonts w:hint="eastAsia" w:eastAsia="宋体"/>
                <w:lang w:val="en-US" w:eastAsia="zh-CN"/>
              </w:rPr>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w:t>
            </w:r>
            <w:r>
              <w:rPr>
                <w:rFonts w:hint="eastAsia" w:ascii="Times New Roman" w:hAnsi="Times New Roman" w:eastAsia="??"/>
                <w:b w:val="0"/>
                <w:i w:val="0"/>
                <w:sz w:val="18"/>
                <w:lang w:val="en-US" w:eastAsia="zh-CN"/>
              </w:rPr>
              <w:t>液流电池</w:t>
            </w:r>
            <w:r>
              <w:rPr>
                <w:rFonts w:ascii="Times New Roman" w:hAnsi="Times New Roman" w:eastAsia="??"/>
                <w:b w:val="0"/>
                <w:i w:val="0"/>
                <w:sz w:val="18"/>
              </w:rPr>
              <w:t>领域</w:t>
            </w:r>
            <w:r>
              <w:rPr>
                <w:rFonts w:hint="eastAsia" w:ascii="Times New Roman" w:hAnsi="Times New Roman" w:eastAsia="??"/>
                <w:b w:val="0"/>
                <w:i w:val="0"/>
                <w:sz w:val="18"/>
                <w:lang w:val="en-US" w:eastAsia="zh-CN"/>
              </w:rPr>
              <w:t>文献</w:t>
            </w:r>
          </w:p>
        </w:tc>
      </w:tr>
      <w:tr w14:paraId="36E6D3C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C0B1D0">
            <w:pPr>
              <w:jc w:val="center"/>
            </w:pPr>
            <w:r>
              <w:rPr>
                <w:rFonts w:ascii="Times New Roman" w:hAnsi="Times New Roman" w:eastAsia="??"/>
                <w:b w:val="0"/>
                <w:i w:val="0"/>
                <w:sz w:val="18"/>
              </w:rPr>
              <w:t xml:space="preserve">文本块 </w:t>
            </w:r>
          </w:p>
        </w:tc>
        <w:tc>
          <w:tcPr>
            <w:tcW w:w="1134" w:type="dxa"/>
            <w:tcMar>
              <w:top w:w="80" w:type="dxa"/>
              <w:left w:w="80" w:type="dxa"/>
              <w:bottom w:w="80" w:type="dxa"/>
              <w:right w:w="80" w:type="dxa"/>
            </w:tcMar>
            <w:vAlign w:val="center"/>
          </w:tcPr>
          <w:p w14:paraId="7787F21F">
            <w:pPr>
              <w:jc w:val="center"/>
            </w:pPr>
            <w:r>
              <w:rPr>
                <w:rFonts w:ascii="Times New Roman" w:hAnsi="Times New Roman" w:eastAsia="??"/>
                <w:b w:val="0"/>
                <w:i w:val="0"/>
                <w:sz w:val="18"/>
              </w:rPr>
              <w:t>664</w:t>
            </w:r>
          </w:p>
        </w:tc>
        <w:tc>
          <w:tcPr>
            <w:tcW w:w="4592" w:type="dxa"/>
            <w:tcMar>
              <w:top w:w="80" w:type="dxa"/>
              <w:left w:w="80" w:type="dxa"/>
              <w:bottom w:w="80" w:type="dxa"/>
              <w:right w:w="80" w:type="dxa"/>
            </w:tcMar>
            <w:vAlign w:val="center"/>
          </w:tcPr>
          <w:p w14:paraId="23DD001E">
            <w:pPr>
              <w:jc w:val="left"/>
            </w:pPr>
            <w:r>
              <w:rPr>
                <w:rFonts w:ascii="Times New Roman" w:hAnsi="Times New Roman" w:eastAsia="??"/>
                <w:b w:val="0"/>
                <w:i w:val="0"/>
                <w:sz w:val="18"/>
              </w:rPr>
              <w:t>文献解析与分块后的基本抽取单元</w:t>
            </w:r>
          </w:p>
        </w:tc>
      </w:tr>
      <w:tr w14:paraId="5BB3CC4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4A2D75">
            <w:pPr>
              <w:jc w:val="center"/>
            </w:pPr>
            <w:r>
              <w:rPr>
                <w:rFonts w:ascii="Times New Roman" w:hAnsi="Times New Roman" w:eastAsia="??"/>
                <w:b w:val="0"/>
                <w:i w:val="0"/>
                <w:sz w:val="18"/>
              </w:rPr>
              <w:t xml:space="preserve">实体节点 </w:t>
            </w:r>
          </w:p>
        </w:tc>
        <w:tc>
          <w:tcPr>
            <w:tcW w:w="1134" w:type="dxa"/>
            <w:tcMar>
              <w:top w:w="80" w:type="dxa"/>
              <w:left w:w="80" w:type="dxa"/>
              <w:bottom w:w="80" w:type="dxa"/>
              <w:right w:w="80" w:type="dxa"/>
            </w:tcMar>
            <w:vAlign w:val="center"/>
          </w:tcPr>
          <w:p w14:paraId="012717DC">
            <w:pPr>
              <w:jc w:val="center"/>
            </w:pPr>
            <w:r>
              <w:rPr>
                <w:rFonts w:ascii="Times New Roman" w:hAnsi="Times New Roman" w:eastAsia="??"/>
                <w:b w:val="0"/>
                <w:i w:val="0"/>
                <w:sz w:val="18"/>
              </w:rPr>
              <w:t>9970</w:t>
            </w:r>
          </w:p>
        </w:tc>
        <w:tc>
          <w:tcPr>
            <w:tcW w:w="4592" w:type="dxa"/>
            <w:tcMar>
              <w:top w:w="80" w:type="dxa"/>
              <w:left w:w="80" w:type="dxa"/>
              <w:bottom w:w="80" w:type="dxa"/>
              <w:right w:w="80" w:type="dxa"/>
            </w:tcMar>
            <w:vAlign w:val="center"/>
          </w:tcPr>
          <w:p w14:paraId="09E9EB72">
            <w:pPr>
              <w:jc w:val="left"/>
            </w:pPr>
            <w:r>
              <w:rPr>
                <w:rFonts w:ascii="Times New Roman" w:hAnsi="Times New Roman" w:eastAsia="??"/>
                <w:b w:val="0"/>
                <w:i w:val="0"/>
                <w:sz w:val="18"/>
              </w:rPr>
              <w:t>活性物质、性能指标、条件、体系、电极、膜等</w:t>
            </w:r>
          </w:p>
        </w:tc>
      </w:tr>
      <w:tr w14:paraId="74F5DB1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AF7C9A3">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C12D04B">
            <w:pPr>
              <w:jc w:val="center"/>
            </w:pPr>
            <w:r>
              <w:rPr>
                <w:rFonts w:ascii="Times New Roman" w:hAnsi="Times New Roman" w:eastAsia="??"/>
                <w:b w:val="0"/>
                <w:i w:val="0"/>
                <w:sz w:val="18"/>
              </w:rPr>
              <w:t>12987</w:t>
            </w:r>
          </w:p>
        </w:tc>
        <w:tc>
          <w:tcPr>
            <w:tcW w:w="4592" w:type="dxa"/>
            <w:tcMar>
              <w:top w:w="80" w:type="dxa"/>
              <w:left w:w="80" w:type="dxa"/>
              <w:bottom w:w="80" w:type="dxa"/>
              <w:right w:w="80" w:type="dxa"/>
            </w:tcMar>
            <w:vAlign w:val="center"/>
          </w:tcPr>
          <w:p w14:paraId="0AC44140">
            <w:pPr>
              <w:jc w:val="left"/>
            </w:pPr>
            <w:r>
              <w:rPr>
                <w:rFonts w:ascii="Times New Roman" w:hAnsi="Times New Roman" w:eastAsia="??"/>
                <w:b w:val="0"/>
                <w:i w:val="0"/>
                <w:sz w:val="18"/>
              </w:rPr>
              <w:t>包括低阶关系、高阶超边及少量单节点/自关系</w:t>
            </w:r>
          </w:p>
        </w:tc>
      </w:tr>
      <w:tr w14:paraId="3D74D6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C40DE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238CAE9A">
            <w:pPr>
              <w:jc w:val="center"/>
            </w:pPr>
            <w:r>
              <w:rPr>
                <w:rFonts w:ascii="Times New Roman" w:hAnsi="Times New Roman" w:eastAsia="??"/>
                <w:b w:val="0"/>
                <w:i w:val="0"/>
                <w:sz w:val="18"/>
              </w:rPr>
              <w:t>10262</w:t>
            </w:r>
          </w:p>
        </w:tc>
        <w:tc>
          <w:tcPr>
            <w:tcW w:w="4592" w:type="dxa"/>
            <w:tcMar>
              <w:top w:w="80" w:type="dxa"/>
              <w:left w:w="80" w:type="dxa"/>
              <w:bottom w:w="80" w:type="dxa"/>
              <w:right w:w="80" w:type="dxa"/>
            </w:tcMar>
            <w:vAlign w:val="center"/>
          </w:tcPr>
          <w:p w14:paraId="770A8655">
            <w:pPr>
              <w:jc w:val="left"/>
            </w:pPr>
            <w:r>
              <w:rPr>
                <w:rFonts w:ascii="Times New Roman" w:hAnsi="Times New Roman" w:eastAsia="??"/>
                <w:b w:val="0"/>
                <w:i w:val="0"/>
                <w:sz w:val="18"/>
              </w:rPr>
              <w:t>二元关系，cardinality = 2</w:t>
            </w:r>
          </w:p>
        </w:tc>
      </w:tr>
      <w:tr w14:paraId="4EE046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F35A61D">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7E8D97D7">
            <w:pPr>
              <w:jc w:val="center"/>
            </w:pPr>
            <w:r>
              <w:rPr>
                <w:rFonts w:ascii="Times New Roman" w:hAnsi="Times New Roman" w:eastAsia="??"/>
                <w:b w:val="0"/>
                <w:i w:val="0"/>
                <w:sz w:val="18"/>
              </w:rPr>
              <w:t>2715</w:t>
            </w:r>
          </w:p>
        </w:tc>
        <w:tc>
          <w:tcPr>
            <w:tcW w:w="4592" w:type="dxa"/>
            <w:tcMar>
              <w:top w:w="80" w:type="dxa"/>
              <w:left w:w="80" w:type="dxa"/>
              <w:bottom w:w="80" w:type="dxa"/>
              <w:right w:w="80" w:type="dxa"/>
            </w:tcMar>
            <w:vAlign w:val="center"/>
          </w:tcPr>
          <w:p w14:paraId="7451934C">
            <w:pPr>
              <w:jc w:val="left"/>
            </w:pPr>
            <w:r>
              <w:rPr>
                <w:rFonts w:ascii="Times New Roman" w:hAnsi="Times New Roman" w:eastAsia="??"/>
                <w:b w:val="0"/>
                <w:i w:val="0"/>
                <w:sz w:val="18"/>
              </w:rPr>
              <w:t>三元及以上关系，cardinality ≥ 3</w:t>
            </w:r>
          </w:p>
        </w:tc>
      </w:tr>
    </w:tbl>
    <w:p w14:paraId="24D6D7F3"/>
    <w:p w14:paraId="290CCF9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14:paraId="58022DBB">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需要指出的是，当前</w:t>
      </w:r>
      <w:r>
        <w:rPr>
          <w:rFonts w:hint="eastAsia"/>
          <w:b w:val="0"/>
          <w:i w:val="0"/>
          <w:sz w:val="21"/>
          <w:lang w:val="en-US" w:eastAsia="zh-CN"/>
        </w:rPr>
        <w:t>液流电池</w:t>
      </w:r>
      <w:r>
        <w:rPr>
          <w:rFonts w:ascii="Times New Roman" w:hAnsi="Times New Roman" w:eastAsia="宋体"/>
          <w:b w:val="0"/>
          <w:i w:val="0"/>
          <w:sz w:val="21"/>
        </w:rPr>
        <w:t>案例仅基于已完成嵌入的</w:t>
      </w:r>
      <w:r>
        <w:rPr>
          <w:rFonts w:hint="eastAsia"/>
          <w:b w:val="0"/>
          <w:i w:val="0"/>
          <w:sz w:val="21"/>
          <w:lang w:val="en-US" w:eastAsia="zh-CN"/>
        </w:rPr>
        <w:t>50</w:t>
      </w:r>
      <w:r>
        <w:rPr>
          <w:rFonts w:ascii="Times New Roman" w:hAnsi="Times New Roman" w:eastAsia="宋体"/>
          <w:b w:val="0"/>
          <w:i w:val="0"/>
          <w:sz w:val="21"/>
        </w:rPr>
        <w:t>篇文献。因此，本节不将后续问答结果解释为对</w:t>
      </w:r>
      <w:r>
        <w:rPr>
          <w:rFonts w:hint="eastAsia"/>
          <w:b w:val="0"/>
          <w:i w:val="0"/>
          <w:sz w:val="21"/>
          <w:lang w:val="en-US" w:eastAsia="zh-CN"/>
        </w:rPr>
        <w:t>液流电池</w:t>
      </w:r>
      <w:r>
        <w:rPr>
          <w:rFonts w:ascii="Times New Roman" w:hAnsi="Times New Roman" w:eastAsia="宋体"/>
          <w:b w:val="0"/>
          <w:i w:val="0"/>
          <w:sz w:val="21"/>
        </w:rPr>
        <w:t>领域的全面综述结论，而将其作为知识结构对检索增强效果影响的子集验证。</w:t>
      </w:r>
    </w:p>
    <w:p w14:paraId="438B8B48">
      <w:pPr>
        <w:keepNext w:val="0"/>
        <w:spacing w:before="0" w:after="60" w:line="240" w:lineRule="auto"/>
        <w:ind w:firstLine="420"/>
        <w:jc w:val="both"/>
      </w:pPr>
      <w:r>
        <w:rPr>
          <w:rFonts w:ascii="Times New Roman" w:hAnsi="Times New Roman" w:eastAsia="宋体"/>
          <w:sz w:val="21"/>
        </w:rPr>
        <w:t>为后续对比实验的开展，两套RAG系统共享相同的实体节点集，但关系表示方式存在本质差异：Hyper-ChE保留了一条超边同时关联多个实体的能力，而Graph-RAG将所有关系分解为二元三元组。这一差异将在后续问答实验中导致检索质量分化。</w:t>
      </w:r>
    </w:p>
    <w:p w14:paraId="7503AA75">
      <w:pPr>
        <w:keepNext/>
        <w:spacing w:before="120" w:after="60" w:line="240" w:lineRule="auto"/>
        <w:jc w:val="left"/>
      </w:pPr>
      <w:r>
        <w:rPr>
          <w:rFonts w:ascii="Times New Roman" w:hAnsi="Times New Roman" w:eastAsia="黑体"/>
          <w:b/>
          <w:i w:val="0"/>
          <w:sz w:val="21"/>
        </w:rPr>
        <w:t>2.2 问答检索结果对比分析</w:t>
      </w:r>
    </w:p>
    <w:p w14:paraId="5260A55D">
      <w:pPr>
        <w:keepNext/>
        <w:spacing w:before="120" w:after="60" w:line="240" w:lineRule="auto"/>
        <w:jc w:val="left"/>
      </w:pPr>
      <w:r>
        <w:rPr>
          <w:rFonts w:ascii="Times New Roman" w:hAnsi="Times New Roman" w:eastAsia="楷体"/>
          <w:b w:val="0"/>
          <w:i w:val="0"/>
          <w:sz w:val="21"/>
        </w:rPr>
        <w:t>2.2.1 数量差异概述</w:t>
      </w:r>
    </w:p>
    <w:p w14:paraId="5447F184">
      <w:pPr>
        <w:keepNext w:val="0"/>
        <w:spacing w:before="0" w:after="60" w:line="240" w:lineRule="auto"/>
        <w:ind w:firstLine="420"/>
        <w:jc w:val="both"/>
      </w:pPr>
      <w:r>
        <w:rPr>
          <w:rFonts w:ascii="Times New Roman" w:hAnsi="Times New Roman" w:eastAsia="宋体"/>
          <w:b w:val="0"/>
          <w:sz w:val="21"/>
        </w:rPr>
        <w:t>为系统评估超图结构在专业知识检索中的优势，设计了覆盖6个难度层次的12个代表性问题（编号Q1~Q12），分别使用Hyper-ChE和Graph-RAG进行检索与回答。表3汇总了两套系统在各问题上的召回数量。</w:t>
      </w:r>
    </w:p>
    <w:p w14:paraId="7F6C5223">
      <w:pPr>
        <w:keepNext w:val="0"/>
        <w:spacing w:before="120" w:after="60" w:line="240" w:lineRule="auto"/>
        <w:jc w:val="center"/>
      </w:pPr>
      <w:r>
        <w:rPr>
          <w:rFonts w:ascii="Times New Roman" w:hAnsi="Times New Roman" w:eastAsia="宋体"/>
          <w:sz w:val="19"/>
        </w:rPr>
        <w:t>表3 液流电池案例中Graph-RAG与Hyper-ChE检索数量对比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2EF3F88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5E3D7799">
            <w:pPr>
              <w:jc w:val="center"/>
            </w:pPr>
            <w:r>
              <w:rPr>
                <w:rFonts w:ascii="Times New Roman" w:hAnsi="Times New Roman" w:eastAsia="??"/>
                <w:b/>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1FDC34BF">
            <w:pPr>
              <w:jc w:val="center"/>
            </w:pPr>
            <w:r>
              <w:rPr>
                <w:rFonts w:ascii="Times New Roman" w:hAnsi="Times New Roman" w:eastAsia="??"/>
                <w:b/>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1712FBD7">
            <w:pPr>
              <w:jc w:val="center"/>
            </w:pPr>
            <w:r>
              <w:rPr>
                <w:rFonts w:ascii="Times New Roman" w:hAnsi="Times New Roman" w:eastAsia="??"/>
                <w:b/>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E44CF84">
            <w:pPr>
              <w:jc w:val="center"/>
            </w:pPr>
            <w:r>
              <w:rPr>
                <w:rFonts w:ascii="Times New Roman" w:hAnsi="Times New Roman" w:eastAsia="??"/>
                <w:b/>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B60F68F">
            <w:pPr>
              <w:jc w:val="center"/>
            </w:pPr>
            <w:r>
              <w:rPr>
                <w:rFonts w:ascii="Times New Roman" w:hAnsi="Times New Roman" w:eastAsia="??"/>
                <w:b/>
                <w:sz w:val="19"/>
              </w:rPr>
              <w:t>主要差异</w:t>
            </w:r>
          </w:p>
        </w:tc>
      </w:tr>
      <w:tr w14:paraId="6EC56C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B409836">
            <w:pPr>
              <w:jc w:val="center"/>
            </w:pPr>
            <w:r>
              <w:rPr>
                <w:rFonts w:ascii="Times New Roman" w:hAnsi="Times New Roman" w:eastAsia="??"/>
                <w:b w:val="0"/>
                <w:sz w:val="18"/>
              </w:rPr>
              <w:t>Q1</w:t>
            </w:r>
          </w:p>
        </w:tc>
        <w:tc>
          <w:tcPr>
            <w:tcW w:w="1247" w:type="dxa"/>
            <w:tcMar>
              <w:top w:w="80" w:type="dxa"/>
              <w:left w:w="80" w:type="dxa"/>
              <w:bottom w:w="80" w:type="dxa"/>
              <w:right w:w="80" w:type="dxa"/>
            </w:tcMar>
            <w:vAlign w:val="center"/>
          </w:tcPr>
          <w:p w14:paraId="2EEC21E7">
            <w:pPr>
              <w:jc w:val="center"/>
            </w:pPr>
            <w:r>
              <w:rPr>
                <w:rFonts w:ascii="Times New Roman" w:hAnsi="Times New Roman" w:eastAsia="??"/>
                <w:b w:val="0"/>
                <w:sz w:val="18"/>
              </w:rPr>
              <w:t>语料总览</w:t>
            </w:r>
          </w:p>
        </w:tc>
        <w:tc>
          <w:tcPr>
            <w:tcW w:w="1474" w:type="dxa"/>
            <w:tcMar>
              <w:top w:w="80" w:type="dxa"/>
              <w:left w:w="80" w:type="dxa"/>
              <w:bottom w:w="80" w:type="dxa"/>
              <w:right w:w="80" w:type="dxa"/>
            </w:tcMar>
            <w:vAlign w:val="center"/>
          </w:tcPr>
          <w:p w14:paraId="47CF5DB9">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4228C676">
            <w:pPr>
              <w:jc w:val="center"/>
            </w:pPr>
            <w:r>
              <w:rPr>
                <w:rFonts w:ascii="Times New Roman" w:hAnsi="Times New Roman" w:eastAsia="??"/>
                <w:b w:val="0"/>
                <w:sz w:val="18"/>
              </w:rPr>
              <w:t>50边/1实体</w:t>
            </w:r>
          </w:p>
        </w:tc>
        <w:tc>
          <w:tcPr>
            <w:tcW w:w="2891" w:type="dxa"/>
            <w:tcMar>
              <w:top w:w="80" w:type="dxa"/>
              <w:left w:w="80" w:type="dxa"/>
              <w:bottom w:w="80" w:type="dxa"/>
              <w:right w:w="80" w:type="dxa"/>
            </w:tcMar>
            <w:vAlign w:val="center"/>
          </w:tcPr>
          <w:p w14:paraId="293BB106">
            <w:pPr>
              <w:jc w:val="left"/>
            </w:pPr>
            <w:r>
              <w:rPr>
                <w:rFonts w:ascii="Times New Roman" w:hAnsi="Times New Roman" w:eastAsia="??"/>
                <w:b w:val="0"/>
                <w:sz w:val="18"/>
              </w:rPr>
              <w:t>Hyper-RAG覆盖体系、材料和条件组合更完整</w:t>
            </w:r>
          </w:p>
        </w:tc>
      </w:tr>
      <w:tr w14:paraId="4CFB2A4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F77F562">
            <w:pPr>
              <w:jc w:val="center"/>
            </w:pPr>
            <w:r>
              <w:rPr>
                <w:rFonts w:ascii="Times New Roman" w:hAnsi="Times New Roman" w:eastAsia="??"/>
                <w:b w:val="0"/>
                <w:sz w:val="18"/>
              </w:rPr>
              <w:t>Q2</w:t>
            </w:r>
          </w:p>
        </w:tc>
        <w:tc>
          <w:tcPr>
            <w:tcW w:w="1247" w:type="dxa"/>
            <w:tcMar>
              <w:top w:w="80" w:type="dxa"/>
              <w:left w:w="80" w:type="dxa"/>
              <w:bottom w:w="80" w:type="dxa"/>
              <w:right w:w="80" w:type="dxa"/>
            </w:tcMar>
            <w:vAlign w:val="center"/>
          </w:tcPr>
          <w:p w14:paraId="6AA9541E">
            <w:pPr>
              <w:jc w:val="center"/>
            </w:pPr>
            <w:r>
              <w:rPr>
                <w:rFonts w:ascii="Times New Roman" w:hAnsi="Times New Roman" w:eastAsia="??"/>
                <w:b w:val="0"/>
                <w:sz w:val="18"/>
              </w:rPr>
              <w:t>电极改性</w:t>
            </w:r>
          </w:p>
        </w:tc>
        <w:tc>
          <w:tcPr>
            <w:tcW w:w="1474" w:type="dxa"/>
            <w:tcMar>
              <w:top w:w="80" w:type="dxa"/>
              <w:left w:w="80" w:type="dxa"/>
              <w:bottom w:w="80" w:type="dxa"/>
              <w:right w:w="80" w:type="dxa"/>
            </w:tcMar>
            <w:vAlign w:val="center"/>
          </w:tcPr>
          <w:p w14:paraId="0920A40A">
            <w:pPr>
              <w:jc w:val="center"/>
            </w:pPr>
            <w:r>
              <w:rPr>
                <w:rFonts w:ascii="Times New Roman" w:hAnsi="Times New Roman" w:eastAsia="??"/>
                <w:b w:val="0"/>
                <w:sz w:val="18"/>
              </w:rPr>
              <w:t>100超边/60实体</w:t>
            </w:r>
          </w:p>
        </w:tc>
        <w:tc>
          <w:tcPr>
            <w:tcW w:w="1304" w:type="dxa"/>
            <w:tcMar>
              <w:top w:w="80" w:type="dxa"/>
              <w:left w:w="80" w:type="dxa"/>
              <w:bottom w:w="80" w:type="dxa"/>
              <w:right w:w="80" w:type="dxa"/>
            </w:tcMar>
            <w:vAlign w:val="center"/>
          </w:tcPr>
          <w:p w14:paraId="736854D6">
            <w:pPr>
              <w:jc w:val="center"/>
            </w:pPr>
            <w:r>
              <w:rPr>
                <w:rFonts w:ascii="Times New Roman" w:hAnsi="Times New Roman" w:eastAsia="??"/>
                <w:b w:val="0"/>
                <w:sz w:val="18"/>
              </w:rPr>
              <w:t>41边/—</w:t>
            </w:r>
          </w:p>
        </w:tc>
        <w:tc>
          <w:tcPr>
            <w:tcW w:w="2891" w:type="dxa"/>
            <w:tcMar>
              <w:top w:w="80" w:type="dxa"/>
              <w:left w:w="80" w:type="dxa"/>
              <w:bottom w:w="80" w:type="dxa"/>
              <w:right w:w="80" w:type="dxa"/>
            </w:tcMar>
            <w:vAlign w:val="center"/>
          </w:tcPr>
          <w:p w14:paraId="440D90F3">
            <w:pPr>
              <w:jc w:val="left"/>
            </w:pPr>
            <w:r>
              <w:rPr>
                <w:rFonts w:ascii="Times New Roman" w:hAnsi="Times New Roman" w:eastAsia="??"/>
                <w:b w:val="0"/>
                <w:sz w:val="18"/>
              </w:rPr>
              <w:t>Hyper-RAG更能组织改性方式与性能指标</w:t>
            </w:r>
          </w:p>
        </w:tc>
      </w:tr>
      <w:tr w14:paraId="7D3889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D176C64">
            <w:pPr>
              <w:jc w:val="center"/>
            </w:pPr>
            <w:r>
              <w:rPr>
                <w:rFonts w:ascii="Times New Roman" w:hAnsi="Times New Roman" w:eastAsia="??"/>
                <w:b w:val="0"/>
                <w:sz w:val="18"/>
              </w:rPr>
              <w:t>Q3</w:t>
            </w:r>
          </w:p>
        </w:tc>
        <w:tc>
          <w:tcPr>
            <w:tcW w:w="1247" w:type="dxa"/>
            <w:tcMar>
              <w:top w:w="80" w:type="dxa"/>
              <w:left w:w="80" w:type="dxa"/>
              <w:bottom w:w="80" w:type="dxa"/>
              <w:right w:w="80" w:type="dxa"/>
            </w:tcMar>
            <w:vAlign w:val="center"/>
          </w:tcPr>
          <w:p w14:paraId="7F8D31D9">
            <w:pPr>
              <w:jc w:val="center"/>
            </w:pPr>
            <w:r>
              <w:rPr>
                <w:rFonts w:ascii="Times New Roman" w:hAnsi="Times New Roman" w:eastAsia="??"/>
                <w:b w:val="0"/>
                <w:sz w:val="18"/>
              </w:rPr>
              <w:t>电解液角色</w:t>
            </w:r>
          </w:p>
        </w:tc>
        <w:tc>
          <w:tcPr>
            <w:tcW w:w="1474" w:type="dxa"/>
            <w:tcMar>
              <w:top w:w="80" w:type="dxa"/>
              <w:left w:w="80" w:type="dxa"/>
              <w:bottom w:w="80" w:type="dxa"/>
              <w:right w:w="80" w:type="dxa"/>
            </w:tcMar>
            <w:vAlign w:val="center"/>
          </w:tcPr>
          <w:p w14:paraId="33D70164">
            <w:pPr>
              <w:jc w:val="center"/>
            </w:pPr>
            <w:r>
              <w:rPr>
                <w:rFonts w:ascii="Times New Roman" w:hAnsi="Times New Roman" w:eastAsia="??"/>
                <w:b w:val="0"/>
                <w:sz w:val="18"/>
              </w:rPr>
              <w:t>92超边/61实体</w:t>
            </w:r>
          </w:p>
        </w:tc>
        <w:tc>
          <w:tcPr>
            <w:tcW w:w="1304" w:type="dxa"/>
            <w:tcMar>
              <w:top w:w="80" w:type="dxa"/>
              <w:left w:w="80" w:type="dxa"/>
              <w:bottom w:w="80" w:type="dxa"/>
              <w:right w:w="80" w:type="dxa"/>
            </w:tcMar>
            <w:vAlign w:val="center"/>
          </w:tcPr>
          <w:p w14:paraId="2E81B6A3">
            <w:pPr>
              <w:jc w:val="center"/>
            </w:pPr>
            <w:r>
              <w:rPr>
                <w:rFonts w:ascii="Times New Roman" w:hAnsi="Times New Roman" w:eastAsia="??"/>
                <w:b w:val="0"/>
                <w:sz w:val="18"/>
              </w:rPr>
              <w:t>43边/1实体</w:t>
            </w:r>
          </w:p>
        </w:tc>
        <w:tc>
          <w:tcPr>
            <w:tcW w:w="2891" w:type="dxa"/>
            <w:tcMar>
              <w:top w:w="80" w:type="dxa"/>
              <w:left w:w="80" w:type="dxa"/>
              <w:bottom w:w="80" w:type="dxa"/>
              <w:right w:w="80" w:type="dxa"/>
            </w:tcMar>
            <w:vAlign w:val="center"/>
          </w:tcPr>
          <w:p w14:paraId="5FC3A4D5">
            <w:pPr>
              <w:jc w:val="left"/>
            </w:pPr>
            <w:r>
              <w:rPr>
                <w:rFonts w:ascii="Times New Roman" w:hAnsi="Times New Roman" w:eastAsia="??"/>
                <w:b w:val="0"/>
                <w:sz w:val="18"/>
              </w:rPr>
              <w:t>Hyper-RAG更能区分活性物种、支持电解质和添加剂环境</w:t>
            </w:r>
          </w:p>
        </w:tc>
      </w:tr>
      <w:tr w14:paraId="5E0DDFE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57931FD">
            <w:pPr>
              <w:jc w:val="center"/>
            </w:pPr>
            <w:r>
              <w:rPr>
                <w:rFonts w:ascii="Times New Roman" w:hAnsi="Times New Roman" w:eastAsia="??"/>
                <w:b w:val="0"/>
                <w:sz w:val="18"/>
              </w:rPr>
              <w:t>Q4</w:t>
            </w:r>
          </w:p>
        </w:tc>
        <w:tc>
          <w:tcPr>
            <w:tcW w:w="1247" w:type="dxa"/>
            <w:tcMar>
              <w:top w:w="80" w:type="dxa"/>
              <w:left w:w="80" w:type="dxa"/>
              <w:bottom w:w="80" w:type="dxa"/>
              <w:right w:w="80" w:type="dxa"/>
            </w:tcMar>
            <w:vAlign w:val="center"/>
          </w:tcPr>
          <w:p w14:paraId="03763DD5">
            <w:pPr>
              <w:jc w:val="center"/>
            </w:pPr>
            <w:r>
              <w:rPr>
                <w:rFonts w:ascii="Times New Roman" w:hAnsi="Times New Roman" w:eastAsia="??"/>
                <w:b w:val="0"/>
                <w:sz w:val="18"/>
              </w:rPr>
              <w:t>高电流密度条件</w:t>
            </w:r>
          </w:p>
        </w:tc>
        <w:tc>
          <w:tcPr>
            <w:tcW w:w="1474" w:type="dxa"/>
            <w:tcMar>
              <w:top w:w="80" w:type="dxa"/>
              <w:left w:w="80" w:type="dxa"/>
              <w:bottom w:w="80" w:type="dxa"/>
              <w:right w:w="80" w:type="dxa"/>
            </w:tcMar>
            <w:vAlign w:val="center"/>
          </w:tcPr>
          <w:p w14:paraId="7C832586">
            <w:pPr>
              <w:jc w:val="center"/>
            </w:pPr>
            <w:r>
              <w:rPr>
                <w:rFonts w:ascii="Times New Roman" w:hAnsi="Times New Roman" w:eastAsia="??"/>
                <w:b w:val="0"/>
                <w:sz w:val="18"/>
              </w:rPr>
              <w:t>88超边/61实体</w:t>
            </w:r>
          </w:p>
        </w:tc>
        <w:tc>
          <w:tcPr>
            <w:tcW w:w="1304" w:type="dxa"/>
            <w:tcMar>
              <w:top w:w="80" w:type="dxa"/>
              <w:left w:w="80" w:type="dxa"/>
              <w:bottom w:w="80" w:type="dxa"/>
              <w:right w:w="80" w:type="dxa"/>
            </w:tcMar>
            <w:vAlign w:val="center"/>
          </w:tcPr>
          <w:p w14:paraId="68DCAA68">
            <w:pPr>
              <w:jc w:val="center"/>
            </w:pPr>
            <w:r>
              <w:rPr>
                <w:rFonts w:ascii="Times New Roman" w:hAnsi="Times New Roman" w:eastAsia="??"/>
                <w:b w:val="0"/>
                <w:sz w:val="18"/>
              </w:rPr>
              <w:t>48边/1实体</w:t>
            </w:r>
          </w:p>
        </w:tc>
        <w:tc>
          <w:tcPr>
            <w:tcW w:w="2891" w:type="dxa"/>
            <w:tcMar>
              <w:top w:w="80" w:type="dxa"/>
              <w:left w:w="80" w:type="dxa"/>
              <w:bottom w:w="80" w:type="dxa"/>
              <w:right w:w="80" w:type="dxa"/>
            </w:tcMar>
            <w:vAlign w:val="center"/>
          </w:tcPr>
          <w:p w14:paraId="01BC7854">
            <w:pPr>
              <w:jc w:val="left"/>
            </w:pPr>
            <w:r>
              <w:rPr>
                <w:rFonts w:ascii="Times New Roman" w:hAnsi="Times New Roman" w:eastAsia="??"/>
                <w:b w:val="0"/>
                <w:sz w:val="18"/>
              </w:rPr>
              <w:t>Hyper-RAG保留体系-材料-电流密度-效率组合</w:t>
            </w:r>
          </w:p>
        </w:tc>
      </w:tr>
      <w:tr w14:paraId="0566482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0B6A6A2">
            <w:pPr>
              <w:jc w:val="center"/>
            </w:pPr>
            <w:r>
              <w:rPr>
                <w:rFonts w:ascii="Times New Roman" w:hAnsi="Times New Roman" w:eastAsia="??"/>
                <w:b w:val="0"/>
                <w:sz w:val="18"/>
              </w:rPr>
              <w:t>Q5</w:t>
            </w:r>
          </w:p>
        </w:tc>
        <w:tc>
          <w:tcPr>
            <w:tcW w:w="1247" w:type="dxa"/>
            <w:tcMar>
              <w:top w:w="80" w:type="dxa"/>
              <w:left w:w="80" w:type="dxa"/>
              <w:bottom w:w="80" w:type="dxa"/>
              <w:right w:w="80" w:type="dxa"/>
            </w:tcMar>
            <w:vAlign w:val="center"/>
          </w:tcPr>
          <w:p w14:paraId="669160F7">
            <w:pPr>
              <w:jc w:val="center"/>
            </w:pPr>
            <w:r>
              <w:rPr>
                <w:rFonts w:ascii="Times New Roman" w:hAnsi="Times New Roman" w:eastAsia="??"/>
                <w:b w:val="0"/>
                <w:sz w:val="18"/>
              </w:rPr>
              <w:t>VRFB变量影响</w:t>
            </w:r>
          </w:p>
        </w:tc>
        <w:tc>
          <w:tcPr>
            <w:tcW w:w="1474" w:type="dxa"/>
            <w:tcMar>
              <w:top w:w="80" w:type="dxa"/>
              <w:left w:w="80" w:type="dxa"/>
              <w:bottom w:w="80" w:type="dxa"/>
              <w:right w:w="80" w:type="dxa"/>
            </w:tcMar>
            <w:vAlign w:val="center"/>
          </w:tcPr>
          <w:p w14:paraId="610F4941">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323E4BD9">
            <w:pPr>
              <w:jc w:val="center"/>
            </w:pPr>
            <w:r>
              <w:rPr>
                <w:rFonts w:ascii="Times New Roman" w:hAnsi="Times New Roman" w:eastAsia="??"/>
                <w:b w:val="0"/>
                <w:sz w:val="18"/>
              </w:rPr>
              <w:t>48边/7实体</w:t>
            </w:r>
          </w:p>
        </w:tc>
        <w:tc>
          <w:tcPr>
            <w:tcW w:w="2891" w:type="dxa"/>
            <w:tcMar>
              <w:top w:w="80" w:type="dxa"/>
              <w:left w:w="80" w:type="dxa"/>
              <w:bottom w:w="80" w:type="dxa"/>
              <w:right w:w="80" w:type="dxa"/>
            </w:tcMar>
            <w:vAlign w:val="center"/>
          </w:tcPr>
          <w:p w14:paraId="7C0C1BB4">
            <w:pPr>
              <w:jc w:val="left"/>
            </w:pPr>
            <w:r>
              <w:rPr>
                <w:rFonts w:ascii="Times New Roman" w:hAnsi="Times New Roman" w:eastAsia="??"/>
                <w:b w:val="0"/>
                <w:sz w:val="18"/>
              </w:rPr>
              <w:t>Hyper-RAG更能连接浓度、温度、电流密度与性能结果</w:t>
            </w:r>
          </w:p>
        </w:tc>
      </w:tr>
      <w:tr w14:paraId="608D34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69D59D4">
            <w:pPr>
              <w:jc w:val="center"/>
            </w:pPr>
            <w:r>
              <w:rPr>
                <w:rFonts w:ascii="Times New Roman" w:hAnsi="Times New Roman" w:eastAsia="??"/>
                <w:b w:val="0"/>
                <w:sz w:val="18"/>
              </w:rPr>
              <w:t>Q6</w:t>
            </w:r>
          </w:p>
        </w:tc>
        <w:tc>
          <w:tcPr>
            <w:tcW w:w="1247" w:type="dxa"/>
            <w:tcMar>
              <w:top w:w="80" w:type="dxa"/>
              <w:left w:w="80" w:type="dxa"/>
              <w:bottom w:w="80" w:type="dxa"/>
              <w:right w:w="80" w:type="dxa"/>
            </w:tcMar>
            <w:vAlign w:val="center"/>
          </w:tcPr>
          <w:p w14:paraId="29458C91">
            <w:pPr>
              <w:jc w:val="center"/>
            </w:pPr>
            <w:r>
              <w:rPr>
                <w:rFonts w:ascii="Times New Roman" w:hAnsi="Times New Roman" w:eastAsia="??"/>
                <w:b w:val="0"/>
                <w:sz w:val="18"/>
              </w:rPr>
              <w:t>ICRFB添加剂机制</w:t>
            </w:r>
          </w:p>
        </w:tc>
        <w:tc>
          <w:tcPr>
            <w:tcW w:w="1474" w:type="dxa"/>
            <w:tcMar>
              <w:top w:w="80" w:type="dxa"/>
              <w:left w:w="80" w:type="dxa"/>
              <w:bottom w:w="80" w:type="dxa"/>
              <w:right w:w="80" w:type="dxa"/>
            </w:tcMar>
            <w:vAlign w:val="center"/>
          </w:tcPr>
          <w:p w14:paraId="10F20B6A">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232477BF">
            <w:pPr>
              <w:jc w:val="center"/>
            </w:pPr>
            <w:r>
              <w:rPr>
                <w:rFonts w:ascii="Times New Roman" w:hAnsi="Times New Roman" w:eastAsia="??"/>
                <w:b w:val="0"/>
                <w:sz w:val="18"/>
              </w:rPr>
              <w:t>50边/4实体</w:t>
            </w:r>
          </w:p>
        </w:tc>
        <w:tc>
          <w:tcPr>
            <w:tcW w:w="2891" w:type="dxa"/>
            <w:tcMar>
              <w:top w:w="80" w:type="dxa"/>
              <w:left w:w="80" w:type="dxa"/>
              <w:bottom w:w="80" w:type="dxa"/>
              <w:right w:w="80" w:type="dxa"/>
            </w:tcMar>
            <w:vAlign w:val="center"/>
          </w:tcPr>
          <w:p w14:paraId="20E27A1F">
            <w:pPr>
              <w:jc w:val="left"/>
            </w:pPr>
            <w:r>
              <w:rPr>
                <w:rFonts w:ascii="Times New Roman" w:hAnsi="Times New Roman" w:eastAsia="??"/>
                <w:b w:val="0"/>
                <w:sz w:val="18"/>
              </w:rPr>
              <w:t>Hyper-RAG更能组织添加剂、活性物种、HER和Cr动力学</w:t>
            </w:r>
          </w:p>
        </w:tc>
      </w:tr>
      <w:tr w14:paraId="5124DBE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75DEE57">
            <w:pPr>
              <w:jc w:val="center"/>
            </w:pPr>
            <w:r>
              <w:rPr>
                <w:rFonts w:ascii="Times New Roman" w:hAnsi="Times New Roman" w:eastAsia="??"/>
                <w:b w:val="0"/>
                <w:sz w:val="18"/>
              </w:rPr>
              <w:t>Q7</w:t>
            </w:r>
          </w:p>
        </w:tc>
        <w:tc>
          <w:tcPr>
            <w:tcW w:w="1247" w:type="dxa"/>
            <w:tcMar>
              <w:top w:w="80" w:type="dxa"/>
              <w:left w:w="80" w:type="dxa"/>
              <w:bottom w:w="80" w:type="dxa"/>
              <w:right w:w="80" w:type="dxa"/>
            </w:tcMar>
            <w:vAlign w:val="center"/>
          </w:tcPr>
          <w:p w14:paraId="33B1E88E">
            <w:pPr>
              <w:jc w:val="center"/>
            </w:pPr>
            <w:r>
              <w:rPr>
                <w:rFonts w:ascii="Times New Roman" w:hAnsi="Times New Roman" w:eastAsia="??"/>
                <w:b w:val="0"/>
                <w:sz w:val="18"/>
              </w:rPr>
              <w:t>膜材料对比</w:t>
            </w:r>
          </w:p>
        </w:tc>
        <w:tc>
          <w:tcPr>
            <w:tcW w:w="1474" w:type="dxa"/>
            <w:tcMar>
              <w:top w:w="80" w:type="dxa"/>
              <w:left w:w="80" w:type="dxa"/>
              <w:bottom w:w="80" w:type="dxa"/>
              <w:right w:w="80" w:type="dxa"/>
            </w:tcMar>
            <w:vAlign w:val="center"/>
          </w:tcPr>
          <w:p w14:paraId="4AD62FB5">
            <w:pPr>
              <w:jc w:val="center"/>
            </w:pPr>
            <w:r>
              <w:rPr>
                <w:rFonts w:ascii="Times New Roman" w:hAnsi="Times New Roman" w:eastAsia="??"/>
                <w:b w:val="0"/>
                <w:sz w:val="18"/>
              </w:rPr>
              <w:t>114超边/62实体</w:t>
            </w:r>
          </w:p>
        </w:tc>
        <w:tc>
          <w:tcPr>
            <w:tcW w:w="1304" w:type="dxa"/>
            <w:tcMar>
              <w:top w:w="80" w:type="dxa"/>
              <w:left w:w="80" w:type="dxa"/>
              <w:bottom w:w="80" w:type="dxa"/>
              <w:right w:w="80" w:type="dxa"/>
            </w:tcMar>
            <w:vAlign w:val="center"/>
          </w:tcPr>
          <w:p w14:paraId="65F37BD5">
            <w:pPr>
              <w:jc w:val="center"/>
            </w:pPr>
            <w:r>
              <w:rPr>
                <w:rFonts w:ascii="Times New Roman" w:hAnsi="Times New Roman" w:eastAsia="??"/>
                <w:b w:val="0"/>
                <w:sz w:val="18"/>
              </w:rPr>
              <w:t>51边/2实体</w:t>
            </w:r>
          </w:p>
        </w:tc>
        <w:tc>
          <w:tcPr>
            <w:tcW w:w="2891" w:type="dxa"/>
            <w:tcMar>
              <w:top w:w="80" w:type="dxa"/>
              <w:left w:w="80" w:type="dxa"/>
              <w:bottom w:w="80" w:type="dxa"/>
              <w:right w:w="80" w:type="dxa"/>
            </w:tcMar>
            <w:vAlign w:val="center"/>
          </w:tcPr>
          <w:p w14:paraId="17EB70AA">
            <w:pPr>
              <w:jc w:val="left"/>
            </w:pPr>
            <w:r>
              <w:rPr>
                <w:rFonts w:ascii="Times New Roman" w:hAnsi="Times New Roman" w:eastAsia="??"/>
                <w:b w:val="0"/>
                <w:sz w:val="18"/>
              </w:rPr>
              <w:t>Hyper-RAG更能保留crossover、传导率和效率的权衡关系</w:t>
            </w:r>
          </w:p>
        </w:tc>
      </w:tr>
      <w:tr w14:paraId="3380D24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2FC008A">
            <w:pPr>
              <w:jc w:val="center"/>
            </w:pPr>
            <w:r>
              <w:rPr>
                <w:rFonts w:ascii="Times New Roman" w:hAnsi="Times New Roman" w:eastAsia="??"/>
                <w:b w:val="0"/>
                <w:sz w:val="18"/>
              </w:rPr>
              <w:t>Q8</w:t>
            </w:r>
          </w:p>
        </w:tc>
        <w:tc>
          <w:tcPr>
            <w:tcW w:w="1247" w:type="dxa"/>
            <w:tcMar>
              <w:top w:w="80" w:type="dxa"/>
              <w:left w:w="80" w:type="dxa"/>
              <w:bottom w:w="80" w:type="dxa"/>
              <w:right w:w="80" w:type="dxa"/>
            </w:tcMar>
            <w:vAlign w:val="center"/>
          </w:tcPr>
          <w:p w14:paraId="2EBC0166">
            <w:pPr>
              <w:jc w:val="center"/>
            </w:pPr>
            <w:r>
              <w:rPr>
                <w:rFonts w:ascii="Times New Roman" w:hAnsi="Times New Roman" w:eastAsia="??"/>
                <w:b w:val="0"/>
                <w:sz w:val="18"/>
              </w:rPr>
              <w:t>碳电极对比</w:t>
            </w:r>
          </w:p>
        </w:tc>
        <w:tc>
          <w:tcPr>
            <w:tcW w:w="1474" w:type="dxa"/>
            <w:tcMar>
              <w:top w:w="80" w:type="dxa"/>
              <w:left w:w="80" w:type="dxa"/>
              <w:bottom w:w="80" w:type="dxa"/>
              <w:right w:w="80" w:type="dxa"/>
            </w:tcMar>
            <w:vAlign w:val="center"/>
          </w:tcPr>
          <w:p w14:paraId="04A1C8E0">
            <w:pPr>
              <w:jc w:val="center"/>
            </w:pPr>
            <w:r>
              <w:rPr>
                <w:rFonts w:ascii="Times New Roman" w:hAnsi="Times New Roman" w:eastAsia="??"/>
                <w:b w:val="0"/>
                <w:sz w:val="18"/>
              </w:rPr>
              <w:t>101超边/63实体</w:t>
            </w:r>
          </w:p>
        </w:tc>
        <w:tc>
          <w:tcPr>
            <w:tcW w:w="1304" w:type="dxa"/>
            <w:tcMar>
              <w:top w:w="80" w:type="dxa"/>
              <w:left w:w="80" w:type="dxa"/>
              <w:bottom w:w="80" w:type="dxa"/>
              <w:right w:w="80" w:type="dxa"/>
            </w:tcMar>
            <w:vAlign w:val="center"/>
          </w:tcPr>
          <w:p w14:paraId="369B5E26">
            <w:pPr>
              <w:jc w:val="center"/>
            </w:pPr>
            <w:r>
              <w:rPr>
                <w:rFonts w:ascii="Times New Roman" w:hAnsi="Times New Roman" w:eastAsia="??"/>
                <w:b w:val="0"/>
                <w:sz w:val="18"/>
              </w:rPr>
              <w:t>47边/5实体</w:t>
            </w:r>
          </w:p>
        </w:tc>
        <w:tc>
          <w:tcPr>
            <w:tcW w:w="2891" w:type="dxa"/>
            <w:tcMar>
              <w:top w:w="80" w:type="dxa"/>
              <w:left w:w="80" w:type="dxa"/>
              <w:bottom w:w="80" w:type="dxa"/>
              <w:right w:w="80" w:type="dxa"/>
            </w:tcMar>
            <w:vAlign w:val="center"/>
          </w:tcPr>
          <w:p w14:paraId="37D6824A">
            <w:pPr>
              <w:jc w:val="left"/>
            </w:pPr>
            <w:r>
              <w:rPr>
                <w:rFonts w:ascii="Times New Roman" w:hAnsi="Times New Roman" w:eastAsia="??"/>
                <w:b w:val="0"/>
                <w:sz w:val="18"/>
              </w:rPr>
              <w:t>Hyper-RAG更能关联电极结构、润湿性和倍率性能</w:t>
            </w:r>
          </w:p>
        </w:tc>
      </w:tr>
      <w:tr w14:paraId="31706CF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DA644C8">
            <w:pPr>
              <w:jc w:val="center"/>
            </w:pPr>
            <w:r>
              <w:rPr>
                <w:rFonts w:ascii="Times New Roman" w:hAnsi="Times New Roman" w:eastAsia="??"/>
                <w:b w:val="0"/>
                <w:sz w:val="18"/>
              </w:rPr>
              <w:t>Q9</w:t>
            </w:r>
          </w:p>
        </w:tc>
        <w:tc>
          <w:tcPr>
            <w:tcW w:w="1247" w:type="dxa"/>
            <w:tcMar>
              <w:top w:w="80" w:type="dxa"/>
              <w:left w:w="80" w:type="dxa"/>
              <w:bottom w:w="80" w:type="dxa"/>
              <w:right w:w="80" w:type="dxa"/>
            </w:tcMar>
            <w:vAlign w:val="center"/>
          </w:tcPr>
          <w:p w14:paraId="10B20A0C">
            <w:pPr>
              <w:jc w:val="center"/>
            </w:pPr>
            <w:r>
              <w:rPr>
                <w:rFonts w:ascii="Times New Roman" w:hAnsi="Times New Roman" w:eastAsia="??"/>
                <w:b w:val="0"/>
                <w:sz w:val="18"/>
              </w:rPr>
              <w:t>锌基枝晶机制</w:t>
            </w:r>
          </w:p>
        </w:tc>
        <w:tc>
          <w:tcPr>
            <w:tcW w:w="1474" w:type="dxa"/>
            <w:tcMar>
              <w:top w:w="80" w:type="dxa"/>
              <w:left w:w="80" w:type="dxa"/>
              <w:bottom w:w="80" w:type="dxa"/>
              <w:right w:w="80" w:type="dxa"/>
            </w:tcMar>
            <w:vAlign w:val="center"/>
          </w:tcPr>
          <w:p w14:paraId="725F2A75">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256CAE52">
            <w:pPr>
              <w:jc w:val="center"/>
            </w:pPr>
            <w:r>
              <w:rPr>
                <w:rFonts w:ascii="Times New Roman" w:hAnsi="Times New Roman" w:eastAsia="??"/>
                <w:b w:val="0"/>
                <w:sz w:val="18"/>
              </w:rPr>
              <w:t>39边/—</w:t>
            </w:r>
          </w:p>
        </w:tc>
        <w:tc>
          <w:tcPr>
            <w:tcW w:w="2891" w:type="dxa"/>
            <w:tcMar>
              <w:top w:w="80" w:type="dxa"/>
              <w:left w:w="80" w:type="dxa"/>
              <w:bottom w:w="80" w:type="dxa"/>
              <w:right w:w="80" w:type="dxa"/>
            </w:tcMar>
            <w:vAlign w:val="center"/>
          </w:tcPr>
          <w:p w14:paraId="5D1F02A6">
            <w:pPr>
              <w:jc w:val="left"/>
            </w:pPr>
            <w:r>
              <w:rPr>
                <w:rFonts w:ascii="Times New Roman" w:hAnsi="Times New Roman" w:eastAsia="??"/>
                <w:b w:val="0"/>
                <w:sz w:val="18"/>
              </w:rPr>
              <w:t>Hyper-RAG对枝晶、形貌、添加剂和循环稳定性覆盖更完整</w:t>
            </w:r>
          </w:p>
        </w:tc>
      </w:tr>
      <w:tr w14:paraId="4F8BB1C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EA3DE6F">
            <w:pPr>
              <w:jc w:val="center"/>
            </w:pPr>
            <w:r>
              <w:rPr>
                <w:rFonts w:ascii="Times New Roman" w:hAnsi="Times New Roman" w:eastAsia="??"/>
                <w:b w:val="0"/>
                <w:sz w:val="18"/>
              </w:rPr>
              <w:t>Q10</w:t>
            </w:r>
          </w:p>
        </w:tc>
        <w:tc>
          <w:tcPr>
            <w:tcW w:w="1247" w:type="dxa"/>
            <w:tcMar>
              <w:top w:w="80" w:type="dxa"/>
              <w:left w:w="80" w:type="dxa"/>
              <w:bottom w:w="80" w:type="dxa"/>
              <w:right w:w="80" w:type="dxa"/>
            </w:tcMar>
            <w:vAlign w:val="center"/>
          </w:tcPr>
          <w:p w14:paraId="274A392D">
            <w:pPr>
              <w:jc w:val="center"/>
            </w:pPr>
            <w:r>
              <w:rPr>
                <w:rFonts w:ascii="Times New Roman" w:hAnsi="Times New Roman" w:eastAsia="??"/>
                <w:b w:val="0"/>
                <w:sz w:val="18"/>
              </w:rPr>
              <w:t>可溶铅衰减</w:t>
            </w:r>
          </w:p>
        </w:tc>
        <w:tc>
          <w:tcPr>
            <w:tcW w:w="1474" w:type="dxa"/>
            <w:tcMar>
              <w:top w:w="80" w:type="dxa"/>
              <w:left w:w="80" w:type="dxa"/>
              <w:bottom w:w="80" w:type="dxa"/>
              <w:right w:w="80" w:type="dxa"/>
            </w:tcMar>
            <w:vAlign w:val="center"/>
          </w:tcPr>
          <w:p w14:paraId="24446962">
            <w:pPr>
              <w:jc w:val="center"/>
            </w:pPr>
            <w:r>
              <w:rPr>
                <w:rFonts w:ascii="Times New Roman" w:hAnsi="Times New Roman" w:eastAsia="??"/>
                <w:b w:val="0"/>
                <w:sz w:val="18"/>
              </w:rPr>
              <w:t>105超边/63实体</w:t>
            </w:r>
          </w:p>
        </w:tc>
        <w:tc>
          <w:tcPr>
            <w:tcW w:w="1304" w:type="dxa"/>
            <w:tcMar>
              <w:top w:w="80" w:type="dxa"/>
              <w:left w:w="80" w:type="dxa"/>
              <w:bottom w:w="80" w:type="dxa"/>
              <w:right w:w="80" w:type="dxa"/>
            </w:tcMar>
            <w:vAlign w:val="center"/>
          </w:tcPr>
          <w:p w14:paraId="13576B88">
            <w:pPr>
              <w:jc w:val="center"/>
            </w:pPr>
            <w:r>
              <w:rPr>
                <w:rFonts w:ascii="Times New Roman" w:hAnsi="Times New Roman" w:eastAsia="??"/>
                <w:b w:val="0"/>
                <w:sz w:val="18"/>
              </w:rPr>
              <w:t>47边/1实体</w:t>
            </w:r>
          </w:p>
        </w:tc>
        <w:tc>
          <w:tcPr>
            <w:tcW w:w="2891" w:type="dxa"/>
            <w:tcMar>
              <w:top w:w="80" w:type="dxa"/>
              <w:left w:w="80" w:type="dxa"/>
              <w:bottom w:w="80" w:type="dxa"/>
              <w:right w:w="80" w:type="dxa"/>
            </w:tcMar>
            <w:vAlign w:val="center"/>
          </w:tcPr>
          <w:p w14:paraId="40D8BC62">
            <w:pPr>
              <w:jc w:val="left"/>
            </w:pPr>
            <w:r>
              <w:rPr>
                <w:rFonts w:ascii="Times New Roman" w:hAnsi="Times New Roman" w:eastAsia="??"/>
                <w:b w:val="0"/>
                <w:sz w:val="18"/>
              </w:rPr>
              <w:t>Hyper-RAG更能组织PbO₂钝化、副反应和寿命指标</w:t>
            </w:r>
          </w:p>
        </w:tc>
      </w:tr>
      <w:tr w14:paraId="37AAA97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5FE448">
            <w:pPr>
              <w:jc w:val="center"/>
            </w:pPr>
            <w:r>
              <w:rPr>
                <w:rFonts w:ascii="Times New Roman" w:hAnsi="Times New Roman" w:eastAsia="??"/>
                <w:b w:val="0"/>
                <w:sz w:val="18"/>
              </w:rPr>
              <w:t>Q11</w:t>
            </w:r>
          </w:p>
        </w:tc>
        <w:tc>
          <w:tcPr>
            <w:tcW w:w="1247" w:type="dxa"/>
            <w:tcMar>
              <w:top w:w="80" w:type="dxa"/>
              <w:left w:w="80" w:type="dxa"/>
              <w:bottom w:w="80" w:type="dxa"/>
              <w:right w:w="80" w:type="dxa"/>
            </w:tcMar>
            <w:vAlign w:val="center"/>
          </w:tcPr>
          <w:p w14:paraId="5F4339E5">
            <w:pPr>
              <w:jc w:val="center"/>
            </w:pPr>
            <w:r>
              <w:rPr>
                <w:rFonts w:ascii="Times New Roman" w:hAnsi="Times New Roman" w:eastAsia="??"/>
                <w:b w:val="0"/>
                <w:sz w:val="18"/>
              </w:rPr>
              <w:t>高EE策略</w:t>
            </w:r>
          </w:p>
        </w:tc>
        <w:tc>
          <w:tcPr>
            <w:tcW w:w="1474" w:type="dxa"/>
            <w:tcMar>
              <w:top w:w="80" w:type="dxa"/>
              <w:left w:w="80" w:type="dxa"/>
              <w:bottom w:w="80" w:type="dxa"/>
              <w:right w:w="80" w:type="dxa"/>
            </w:tcMar>
            <w:vAlign w:val="center"/>
          </w:tcPr>
          <w:p w14:paraId="6BAC2A82">
            <w:pPr>
              <w:jc w:val="center"/>
            </w:pPr>
            <w:r>
              <w:rPr>
                <w:rFonts w:ascii="Times New Roman" w:hAnsi="Times New Roman" w:eastAsia="??"/>
                <w:b w:val="0"/>
                <w:sz w:val="18"/>
              </w:rPr>
              <w:t>124超边/65实体</w:t>
            </w:r>
          </w:p>
        </w:tc>
        <w:tc>
          <w:tcPr>
            <w:tcW w:w="1304" w:type="dxa"/>
            <w:tcMar>
              <w:top w:w="80" w:type="dxa"/>
              <w:left w:w="80" w:type="dxa"/>
              <w:bottom w:w="80" w:type="dxa"/>
              <w:right w:w="80" w:type="dxa"/>
            </w:tcMar>
            <w:vAlign w:val="center"/>
          </w:tcPr>
          <w:p w14:paraId="50EBE33E">
            <w:pPr>
              <w:jc w:val="center"/>
            </w:pPr>
            <w:r>
              <w:rPr>
                <w:rFonts w:ascii="Times New Roman" w:hAnsi="Times New Roman" w:eastAsia="??"/>
                <w:b w:val="0"/>
                <w:sz w:val="18"/>
              </w:rPr>
              <w:t>41边/6实体</w:t>
            </w:r>
          </w:p>
        </w:tc>
        <w:tc>
          <w:tcPr>
            <w:tcW w:w="2891" w:type="dxa"/>
            <w:tcMar>
              <w:top w:w="80" w:type="dxa"/>
              <w:left w:w="80" w:type="dxa"/>
              <w:bottom w:w="80" w:type="dxa"/>
              <w:right w:w="80" w:type="dxa"/>
            </w:tcMar>
            <w:vAlign w:val="center"/>
          </w:tcPr>
          <w:p w14:paraId="572617B7">
            <w:pPr>
              <w:jc w:val="left"/>
            </w:pPr>
            <w:r>
              <w:rPr>
                <w:rFonts w:ascii="Times New Roman" w:hAnsi="Times New Roman" w:eastAsia="??"/>
                <w:b w:val="0"/>
                <w:sz w:val="18"/>
              </w:rPr>
              <w:t>Hyper-RAG更适合跨体系归纳膜、电极、电解液和工况策略</w:t>
            </w:r>
          </w:p>
        </w:tc>
      </w:tr>
      <w:tr w14:paraId="5E33F7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43F1069">
            <w:pPr>
              <w:jc w:val="center"/>
            </w:pPr>
            <w:r>
              <w:rPr>
                <w:rFonts w:ascii="Times New Roman" w:hAnsi="Times New Roman" w:eastAsia="??"/>
                <w:b w:val="0"/>
                <w:sz w:val="18"/>
              </w:rPr>
              <w:t>Q12</w:t>
            </w:r>
          </w:p>
        </w:tc>
        <w:tc>
          <w:tcPr>
            <w:tcW w:w="1247" w:type="dxa"/>
            <w:tcMar>
              <w:top w:w="80" w:type="dxa"/>
              <w:left w:w="80" w:type="dxa"/>
              <w:bottom w:w="80" w:type="dxa"/>
              <w:right w:w="80" w:type="dxa"/>
            </w:tcMar>
            <w:vAlign w:val="center"/>
          </w:tcPr>
          <w:p w14:paraId="46BEC31D">
            <w:pPr>
              <w:jc w:val="center"/>
            </w:pPr>
            <w:r>
              <w:rPr>
                <w:rFonts w:ascii="Times New Roman" w:hAnsi="Times New Roman" w:eastAsia="??"/>
                <w:b w:val="0"/>
                <w:sz w:val="18"/>
              </w:rPr>
              <w:t>实验方向推荐</w:t>
            </w:r>
          </w:p>
        </w:tc>
        <w:tc>
          <w:tcPr>
            <w:tcW w:w="1474" w:type="dxa"/>
            <w:tcMar>
              <w:top w:w="80" w:type="dxa"/>
              <w:left w:w="80" w:type="dxa"/>
              <w:bottom w:w="80" w:type="dxa"/>
              <w:right w:w="80" w:type="dxa"/>
            </w:tcMar>
            <w:vAlign w:val="center"/>
          </w:tcPr>
          <w:p w14:paraId="292C3B40">
            <w:pPr>
              <w:jc w:val="center"/>
            </w:pPr>
            <w:r>
              <w:rPr>
                <w:rFonts w:ascii="Times New Roman" w:hAnsi="Times New Roman" w:eastAsia="??"/>
                <w:b w:val="0"/>
                <w:sz w:val="18"/>
              </w:rPr>
              <w:t>115超边/61实体</w:t>
            </w:r>
          </w:p>
        </w:tc>
        <w:tc>
          <w:tcPr>
            <w:tcW w:w="1304" w:type="dxa"/>
            <w:tcMar>
              <w:top w:w="80" w:type="dxa"/>
              <w:left w:w="80" w:type="dxa"/>
              <w:bottom w:w="80" w:type="dxa"/>
              <w:right w:w="80" w:type="dxa"/>
            </w:tcMar>
            <w:vAlign w:val="center"/>
          </w:tcPr>
          <w:p w14:paraId="27BF3621">
            <w:pPr>
              <w:jc w:val="center"/>
            </w:pPr>
            <w:r>
              <w:rPr>
                <w:rFonts w:ascii="Times New Roman" w:hAnsi="Times New Roman" w:eastAsia="??"/>
                <w:b w:val="0"/>
                <w:sz w:val="18"/>
              </w:rPr>
              <w:t>53边/—</w:t>
            </w:r>
          </w:p>
        </w:tc>
        <w:tc>
          <w:tcPr>
            <w:tcW w:w="2891" w:type="dxa"/>
            <w:tcMar>
              <w:top w:w="80" w:type="dxa"/>
              <w:left w:w="80" w:type="dxa"/>
              <w:bottom w:w="80" w:type="dxa"/>
              <w:right w:w="80" w:type="dxa"/>
            </w:tcMar>
            <w:vAlign w:val="center"/>
          </w:tcPr>
          <w:p w14:paraId="020E346F">
            <w:pPr>
              <w:jc w:val="left"/>
            </w:pPr>
            <w:r>
              <w:rPr>
                <w:rFonts w:ascii="Times New Roman" w:hAnsi="Times New Roman" w:eastAsia="??"/>
                <w:b w:val="0"/>
                <w:sz w:val="18"/>
              </w:rPr>
              <w:t>Hyper-RAG推荐方案的变量组合和对照实验更完整</w:t>
            </w:r>
          </w:p>
        </w:tc>
      </w:tr>
    </w:tbl>
    <w:p w14:paraId="1E805C32"/>
    <w:p w14:paraId="53B5341C">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从数量来看，Hyper-ChE平均召回约103条超边和63个实体，而Graph-RAG仅召回约46条边，且在多个问题中仅返回1个实体（Q1、Q3、Q4、Q10）或实体数"未显示"（Q2、Q9、Q12）。</w:t>
      </w:r>
    </w:p>
    <w:p w14:paraId="0A302E60">
      <w:pPr>
        <w:keepNext w:val="0"/>
        <w:spacing w:before="0" w:after="60" w:line="240" w:lineRule="auto"/>
        <w:ind w:firstLine="420"/>
        <w:jc w:val="both"/>
        <w:rPr>
          <w:rFonts w:ascii="Times New Roman" w:hAnsi="Times New Roman" w:eastAsia="宋体"/>
          <w:b w:val="0"/>
          <w:i w:val="0"/>
          <w:sz w:val="21"/>
        </w:rPr>
      </w:pPr>
      <w:r>
        <w:rPr>
          <w:rFonts w:hint="eastAsia"/>
          <w:b w:val="0"/>
          <w:i w:val="0"/>
          <w:sz w:val="21"/>
          <w:lang w:val="en-US" w:eastAsia="zh-CN"/>
        </w:rPr>
        <w:t>需要说明的是：</w:t>
      </w:r>
      <w:r>
        <w:rPr>
          <w:rFonts w:ascii="Times New Roman" w:hAnsi="Times New Roman" w:eastAsia="宋体"/>
          <w:b w:val="0"/>
          <w:i w:val="0"/>
          <w:sz w:val="21"/>
        </w:rPr>
        <w:t>在当前 Graph-RAG 基线实现中，系统主要通过关系向量检索获得二元边，再由二元边反查实体。因此，当与问题最相关的知识主要存储在高阶超边中时，这些高阶关系会在二元边过滤阶段被移除，导致最终返回上下文中的实体数量较少。</w:t>
      </w:r>
    </w:p>
    <w:p w14:paraId="32A75E8B">
      <w:pPr>
        <w:keepNext w:val="0"/>
        <w:spacing w:before="0" w:after="60" w:line="240" w:lineRule="auto"/>
        <w:ind w:firstLine="420"/>
        <w:jc w:val="both"/>
        <w:rPr>
          <w:rFonts w:hint="eastAsia"/>
          <w:b w:val="0"/>
          <w:i w:val="0"/>
          <w:sz w:val="21"/>
          <w:lang w:val="en-US" w:eastAsia="zh-CN"/>
        </w:rPr>
      </w:pPr>
      <w:r>
        <w:rPr>
          <w:rFonts w:ascii="Times New Roman" w:hAnsi="Times New Roman" w:eastAsia="宋体"/>
          <w:b w:val="0"/>
          <w:i w:val="0"/>
          <w:sz w:val="21"/>
        </w:rPr>
        <w:t>值得注意的是，数量差异只是表象——更重要的是Graph-RAG召回的实体分布呈现出极端的稀疏性：在12个问题中，有6个问题的召回实体数不超过2个，说明普通图检索在多变量共现问题上存在局限。</w:t>
      </w:r>
      <w:r>
        <w:rPr>
          <w:rFonts w:hint="eastAsia"/>
          <w:b w:val="0"/>
          <w:i w:val="0"/>
          <w:sz w:val="21"/>
          <w:lang w:val="en-US" w:eastAsia="zh-CN"/>
        </w:rPr>
        <w:t xml:space="preserve">           </w:t>
      </w:r>
    </w:p>
    <w:p w14:paraId="5E0F8156">
      <w:pPr>
        <w:keepNext w:val="0"/>
        <w:spacing w:before="0" w:after="60" w:line="240" w:lineRule="auto"/>
        <w:jc w:val="both"/>
        <w:rPr>
          <w:rFonts w:hint="eastAsia"/>
          <w:b w:val="0"/>
          <w:i w:val="0"/>
          <w:sz w:val="21"/>
          <w:lang w:val="en-US" w:eastAsia="zh-CN"/>
        </w:rPr>
      </w:pPr>
      <w:r>
        <w:rPr>
          <w:rFonts w:hint="eastAsia"/>
          <w:b w:val="0"/>
          <w:i w:val="0"/>
          <w:sz w:val="21"/>
          <w:lang w:val="en-US" w:eastAsia="zh-CN"/>
        </w:rPr>
        <w:t xml:space="preserve">              </w:t>
      </w:r>
    </w:p>
    <w:p w14:paraId="2F17E360">
      <w:pPr>
        <w:keepNext w:val="0"/>
        <w:spacing w:before="0" w:after="60" w:line="240" w:lineRule="auto"/>
        <w:ind w:firstLine="420"/>
        <w:jc w:val="center"/>
        <w:rPr>
          <w:rFonts w:hint="default" w:eastAsia="宋体"/>
          <w:lang w:val="en-US" w:eastAsia="zh-CN"/>
        </w:rPr>
      </w:pPr>
    </w:p>
    <w:p w14:paraId="4B3E5711">
      <w:pPr>
        <w:keepNext w:val="0"/>
        <w:spacing w:before="120" w:after="60" w:line="240" w:lineRule="auto"/>
        <w:jc w:val="center"/>
      </w:pPr>
      <w:r>
        <w:rPr>
          <w:rFonts w:ascii="Times New Roman" w:hAnsi="Times New Roman" w:eastAsia="宋体"/>
          <w:sz w:val="18"/>
        </w:rPr>
        <w:t>图3  液流电池案例12个问题检索召回数量对比</w:t>
      </w:r>
    </w:p>
    <w:p w14:paraId="521F8A11">
      <w:pPr>
        <w:keepNext/>
        <w:spacing w:before="120" w:after="60" w:line="240" w:lineRule="auto"/>
        <w:jc w:val="left"/>
      </w:pPr>
      <w:r>
        <w:rPr>
          <w:rFonts w:ascii="Times New Roman" w:hAnsi="Times New Roman" w:eastAsia="楷体"/>
          <w:b w:val="0"/>
          <w:i w:val="0"/>
          <w:sz w:val="21"/>
        </w:rPr>
        <w:t>2.2.2 问题难度分层设计</w:t>
      </w:r>
    </w:p>
    <w:p w14:paraId="342A4987">
      <w:pPr>
        <w:keepNext w:val="0"/>
        <w:spacing w:before="0" w:after="60" w:line="240" w:lineRule="auto"/>
        <w:ind w:firstLine="420"/>
        <w:jc w:val="both"/>
      </w:pPr>
      <w:r>
        <w:rPr>
          <w:rFonts w:ascii="Times New Roman" w:hAnsi="Times New Roman" w:eastAsia="宋体"/>
          <w:b w:val="0"/>
          <w:i w:val="0"/>
          <w:sz w:val="21"/>
        </w:rPr>
        <w:t>为建立系统化的分析框架，将12个问题按照认知复杂度划分为6个层级。各层级的问题特征和预期对超图结构的需求程度如表4所示。</w:t>
      </w:r>
    </w:p>
    <w:p w14:paraId="598D006A">
      <w:pPr>
        <w:keepNext w:val="0"/>
        <w:spacing w:before="120" w:after="60" w:line="240" w:lineRule="auto"/>
        <w:jc w:val="center"/>
      </w:pPr>
      <w:r>
        <w:rPr>
          <w:rFonts w:ascii="Times New Roman" w:hAnsi="Times New Roman" w:eastAsia="??"/>
          <w:sz w:val="19"/>
        </w:rPr>
        <w:t>表4 液流电池案例问题难度分层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6085F1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416BF420">
            <w:pPr>
              <w:jc w:val="center"/>
            </w:pPr>
            <w:r>
              <w:rPr>
                <w:rFonts w:ascii="Times New Roman" w:hAnsi="Times New Roman" w:eastAsia="??"/>
                <w:b/>
                <w:i w:val="0"/>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6D188373">
            <w:pPr>
              <w:jc w:val="center"/>
            </w:pPr>
            <w:r>
              <w:rPr>
                <w:rFonts w:ascii="Times New Roman" w:hAnsi="Times New Roman" w:eastAsia="??"/>
                <w:b/>
                <w:i w:val="0"/>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5F0BB24">
            <w:pPr>
              <w:jc w:val="center"/>
            </w:pPr>
            <w:r>
              <w:rPr>
                <w:rFonts w:ascii="Times New Roman" w:hAnsi="Times New Roman" w:eastAsia="??"/>
                <w:b/>
                <w:i w:val="0"/>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05E7CDB6">
            <w:pPr>
              <w:jc w:val="center"/>
            </w:pPr>
            <w:r>
              <w:rPr>
                <w:rFonts w:ascii="Times New Roman" w:hAnsi="Times New Roman" w:eastAsia="??"/>
                <w:b/>
                <w:i w:val="0"/>
                <w:sz w:val="19"/>
              </w:rPr>
              <w:t>核心认知要求</w:t>
            </w:r>
          </w:p>
        </w:tc>
      </w:tr>
      <w:tr w14:paraId="15B78F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2A9D057">
            <w:pPr>
              <w:jc w:val="center"/>
            </w:pPr>
            <w:r>
              <w:rPr>
                <w:rFonts w:ascii="Times New Roman" w:hAnsi="Times New Roman" w:eastAsia="??"/>
                <w:b w:val="0"/>
                <w:i w:val="0"/>
                <w:sz w:val="18"/>
              </w:rPr>
              <w:t>Level 1</w:t>
            </w:r>
          </w:p>
        </w:tc>
        <w:tc>
          <w:tcPr>
            <w:tcW w:w="1530" w:type="dxa"/>
            <w:tcMar>
              <w:top w:w="80" w:type="dxa"/>
              <w:left w:w="80" w:type="dxa"/>
              <w:bottom w:w="80" w:type="dxa"/>
              <w:right w:w="80" w:type="dxa"/>
            </w:tcMar>
            <w:vAlign w:val="center"/>
          </w:tcPr>
          <w:p w14:paraId="13A8A581">
            <w:pPr>
              <w:jc w:val="center"/>
            </w:pPr>
            <w:r>
              <w:rPr>
                <w:rFonts w:ascii="Times New Roman" w:hAnsi="Times New Roman" w:eastAsia="??"/>
                <w:b w:val="0"/>
                <w:i w:val="0"/>
                <w:sz w:val="18"/>
              </w:rPr>
              <w:t>语料覆盖总览</w:t>
            </w:r>
          </w:p>
        </w:tc>
        <w:tc>
          <w:tcPr>
            <w:tcW w:w="1190" w:type="dxa"/>
            <w:tcMar>
              <w:top w:w="80" w:type="dxa"/>
              <w:left w:w="80" w:type="dxa"/>
              <w:bottom w:w="80" w:type="dxa"/>
              <w:right w:w="80" w:type="dxa"/>
            </w:tcMar>
            <w:vAlign w:val="center"/>
          </w:tcPr>
          <w:p w14:paraId="11BB0E77">
            <w:pPr>
              <w:jc w:val="center"/>
            </w:pPr>
            <w:r>
              <w:rPr>
                <w:rFonts w:ascii="Times New Roman" w:hAnsi="Times New Roman" w:eastAsia="??"/>
                <w:b w:val="0"/>
                <w:i w:val="0"/>
                <w:sz w:val="18"/>
              </w:rPr>
              <w:t>Q1</w:t>
            </w:r>
          </w:p>
        </w:tc>
        <w:tc>
          <w:tcPr>
            <w:tcW w:w="3628" w:type="dxa"/>
            <w:tcMar>
              <w:top w:w="80" w:type="dxa"/>
              <w:left w:w="80" w:type="dxa"/>
              <w:bottom w:w="80" w:type="dxa"/>
              <w:right w:w="80" w:type="dxa"/>
            </w:tcMar>
            <w:vAlign w:val="center"/>
          </w:tcPr>
          <w:p w14:paraId="20D8B47E">
            <w:pPr>
              <w:jc w:val="left"/>
            </w:pPr>
            <w:r>
              <w:rPr>
                <w:rFonts w:ascii="Times New Roman" w:hAnsi="Times New Roman" w:eastAsia="??"/>
                <w:b w:val="0"/>
                <w:i w:val="0"/>
                <w:sz w:val="18"/>
              </w:rPr>
              <w:t>单维度枚举</w:t>
            </w:r>
          </w:p>
        </w:tc>
      </w:tr>
      <w:tr w14:paraId="7445E4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531B70E9">
            <w:pPr>
              <w:jc w:val="center"/>
            </w:pPr>
            <w:r>
              <w:rPr>
                <w:rFonts w:ascii="Times New Roman" w:hAnsi="Times New Roman" w:eastAsia="??"/>
                <w:b w:val="0"/>
                <w:i w:val="0"/>
                <w:sz w:val="18"/>
              </w:rPr>
              <w:t>Level 2</w:t>
            </w:r>
          </w:p>
        </w:tc>
        <w:tc>
          <w:tcPr>
            <w:tcW w:w="1530" w:type="dxa"/>
            <w:tcMar>
              <w:top w:w="80" w:type="dxa"/>
              <w:left w:w="80" w:type="dxa"/>
              <w:bottom w:w="80" w:type="dxa"/>
              <w:right w:w="80" w:type="dxa"/>
            </w:tcMar>
            <w:vAlign w:val="center"/>
          </w:tcPr>
          <w:p w14:paraId="315626ED">
            <w:pPr>
              <w:jc w:val="center"/>
            </w:pPr>
            <w:r>
              <w:rPr>
                <w:rFonts w:ascii="Times New Roman" w:hAnsi="Times New Roman" w:eastAsia="??"/>
                <w:b w:val="0"/>
                <w:i w:val="0"/>
                <w:sz w:val="18"/>
              </w:rPr>
              <w:t>局部关系检索</w:t>
            </w:r>
          </w:p>
        </w:tc>
        <w:tc>
          <w:tcPr>
            <w:tcW w:w="1190" w:type="dxa"/>
            <w:tcMar>
              <w:top w:w="80" w:type="dxa"/>
              <w:left w:w="80" w:type="dxa"/>
              <w:bottom w:w="80" w:type="dxa"/>
              <w:right w:w="80" w:type="dxa"/>
            </w:tcMar>
            <w:vAlign w:val="center"/>
          </w:tcPr>
          <w:p w14:paraId="0F5986A5">
            <w:pPr>
              <w:jc w:val="center"/>
            </w:pPr>
            <w:r>
              <w:rPr>
                <w:rFonts w:ascii="Times New Roman" w:hAnsi="Times New Roman" w:eastAsia="??"/>
                <w:b w:val="0"/>
                <w:i w:val="0"/>
                <w:sz w:val="18"/>
              </w:rPr>
              <w:t>Q2, Q3</w:t>
            </w:r>
          </w:p>
        </w:tc>
        <w:tc>
          <w:tcPr>
            <w:tcW w:w="3628" w:type="dxa"/>
            <w:tcMar>
              <w:top w:w="80" w:type="dxa"/>
              <w:left w:w="80" w:type="dxa"/>
              <w:bottom w:w="80" w:type="dxa"/>
              <w:right w:w="80" w:type="dxa"/>
            </w:tcMar>
            <w:vAlign w:val="center"/>
          </w:tcPr>
          <w:p w14:paraId="6F2AEAE9">
            <w:pPr>
              <w:jc w:val="left"/>
            </w:pPr>
            <w:r>
              <w:rPr>
                <w:rFonts w:ascii="Times New Roman" w:hAnsi="Times New Roman" w:eastAsia="??"/>
                <w:b w:val="0"/>
                <w:i w:val="0"/>
                <w:sz w:val="18"/>
              </w:rPr>
              <w:t>二元关系识别</w:t>
            </w:r>
          </w:p>
        </w:tc>
      </w:tr>
      <w:tr w14:paraId="20E3D9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DAD938D">
            <w:pPr>
              <w:jc w:val="center"/>
            </w:pPr>
            <w:r>
              <w:rPr>
                <w:rFonts w:ascii="Times New Roman" w:hAnsi="Times New Roman" w:eastAsia="??"/>
                <w:b w:val="0"/>
                <w:i w:val="0"/>
                <w:sz w:val="18"/>
              </w:rPr>
              <w:t>Level 3</w:t>
            </w:r>
          </w:p>
        </w:tc>
        <w:tc>
          <w:tcPr>
            <w:tcW w:w="1530" w:type="dxa"/>
            <w:tcMar>
              <w:top w:w="80" w:type="dxa"/>
              <w:left w:w="80" w:type="dxa"/>
              <w:bottom w:w="80" w:type="dxa"/>
              <w:right w:w="80" w:type="dxa"/>
            </w:tcMar>
            <w:vAlign w:val="center"/>
          </w:tcPr>
          <w:p w14:paraId="73472313">
            <w:pPr>
              <w:jc w:val="center"/>
            </w:pPr>
            <w:r>
              <w:rPr>
                <w:rFonts w:ascii="Times New Roman" w:hAnsi="Times New Roman" w:eastAsia="??"/>
                <w:b w:val="0"/>
                <w:i w:val="0"/>
                <w:sz w:val="18"/>
              </w:rPr>
              <w:t>高阶条件组合</w:t>
            </w:r>
          </w:p>
        </w:tc>
        <w:tc>
          <w:tcPr>
            <w:tcW w:w="1190" w:type="dxa"/>
            <w:tcMar>
              <w:top w:w="80" w:type="dxa"/>
              <w:left w:w="80" w:type="dxa"/>
              <w:bottom w:w="80" w:type="dxa"/>
              <w:right w:w="80" w:type="dxa"/>
            </w:tcMar>
            <w:vAlign w:val="center"/>
          </w:tcPr>
          <w:p w14:paraId="702A3401">
            <w:pPr>
              <w:jc w:val="center"/>
            </w:pPr>
            <w:r>
              <w:rPr>
                <w:rFonts w:ascii="Times New Roman" w:hAnsi="Times New Roman" w:eastAsia="??"/>
                <w:b w:val="0"/>
                <w:i w:val="0"/>
                <w:sz w:val="18"/>
              </w:rPr>
              <w:t>Q4, Q5, Q6</w:t>
            </w:r>
          </w:p>
        </w:tc>
        <w:tc>
          <w:tcPr>
            <w:tcW w:w="3628" w:type="dxa"/>
            <w:tcMar>
              <w:top w:w="80" w:type="dxa"/>
              <w:left w:w="80" w:type="dxa"/>
              <w:bottom w:w="80" w:type="dxa"/>
              <w:right w:w="80" w:type="dxa"/>
            </w:tcMar>
            <w:vAlign w:val="center"/>
          </w:tcPr>
          <w:p w14:paraId="2FBACD40">
            <w:pPr>
              <w:jc w:val="left"/>
            </w:pPr>
            <w:r>
              <w:rPr>
                <w:rFonts w:ascii="Times New Roman" w:hAnsi="Times New Roman" w:eastAsia="??"/>
                <w:b w:val="0"/>
                <w:i w:val="0"/>
                <w:sz w:val="18"/>
              </w:rPr>
              <w:t>多元条件×性能匹配</w:t>
            </w:r>
          </w:p>
        </w:tc>
      </w:tr>
      <w:tr w14:paraId="68B7BD7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33" w:hRule="atLeast"/>
          <w:jc w:val="center"/>
        </w:trPr>
        <w:tc>
          <w:tcPr>
            <w:tcW w:w="1077" w:type="dxa"/>
            <w:tcMar>
              <w:top w:w="80" w:type="dxa"/>
              <w:left w:w="80" w:type="dxa"/>
              <w:bottom w:w="80" w:type="dxa"/>
              <w:right w:w="80" w:type="dxa"/>
            </w:tcMar>
            <w:vAlign w:val="center"/>
          </w:tcPr>
          <w:p w14:paraId="24C5214E">
            <w:pPr>
              <w:jc w:val="center"/>
            </w:pPr>
            <w:r>
              <w:rPr>
                <w:rFonts w:ascii="Times New Roman" w:hAnsi="Times New Roman" w:eastAsia="??"/>
                <w:b w:val="0"/>
                <w:i w:val="0"/>
                <w:sz w:val="18"/>
              </w:rPr>
              <w:t>Level 4</w:t>
            </w:r>
          </w:p>
        </w:tc>
        <w:tc>
          <w:tcPr>
            <w:tcW w:w="1530" w:type="dxa"/>
            <w:tcMar>
              <w:top w:w="80" w:type="dxa"/>
              <w:left w:w="80" w:type="dxa"/>
              <w:bottom w:w="80" w:type="dxa"/>
              <w:right w:w="80" w:type="dxa"/>
            </w:tcMar>
            <w:vAlign w:val="center"/>
          </w:tcPr>
          <w:p w14:paraId="7CD23554">
            <w:pPr>
              <w:jc w:val="center"/>
            </w:pPr>
            <w:r>
              <w:rPr>
                <w:rFonts w:ascii="Times New Roman" w:hAnsi="Times New Roman" w:eastAsia="??"/>
                <w:b w:val="0"/>
                <w:i w:val="0"/>
                <w:sz w:val="18"/>
              </w:rPr>
              <w:t>多材料横向对比</w:t>
            </w:r>
          </w:p>
        </w:tc>
        <w:tc>
          <w:tcPr>
            <w:tcW w:w="1190" w:type="dxa"/>
            <w:tcMar>
              <w:top w:w="80" w:type="dxa"/>
              <w:left w:w="80" w:type="dxa"/>
              <w:bottom w:w="80" w:type="dxa"/>
              <w:right w:w="80" w:type="dxa"/>
            </w:tcMar>
            <w:vAlign w:val="center"/>
          </w:tcPr>
          <w:p w14:paraId="40C720DC">
            <w:pPr>
              <w:jc w:val="center"/>
            </w:pPr>
            <w:r>
              <w:rPr>
                <w:rFonts w:ascii="Times New Roman" w:hAnsi="Times New Roman" w:eastAsia="??"/>
                <w:b w:val="0"/>
                <w:i w:val="0"/>
                <w:sz w:val="18"/>
              </w:rPr>
              <w:t>Q7, Q8</w:t>
            </w:r>
          </w:p>
        </w:tc>
        <w:tc>
          <w:tcPr>
            <w:tcW w:w="3628" w:type="dxa"/>
            <w:tcMar>
              <w:top w:w="80" w:type="dxa"/>
              <w:left w:w="80" w:type="dxa"/>
              <w:bottom w:w="80" w:type="dxa"/>
              <w:right w:w="80" w:type="dxa"/>
            </w:tcMar>
            <w:vAlign w:val="center"/>
          </w:tcPr>
          <w:p w14:paraId="6881FD5B">
            <w:pPr>
              <w:jc w:val="left"/>
            </w:pPr>
            <w:r>
              <w:rPr>
                <w:rFonts w:ascii="Times New Roman" w:hAnsi="Times New Roman" w:eastAsia="??"/>
                <w:b w:val="0"/>
                <w:i w:val="0"/>
                <w:sz w:val="18"/>
              </w:rPr>
              <w:t>多实体×多指标矩阵对比</w:t>
            </w:r>
          </w:p>
        </w:tc>
      </w:tr>
      <w:tr w14:paraId="68B699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1079AE2B">
            <w:pPr>
              <w:jc w:val="center"/>
            </w:pPr>
            <w:r>
              <w:rPr>
                <w:rFonts w:ascii="Times New Roman" w:hAnsi="Times New Roman" w:eastAsia="??"/>
                <w:b w:val="0"/>
                <w:i w:val="0"/>
                <w:sz w:val="18"/>
              </w:rPr>
              <w:t>Level 5</w:t>
            </w:r>
          </w:p>
        </w:tc>
        <w:tc>
          <w:tcPr>
            <w:tcW w:w="1530" w:type="dxa"/>
            <w:tcMar>
              <w:top w:w="80" w:type="dxa"/>
              <w:left w:w="80" w:type="dxa"/>
              <w:bottom w:w="80" w:type="dxa"/>
              <w:right w:w="80" w:type="dxa"/>
            </w:tcMar>
            <w:vAlign w:val="center"/>
          </w:tcPr>
          <w:p w14:paraId="7DB686C1">
            <w:pPr>
              <w:jc w:val="center"/>
            </w:pPr>
            <w:r>
              <w:rPr>
                <w:rFonts w:ascii="Times New Roman" w:hAnsi="Times New Roman" w:eastAsia="??"/>
                <w:b w:val="0"/>
                <w:i w:val="0"/>
                <w:sz w:val="18"/>
              </w:rPr>
              <w:t>机理解释链条</w:t>
            </w:r>
          </w:p>
        </w:tc>
        <w:tc>
          <w:tcPr>
            <w:tcW w:w="1190" w:type="dxa"/>
            <w:tcMar>
              <w:top w:w="80" w:type="dxa"/>
              <w:left w:w="80" w:type="dxa"/>
              <w:bottom w:w="80" w:type="dxa"/>
              <w:right w:w="80" w:type="dxa"/>
            </w:tcMar>
            <w:vAlign w:val="center"/>
          </w:tcPr>
          <w:p w14:paraId="4618CAEF">
            <w:pPr>
              <w:jc w:val="center"/>
            </w:pPr>
            <w:r>
              <w:rPr>
                <w:rFonts w:ascii="Times New Roman" w:hAnsi="Times New Roman" w:eastAsia="??"/>
                <w:b w:val="0"/>
                <w:i w:val="0"/>
                <w:sz w:val="18"/>
              </w:rPr>
              <w:t>Q9, Q10</w:t>
            </w:r>
          </w:p>
        </w:tc>
        <w:tc>
          <w:tcPr>
            <w:tcW w:w="3628" w:type="dxa"/>
            <w:tcMar>
              <w:top w:w="80" w:type="dxa"/>
              <w:left w:w="80" w:type="dxa"/>
              <w:bottom w:w="80" w:type="dxa"/>
              <w:right w:w="80" w:type="dxa"/>
            </w:tcMar>
            <w:vAlign w:val="center"/>
          </w:tcPr>
          <w:p w14:paraId="68BA6145">
            <w:pPr>
              <w:jc w:val="left"/>
            </w:pPr>
            <w:r>
              <w:rPr>
                <w:rFonts w:ascii="Times New Roman" w:hAnsi="Times New Roman" w:eastAsia="??"/>
                <w:b w:val="0"/>
                <w:i w:val="0"/>
                <w:sz w:val="18"/>
              </w:rPr>
              <w:t>因果链传导与归因</w:t>
            </w:r>
          </w:p>
        </w:tc>
      </w:tr>
      <w:tr w14:paraId="2E0D4A5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74" w:hRule="atLeast"/>
          <w:jc w:val="center"/>
        </w:trPr>
        <w:tc>
          <w:tcPr>
            <w:tcW w:w="1077" w:type="dxa"/>
            <w:tcMar>
              <w:top w:w="80" w:type="dxa"/>
              <w:left w:w="80" w:type="dxa"/>
              <w:bottom w:w="80" w:type="dxa"/>
              <w:right w:w="80" w:type="dxa"/>
            </w:tcMar>
            <w:vAlign w:val="center"/>
          </w:tcPr>
          <w:p w14:paraId="50D01CC2">
            <w:pPr>
              <w:jc w:val="center"/>
            </w:pPr>
            <w:r>
              <w:rPr>
                <w:rFonts w:ascii="Times New Roman" w:hAnsi="Times New Roman" w:eastAsia="??"/>
                <w:b w:val="0"/>
                <w:i w:val="0"/>
                <w:sz w:val="18"/>
              </w:rPr>
              <w:t>Level 6</w:t>
            </w:r>
          </w:p>
        </w:tc>
        <w:tc>
          <w:tcPr>
            <w:tcW w:w="1530" w:type="dxa"/>
            <w:tcMar>
              <w:top w:w="80" w:type="dxa"/>
              <w:left w:w="80" w:type="dxa"/>
              <w:bottom w:w="80" w:type="dxa"/>
              <w:right w:w="80" w:type="dxa"/>
            </w:tcMar>
            <w:vAlign w:val="center"/>
          </w:tcPr>
          <w:p w14:paraId="5ABA90EA">
            <w:pPr>
              <w:jc w:val="center"/>
            </w:pPr>
            <w:r>
              <w:rPr>
                <w:rFonts w:ascii="Times New Roman" w:hAnsi="Times New Roman" w:eastAsia="??"/>
                <w:b w:val="0"/>
                <w:i w:val="0"/>
                <w:sz w:val="18"/>
              </w:rPr>
              <w:t>策略推荐与创新</w:t>
            </w:r>
          </w:p>
        </w:tc>
        <w:tc>
          <w:tcPr>
            <w:tcW w:w="1190" w:type="dxa"/>
            <w:tcMar>
              <w:top w:w="80" w:type="dxa"/>
              <w:left w:w="80" w:type="dxa"/>
              <w:bottom w:w="80" w:type="dxa"/>
              <w:right w:w="80" w:type="dxa"/>
            </w:tcMar>
            <w:vAlign w:val="center"/>
          </w:tcPr>
          <w:p w14:paraId="2158EE8B">
            <w:pPr>
              <w:jc w:val="center"/>
            </w:pPr>
            <w:r>
              <w:rPr>
                <w:rFonts w:ascii="Times New Roman" w:hAnsi="Times New Roman" w:eastAsia="??"/>
                <w:b w:val="0"/>
                <w:i w:val="0"/>
                <w:sz w:val="18"/>
              </w:rPr>
              <w:t>Q11, Q12</w:t>
            </w:r>
          </w:p>
        </w:tc>
        <w:tc>
          <w:tcPr>
            <w:tcW w:w="3628" w:type="dxa"/>
            <w:tcMar>
              <w:top w:w="80" w:type="dxa"/>
              <w:left w:w="80" w:type="dxa"/>
              <w:bottom w:w="80" w:type="dxa"/>
              <w:right w:w="80" w:type="dxa"/>
            </w:tcMar>
            <w:vAlign w:val="center"/>
          </w:tcPr>
          <w:p w14:paraId="60D2155B">
            <w:pPr>
              <w:jc w:val="left"/>
            </w:pPr>
            <w:r>
              <w:rPr>
                <w:rFonts w:ascii="Times New Roman" w:hAnsi="Times New Roman" w:eastAsia="??"/>
                <w:b w:val="0"/>
                <w:i w:val="0"/>
                <w:sz w:val="18"/>
              </w:rPr>
              <w:t>跨体系归纳与知识迁移</w:t>
            </w:r>
          </w:p>
        </w:tc>
      </w:tr>
    </w:tbl>
    <w:p w14:paraId="01F87BFC"/>
    <w:p w14:paraId="3C278557">
      <w:pPr>
        <w:keepNext w:val="0"/>
        <w:spacing w:before="0" w:after="60" w:line="240" w:lineRule="auto"/>
        <w:ind w:firstLine="420"/>
        <w:jc w:val="both"/>
      </w:pPr>
      <w:r>
        <w:rPr>
          <w:rFonts w:ascii="Times New Roman" w:hAnsi="Times New Roman" w:eastAsia="宋体"/>
          <w:b w:val="0"/>
          <w:i w:val="0"/>
          <w:sz w:val="21"/>
        </w:rPr>
        <w:t>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p w14:paraId="3377F396">
      <w:pPr>
        <w:keepNext/>
        <w:spacing w:before="120" w:after="60" w:line="240" w:lineRule="auto"/>
        <w:jc w:val="left"/>
      </w:pPr>
      <w:r>
        <w:rPr>
          <w:rFonts w:ascii="Times New Roman" w:hAnsi="Times New Roman" w:eastAsia="楷体"/>
          <w:b w:val="0"/>
          <w:i w:val="0"/>
          <w:sz w:val="21"/>
        </w:rPr>
        <w:t>2.2.3 典型问题深度定性分析</w:t>
      </w:r>
    </w:p>
    <w:p w14:paraId="05A1A00B">
      <w:pPr>
        <w:keepNext w:val="0"/>
        <w:spacing w:before="0" w:after="60" w:line="240" w:lineRule="auto"/>
        <w:ind w:firstLine="420"/>
        <w:jc w:val="both"/>
      </w:pPr>
      <w:r>
        <w:rPr>
          <w:rFonts w:ascii="Times New Roman" w:hAnsi="Times New Roman" w:eastAsia="宋体"/>
          <w:b w:val="0"/>
          <w:i w:val="0"/>
          <w:sz w:val="21"/>
        </w:rPr>
        <w:t>以下选取5个代表性问题进行深度定性对比分析，涵盖Level 3至Level 6的难度梯度。</w:t>
      </w:r>
    </w:p>
    <w:p w14:paraId="327BD138">
      <w:pPr>
        <w:keepNext w:val="0"/>
        <w:spacing w:before="120" w:after="60" w:line="240" w:lineRule="auto"/>
        <w:jc w:val="left"/>
      </w:pPr>
      <w:r>
        <w:rPr>
          <w:rFonts w:ascii="Times New Roman" w:hAnsi="Times New Roman" w:eastAsia="黑体"/>
          <w:b/>
          <w:i w:val="0"/>
          <w:sz w:val="21"/>
        </w:rPr>
        <w:t>Q4：高电流密度下同时实现高CE/VE/EE的实验条件（Level 3）</w:t>
      </w:r>
    </w:p>
    <w:p w14:paraId="57AAE5C7">
      <w:pPr>
        <w:keepNext w:val="0"/>
        <w:spacing w:before="0" w:after="60" w:line="240" w:lineRule="auto"/>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14:paraId="1980DDF9">
      <w:pPr>
        <w:keepNext w:val="0"/>
        <w:spacing w:before="0" w:after="60" w:line="240" w:lineRule="auto"/>
        <w:ind w:firstLine="420"/>
        <w:jc w:val="both"/>
      </w:pPr>
      <w:r>
        <w:rPr>
          <w:rFonts w:ascii="Times New Roman" w:hAnsi="Times New Roman" w:eastAsia="宋体"/>
          <w:b w:val="0"/>
          <w:sz w:val="21"/>
        </w:rPr>
        <w:t>Hyper-ChE的回答以"体系-膜-电流密度-效率"四元组形式组织：在VRFB体系中，SPI@100 mA/cm²（CE 96.83%, EE 79.47%）、SNPBI-1.42@100 mA/cm²、SPEEK/APK@100 mA/cm²（EE 81.3%）、S/MWCNT-NH₂-2@100 mA/cm²（EE 82.04%）、SPTPC-2.59@280 mA/cm²（EE 80%）等具体组合被完整保留。</w:t>
      </w:r>
    </w:p>
    <w:p w14:paraId="70F8F813">
      <w:pPr>
        <w:keepNext w:val="0"/>
        <w:spacing w:before="0" w:after="60" w:line="240" w:lineRule="auto"/>
        <w:ind w:firstLine="420"/>
        <w:jc w:val="both"/>
      </w:pPr>
      <w:r>
        <w:rPr>
          <w:rFonts w:ascii="Times New Roman" w:hAnsi="Times New Roman" w:eastAsia="宋体"/>
          <w:b w:val="0"/>
          <w:i w:val="0"/>
          <w:sz w:val="21"/>
        </w:rPr>
        <w:t>Graph-RAG的回答在多元条件匹配方面存在不足。尽管召回了48条边，但仅触及1个实体节点，最终回答仅能确认SPTPC@280 mA/cm²和SPI@100 mA/cm²两个具体组合，其余部分较为笼统。</w:t>
      </w:r>
    </w:p>
    <w:p w14:paraId="4F8EEFE1">
      <w:pPr>
        <w:keepNext w:val="0"/>
        <w:spacing w:before="120" w:after="60" w:line="240" w:lineRule="auto"/>
        <w:jc w:val="left"/>
      </w:pPr>
      <w:r>
        <w:rPr>
          <w:rFonts w:ascii="Times New Roman" w:hAnsi="Times New Roman" w:eastAsia="黑体"/>
          <w:b/>
          <w:i w:val="0"/>
          <w:sz w:val="21"/>
        </w:rPr>
        <w:t>Q6：ICRFB中Bi基添加剂对HER和Cr动力学的影响（Level 3）</w:t>
      </w:r>
    </w:p>
    <w:p w14:paraId="05BDF280">
      <w:pPr>
        <w:keepNext w:val="0"/>
        <w:spacing w:before="0" w:after="60" w:line="240" w:lineRule="auto"/>
        <w:ind w:firstLine="420"/>
        <w:jc w:val="both"/>
      </w:pPr>
      <w:r>
        <w:rPr>
          <w:rFonts w:ascii="Times New Roman" w:hAnsi="Times New Roman" w:eastAsia="宋体"/>
          <w:b w:val="0"/>
          <w:sz w:val="21"/>
        </w:rPr>
        <w:t>Q6是一个典型的高阶条件组合问题，涉及添加剂形态、电极基底、电解液环境、催化效应和效率表现五个变量维度，且要求区分不同Bi形态的功能差异。Hyper-ChE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14:paraId="7F617CFE">
      <w:pPr>
        <w:keepNext w:val="0"/>
        <w:spacing w:before="120" w:after="60" w:line="240" w:lineRule="auto"/>
        <w:jc w:val="left"/>
      </w:pPr>
      <w:r>
        <w:rPr>
          <w:rFonts w:ascii="Times New Roman" w:hAnsi="Times New Roman" w:eastAsia="黑体"/>
          <w:b/>
          <w:i w:val="0"/>
          <w:sz w:val="21"/>
        </w:rPr>
        <w:t>Q7：Nafion、PBI、SpNPBI、SNPBI四类膜的横向对比（Level 4）</w:t>
      </w:r>
    </w:p>
    <w:p w14:paraId="3EE80843">
      <w:pPr>
        <w:keepNext w:val="0"/>
        <w:spacing w:before="0" w:after="60" w:line="240" w:lineRule="auto"/>
        <w:ind w:firstLine="420"/>
        <w:jc w:val="both"/>
      </w:pPr>
      <w:r>
        <w:rPr>
          <w:rFonts w:ascii="Times New Roman" w:hAnsi="Times New Roman" w:eastAsia="宋体"/>
          <w:b w:val="0"/>
          <w:sz w:val="21"/>
        </w:rPr>
        <w:t>Q7是一个多材料×多指标的综合对比问题。Hyper-ChE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14:paraId="6994492A">
      <w:pPr>
        <w:keepNext w:val="0"/>
        <w:spacing w:before="120" w:after="60" w:line="240" w:lineRule="auto"/>
        <w:jc w:val="left"/>
      </w:pPr>
      <w:r>
        <w:rPr>
          <w:rFonts w:ascii="Times New Roman" w:hAnsi="Times New Roman" w:eastAsia="黑体"/>
          <w:b/>
          <w:i w:val="0"/>
          <w:sz w:val="21"/>
        </w:rPr>
        <w:t>Q8：C-C、MC-C、BMC-C三种电极的横向对比（Level 4）</w:t>
      </w:r>
    </w:p>
    <w:p w14:paraId="544AC301">
      <w:pPr>
        <w:keepNext w:val="0"/>
        <w:spacing w:before="0" w:after="60" w:line="240" w:lineRule="auto"/>
        <w:ind w:firstLine="420"/>
        <w:jc w:val="both"/>
      </w:pPr>
      <w:r>
        <w:rPr>
          <w:rFonts w:ascii="Times New Roman" w:hAnsi="Times New Roman" w:eastAsia="宋体"/>
          <w:b w:val="0"/>
          <w:sz w:val="21"/>
        </w:rPr>
        <w:t>Hyper-ChE给出了50-500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14:paraId="05D3D88D">
      <w:pPr>
        <w:keepNext w:val="0"/>
        <w:spacing w:before="120" w:after="60" w:line="240" w:lineRule="auto"/>
        <w:jc w:val="left"/>
      </w:pPr>
      <w:r>
        <w:rPr>
          <w:rFonts w:ascii="Times New Roman" w:hAnsi="Times New Roman" w:eastAsia="黑体"/>
          <w:b/>
          <w:i w:val="0"/>
          <w:sz w:val="21"/>
        </w:rPr>
        <w:t>Q11：在高电流密度下保持高EE的综合策略（Level 6）</w:t>
      </w:r>
    </w:p>
    <w:p w14:paraId="03CBE9A3">
      <w:pPr>
        <w:keepNext w:val="0"/>
        <w:spacing w:before="0" w:after="60" w:line="240" w:lineRule="auto"/>
        <w:ind w:firstLine="420"/>
        <w:jc w:val="both"/>
      </w:pPr>
      <w:r>
        <w:rPr>
          <w:rFonts w:ascii="Times New Roman" w:hAnsi="Times New Roman" w:eastAsia="宋体"/>
          <w:b w:val="0"/>
          <w:sz w:val="21"/>
        </w:rPr>
        <w:t>Q11是案例集中难度最高的策略推荐型问题，要求跨越不同液流电池体系（VRFB、ICRFB、锌基），综合归纳多种技术路径的有效性证据。Hyper-ChE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14:paraId="3CAA6FCB">
      <w:pPr>
        <w:keepNext/>
        <w:spacing w:before="120" w:after="60" w:line="240" w:lineRule="auto"/>
        <w:jc w:val="left"/>
      </w:pPr>
      <w:r>
        <w:rPr>
          <w:rFonts w:ascii="Times New Roman" w:hAnsi="Times New Roman" w:eastAsia="楷体"/>
          <w:b w:val="0"/>
          <w:i w:val="0"/>
          <w:sz w:val="21"/>
        </w:rPr>
        <w:t>2.2.4 综合结论</w:t>
      </w:r>
    </w:p>
    <w:p w14:paraId="6FEE9C6E">
      <w:pPr>
        <w:keepNext w:val="0"/>
        <w:spacing w:before="0" w:after="60" w:line="240" w:lineRule="auto"/>
        <w:ind w:firstLine="420"/>
        <w:jc w:val="both"/>
      </w:pPr>
      <w:r>
        <w:rPr>
          <w:rFonts w:ascii="Times New Roman" w:hAnsi="Times New Roman" w:eastAsia="宋体"/>
          <w:b w:val="0"/>
          <w:i w:val="0"/>
          <w:sz w:val="21"/>
        </w:rPr>
        <w:t>上述5个典型问题的深度分析揭示了超图知识表示在科学文献检索中的潜在优势，其价值主要体现在以下三个方面：</w:t>
      </w:r>
    </w:p>
    <w:p w14:paraId="14E02BE9">
      <w:pPr>
        <w:keepNext w:val="0"/>
        <w:spacing w:before="0" w:after="60" w:line="240" w:lineRule="auto"/>
        <w:ind w:firstLine="420"/>
        <w:jc w:val="both"/>
      </w:pPr>
      <w:r>
        <w:rPr>
          <w:rFonts w:ascii="Times New Roman" w:hAnsi="Times New Roman" w:eastAsia="宋体"/>
          <w:b w:val="0"/>
          <w:sz w:val="21"/>
        </w:rPr>
        <w:t>条件完整性（Condition Integrity）。在Level 3及以上的问题中，答案质量高度依赖于"多个实验条件参数是否被作为整体召回"。Hyper-ChE的OPERATION和COMPOSITION超边将体系类型、材料名称、电流密度、效率数值等多元信息保存在同一关系结构中，有助于保持条件组合的连贯性。</w:t>
      </w:r>
    </w:p>
    <w:p w14:paraId="0A1FA4DF">
      <w:pPr>
        <w:keepNext w:val="0"/>
        <w:spacing w:before="0" w:after="60" w:line="240" w:lineRule="auto"/>
        <w:ind w:firstLine="420"/>
        <w:jc w:val="both"/>
      </w:pPr>
      <w:r>
        <w:rPr>
          <w:rFonts w:ascii="Times New Roman" w:hAnsi="Times New Roman" w:eastAsia="宋体"/>
          <w:b w:val="0"/>
          <w:sz w:val="21"/>
        </w:rPr>
        <w:t>上下文可解释性（Contextual Explainability）。Hyper-ChE不仅能够召回事实数据，还能通过DEGRADATION和COMPARISON超边召回"为什么有效"的机理解释，形成"数据+机理"的双层回答结构。</w:t>
      </w:r>
    </w:p>
    <w:p w14:paraId="39902581">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跨域关联能力（Cross-domain Association）。在Level 6的策略推荐型问题中，Hyper-ChE的高阶超边充当了不同体系之间的"语义桥梁"，为跨体系知识迁移提供了支持。</w:t>
      </w:r>
    </w:p>
    <w:p w14:paraId="54818727">
      <w:pPr>
        <w:keepNext w:val="0"/>
        <w:spacing w:before="0" w:after="60" w:line="240" w:lineRule="auto"/>
        <w:ind w:firstLine="420" w:firstLineChars="200"/>
        <w:jc w:val="both"/>
      </w:pPr>
      <w:r>
        <w:rPr>
          <w:rFonts w:ascii="Times New Roman" w:hAnsi="Times New Roman" w:eastAsia="宋体"/>
          <w:b w:val="0"/>
          <w:sz w:val="21"/>
        </w:rPr>
        <w:t>值得补充的是，Graph-RAG的局限主要源于其表示方式：二元边难以还原多变量实验事实的完整结构。在本案例集的全部12个问题中，Graph-RAG有9个问题中Hyper-ChE表现更好，其中3个问题出现"数据不足"的明确失败信号。</w:t>
      </w:r>
    </w:p>
    <w:p w14:paraId="4406E853">
      <w:pPr>
        <w:keepNext/>
        <w:spacing w:before="240" w:after="240" w:line="240" w:lineRule="auto"/>
        <w:jc w:val="left"/>
      </w:pPr>
      <w:r>
        <w:rPr>
          <w:rFonts w:ascii="Times New Roman" w:hAnsi="Times New Roman" w:eastAsia="黑体"/>
          <w:b/>
          <w:i w:val="0"/>
          <w:sz w:val="28"/>
        </w:rPr>
        <w:t>3 案例二：PFAS去除与降解文献中的高阶关系检索验证</w:t>
      </w:r>
    </w:p>
    <w:p w14:paraId="32B5FD94">
      <w:pPr>
        <w:keepNext/>
        <w:spacing w:before="120" w:after="60" w:line="240" w:lineRule="auto"/>
        <w:jc w:val="left"/>
      </w:pPr>
      <w:r>
        <w:rPr>
          <w:rFonts w:ascii="Times New Roman" w:hAnsi="Times New Roman" w:eastAsia="黑体"/>
          <w:b/>
          <w:i w:val="0"/>
          <w:sz w:val="21"/>
        </w:rPr>
        <w:t>3.1 数据来源与知识库构建</w:t>
      </w:r>
    </w:p>
    <w:p w14:paraId="74D26149">
      <w:pPr>
        <w:keepNext w:val="0"/>
        <w:spacing w:before="0" w:after="60" w:line="240" w:lineRule="auto"/>
        <w:ind w:firstLine="420"/>
        <w:jc w:val="both"/>
      </w:pPr>
      <w:r>
        <w:rPr>
          <w:rFonts w:ascii="Times New Roman" w:hAnsi="Times New Roman" w:eastAsia="宋体"/>
          <w:b w:val="0"/>
          <w:sz w:val="21"/>
        </w:rPr>
        <w:t>PFAS降解知识体系围绕核心反应器展开，实体类型替换为PFAS目标物、催化剂材料、活性物种、反应条件、性能指标等10类节点（图3a）。领域适配仅修改实体与关系类型，知识超图构建框架保持不变（图3b），说明该方法具备跨体系迁移能力。</w:t>
      </w:r>
    </w:p>
    <w:p w14:paraId="62051F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基于上述语料构建的PFAS降解案例知识库统计如表5所示。</w:t>
      </w:r>
      <w:bookmarkStart w:id="0" w:name="_GoBack"/>
      <w:bookmarkEnd w:id="0"/>
    </w:p>
    <w:p w14:paraId="5E23EFD9">
      <w:pPr>
        <w:keepNext w:val="0"/>
        <w:spacing w:before="0" w:after="60" w:line="240" w:lineRule="auto"/>
        <w:ind w:firstLine="420"/>
        <w:jc w:val="both"/>
        <w:rPr>
          <w:rFonts w:hint="eastAsia" w:ascii="Times New Roman" w:hAnsi="Times New Roman" w:eastAsia="宋体"/>
          <w:b w:val="0"/>
          <w:i w:val="0"/>
          <w:sz w:val="21"/>
          <w:lang w:eastAsia="zh-CN"/>
        </w:rPr>
      </w:pPr>
    </w:p>
    <w:p w14:paraId="2B3BE22F">
      <w:pPr>
        <w:keepNext w:val="0"/>
        <w:spacing w:before="120" w:after="60" w:line="240" w:lineRule="auto"/>
        <w:jc w:val="center"/>
      </w:pPr>
      <w:r>
        <w:rPr>
          <w:rFonts w:ascii="Times New Roman" w:hAnsi="Times New Roman" w:eastAsia="宋体"/>
          <w:b w:val="0"/>
          <w:i w:val="0"/>
          <w:sz w:val="18"/>
        </w:rPr>
        <w:t>表5 PFAS去除与降解知识库构建统计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1B180BB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79F1D24A">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3E260AE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1855965C">
            <w:pPr>
              <w:jc w:val="center"/>
            </w:pPr>
            <w:r>
              <w:rPr>
                <w:rFonts w:ascii="Times New Roman" w:hAnsi="Times New Roman" w:eastAsia="??"/>
                <w:b/>
                <w:i w:val="0"/>
                <w:sz w:val="19"/>
              </w:rPr>
              <w:t>说明</w:t>
            </w:r>
          </w:p>
        </w:tc>
      </w:tr>
      <w:tr w14:paraId="56F2068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6A091F">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6B1C35C5">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58D4E28E">
            <w:pPr>
              <w:jc w:val="left"/>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篇PFAS去除与降解领域文献</w:t>
            </w:r>
          </w:p>
        </w:tc>
      </w:tr>
      <w:tr w14:paraId="64B96E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8437FA8">
            <w:pPr>
              <w:jc w:val="center"/>
            </w:pPr>
            <w:r>
              <w:rPr>
                <w:rFonts w:ascii="Times New Roman" w:hAnsi="Times New Roman" w:eastAsia="??"/>
                <w:b w:val="0"/>
                <w:i w:val="0"/>
                <w:sz w:val="18"/>
              </w:rPr>
              <w:t>文本块</w:t>
            </w:r>
          </w:p>
        </w:tc>
        <w:tc>
          <w:tcPr>
            <w:tcW w:w="1134" w:type="dxa"/>
            <w:tcMar>
              <w:top w:w="80" w:type="dxa"/>
              <w:left w:w="80" w:type="dxa"/>
              <w:bottom w:w="80" w:type="dxa"/>
              <w:right w:w="80" w:type="dxa"/>
            </w:tcMar>
            <w:vAlign w:val="center"/>
          </w:tcPr>
          <w:p w14:paraId="47A37BF0">
            <w:pPr>
              <w:jc w:val="center"/>
            </w:pPr>
            <w:r>
              <w:rPr>
                <w:rFonts w:ascii="Times New Roman" w:hAnsi="Times New Roman" w:eastAsia="??"/>
                <w:b w:val="0"/>
                <w:i w:val="0"/>
                <w:sz w:val="18"/>
              </w:rPr>
              <w:t>599</w:t>
            </w:r>
          </w:p>
        </w:tc>
        <w:tc>
          <w:tcPr>
            <w:tcW w:w="4592" w:type="dxa"/>
            <w:tcMar>
              <w:top w:w="80" w:type="dxa"/>
              <w:left w:w="80" w:type="dxa"/>
              <w:bottom w:w="80" w:type="dxa"/>
              <w:right w:w="80" w:type="dxa"/>
            </w:tcMar>
            <w:vAlign w:val="center"/>
          </w:tcPr>
          <w:p w14:paraId="27D41AEA">
            <w:pPr>
              <w:jc w:val="left"/>
            </w:pPr>
            <w:r>
              <w:rPr>
                <w:rFonts w:ascii="Times New Roman" w:hAnsi="Times New Roman" w:eastAsia="??"/>
                <w:b w:val="0"/>
                <w:i w:val="0"/>
                <w:sz w:val="18"/>
              </w:rPr>
              <w:t>文献解析与分块后的基本抽取单元</w:t>
            </w:r>
          </w:p>
        </w:tc>
      </w:tr>
      <w:tr w14:paraId="272356F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58245EC">
            <w:pPr>
              <w:jc w:val="center"/>
            </w:pPr>
            <w:r>
              <w:rPr>
                <w:rFonts w:ascii="Times New Roman" w:hAnsi="Times New Roman" w:eastAsia="??"/>
                <w:b w:val="0"/>
                <w:i w:val="0"/>
                <w:sz w:val="18"/>
              </w:rPr>
              <w:t>实体节点</w:t>
            </w:r>
          </w:p>
        </w:tc>
        <w:tc>
          <w:tcPr>
            <w:tcW w:w="1134" w:type="dxa"/>
            <w:tcMar>
              <w:top w:w="80" w:type="dxa"/>
              <w:left w:w="80" w:type="dxa"/>
              <w:bottom w:w="80" w:type="dxa"/>
              <w:right w:w="80" w:type="dxa"/>
            </w:tcMar>
            <w:vAlign w:val="center"/>
          </w:tcPr>
          <w:p w14:paraId="17C735F5">
            <w:pPr>
              <w:jc w:val="center"/>
            </w:pPr>
            <w:r>
              <w:rPr>
                <w:rFonts w:ascii="Times New Roman" w:hAnsi="Times New Roman" w:eastAsia="??"/>
                <w:b w:val="0"/>
                <w:i w:val="0"/>
                <w:sz w:val="18"/>
              </w:rPr>
              <w:t>7253</w:t>
            </w:r>
          </w:p>
        </w:tc>
        <w:tc>
          <w:tcPr>
            <w:tcW w:w="4592" w:type="dxa"/>
            <w:tcMar>
              <w:top w:w="80" w:type="dxa"/>
              <w:left w:w="80" w:type="dxa"/>
              <w:bottom w:w="80" w:type="dxa"/>
              <w:right w:w="80" w:type="dxa"/>
            </w:tcMar>
            <w:vAlign w:val="center"/>
          </w:tcPr>
          <w:p w14:paraId="54821E65">
            <w:pPr>
              <w:jc w:val="left"/>
            </w:pPr>
            <w:r>
              <w:rPr>
                <w:rFonts w:ascii="Times New Roman" w:hAnsi="Times New Roman" w:eastAsia="??"/>
                <w:b w:val="0"/>
                <w:i w:val="0"/>
                <w:sz w:val="18"/>
              </w:rPr>
              <w:t>超图数据库中的全部实体节点</w:t>
            </w:r>
          </w:p>
        </w:tc>
      </w:tr>
      <w:tr w14:paraId="64706A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8ED1DB9">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E9536DE">
            <w:pPr>
              <w:jc w:val="center"/>
            </w:pPr>
            <w:r>
              <w:rPr>
                <w:rFonts w:ascii="Times New Roman" w:hAnsi="Times New Roman" w:eastAsia="??"/>
                <w:b w:val="0"/>
                <w:i w:val="0"/>
                <w:sz w:val="18"/>
              </w:rPr>
              <w:t>10363</w:t>
            </w:r>
          </w:p>
        </w:tc>
        <w:tc>
          <w:tcPr>
            <w:tcW w:w="4592" w:type="dxa"/>
            <w:tcMar>
              <w:top w:w="80" w:type="dxa"/>
              <w:left w:w="80" w:type="dxa"/>
              <w:bottom w:w="80" w:type="dxa"/>
              <w:right w:w="80" w:type="dxa"/>
            </w:tcMar>
            <w:vAlign w:val="center"/>
          </w:tcPr>
          <w:p w14:paraId="1A4E9DF2">
            <w:pPr>
              <w:jc w:val="left"/>
            </w:pPr>
            <w:r>
              <w:rPr>
                <w:rFonts w:ascii="Times New Roman" w:hAnsi="Times New Roman" w:eastAsia="??"/>
                <w:b w:val="0"/>
                <w:i w:val="0"/>
                <w:sz w:val="18"/>
              </w:rPr>
              <w:t>低阶关系与高阶超边总数</w:t>
            </w:r>
          </w:p>
        </w:tc>
      </w:tr>
      <w:tr w14:paraId="0BC705C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FC1DB7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4488B621">
            <w:pPr>
              <w:jc w:val="center"/>
            </w:pPr>
            <w:r>
              <w:rPr>
                <w:rFonts w:ascii="Times New Roman" w:hAnsi="Times New Roman" w:eastAsia="??"/>
                <w:b w:val="0"/>
                <w:i w:val="0"/>
                <w:sz w:val="18"/>
              </w:rPr>
              <w:t>8051</w:t>
            </w:r>
          </w:p>
        </w:tc>
        <w:tc>
          <w:tcPr>
            <w:tcW w:w="4592" w:type="dxa"/>
            <w:tcMar>
              <w:top w:w="80" w:type="dxa"/>
              <w:left w:w="80" w:type="dxa"/>
              <w:bottom w:w="80" w:type="dxa"/>
              <w:right w:w="80" w:type="dxa"/>
            </w:tcMar>
            <w:vAlign w:val="center"/>
          </w:tcPr>
          <w:p w14:paraId="67253A89">
            <w:pPr>
              <w:jc w:val="left"/>
            </w:pPr>
            <w:r>
              <w:rPr>
                <w:rFonts w:ascii="Times New Roman" w:hAnsi="Times New Roman" w:eastAsia="??"/>
                <w:b w:val="0"/>
                <w:i w:val="0"/>
                <w:sz w:val="18"/>
              </w:rPr>
              <w:t>二元关系，cardinality = 2</w:t>
            </w:r>
          </w:p>
        </w:tc>
      </w:tr>
      <w:tr w14:paraId="392C3B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6F684A5">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27BBE30A">
            <w:pPr>
              <w:jc w:val="center"/>
            </w:pPr>
            <w:r>
              <w:rPr>
                <w:rFonts w:ascii="Times New Roman" w:hAnsi="Times New Roman" w:eastAsia="??"/>
                <w:b w:val="0"/>
                <w:i w:val="0"/>
                <w:sz w:val="18"/>
              </w:rPr>
              <w:t>2278</w:t>
            </w:r>
          </w:p>
        </w:tc>
        <w:tc>
          <w:tcPr>
            <w:tcW w:w="4592" w:type="dxa"/>
            <w:tcMar>
              <w:top w:w="80" w:type="dxa"/>
              <w:left w:w="80" w:type="dxa"/>
              <w:bottom w:w="80" w:type="dxa"/>
              <w:right w:w="80" w:type="dxa"/>
            </w:tcMar>
            <w:vAlign w:val="center"/>
          </w:tcPr>
          <w:p w14:paraId="4273DD2F">
            <w:pPr>
              <w:jc w:val="left"/>
            </w:pPr>
            <w:r>
              <w:rPr>
                <w:rFonts w:ascii="Times New Roman" w:hAnsi="Times New Roman" w:eastAsia="??"/>
                <w:b w:val="0"/>
                <w:i w:val="0"/>
                <w:sz w:val="18"/>
              </w:rPr>
              <w:t>三元及以上关系，cardinality ≥ 3</w:t>
            </w:r>
          </w:p>
        </w:tc>
      </w:tr>
    </w:tbl>
    <w:p w14:paraId="3BDB6CE7"/>
    <w:p w14:paraId="0CA4B318">
      <w:pPr>
        <w:keepNext w:val="0"/>
        <w:spacing w:before="0" w:after="60" w:line="240" w:lineRule="auto"/>
        <w:ind w:firstLine="420"/>
        <w:jc w:val="both"/>
      </w:pPr>
      <w:r>
        <w:rPr>
          <w:rFonts w:ascii="Times New Roman" w:hAnsi="Times New Roman" w:eastAsia="宋体"/>
          <w:sz w:val="21"/>
        </w:rPr>
        <w:t>知识库覆盖50篇文献、599个文本块，提取7253个实体节点与10363条关系或超边，高阶超边占21.98%（图4c）。类型分布呈长尾特征（图4d）。该比例与液流电池案例的20.9%高度接近，表明多变量耦合是化工知识的普遍结构特征。</w:t>
      </w:r>
    </w:p>
    <w:p w14:paraId="5BC8FF25">
      <w:pPr>
        <w:keepNext w:val="0"/>
        <w:spacing w:before="120" w:after="60" w:line="240" w:lineRule="auto"/>
        <w:jc w:val="center"/>
      </w:pPr>
      <w:r>
        <w:rPr>
          <w:rFonts w:ascii="Times New Roman" w:hAnsi="Times New Roman" w:eastAsia="宋体"/>
          <w:b w:val="0"/>
          <w:i w:val="0"/>
          <w:sz w:val="18"/>
        </w:rPr>
        <w:t>表6 PFAS去除与降解案例实体类型分布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41CCA86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3D2FE7D9">
            <w:pPr>
              <w:jc w:val="center"/>
            </w:pPr>
            <w:r>
              <w:rPr>
                <w:rFonts w:ascii="Times New Roman" w:hAnsi="Times New Roman" w:eastAsia="??"/>
                <w:b/>
                <w:i w:val="0"/>
                <w:sz w:val="19"/>
              </w:rPr>
              <w:t>实体类型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5533C5">
            <w:pPr>
              <w:jc w:val="center"/>
            </w:pPr>
            <w:r>
              <w:rPr>
                <w:rFonts w:ascii="Times New Roman" w:hAnsi="Times New Roman" w:eastAsia="??"/>
                <w:b/>
                <w:i w:val="0"/>
                <w:sz w:val="19"/>
              </w:rPr>
              <w:t>数量</w:t>
            </w:r>
          </w:p>
        </w:tc>
      </w:tr>
      <w:tr w14:paraId="332627A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111CD6">
            <w:pPr>
              <w:jc w:val="left"/>
            </w:pPr>
            <w:r>
              <w:rPr>
                <w:rFonts w:ascii="Times New Roman" w:hAnsi="Times New Roman" w:eastAsia="??"/>
                <w:b w:val="0"/>
                <w:i w:val="0"/>
                <w:sz w:val="18"/>
              </w:rPr>
              <w:t>METRIC（性能指标）</w:t>
            </w:r>
          </w:p>
        </w:tc>
        <w:tc>
          <w:tcPr>
            <w:tcW w:w="1134" w:type="dxa"/>
            <w:tcMar>
              <w:top w:w="80" w:type="dxa"/>
              <w:left w:w="80" w:type="dxa"/>
              <w:bottom w:w="80" w:type="dxa"/>
              <w:right w:w="80" w:type="dxa"/>
            </w:tcMar>
            <w:vAlign w:val="center"/>
          </w:tcPr>
          <w:p w14:paraId="4E83F90C">
            <w:pPr>
              <w:jc w:val="center"/>
            </w:pPr>
            <w:r>
              <w:rPr>
                <w:rFonts w:ascii="Times New Roman" w:hAnsi="Times New Roman" w:eastAsia="??"/>
                <w:b w:val="0"/>
                <w:i w:val="0"/>
                <w:sz w:val="18"/>
              </w:rPr>
              <w:t>1397</w:t>
            </w:r>
          </w:p>
        </w:tc>
      </w:tr>
      <w:tr w14:paraId="377E953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4020A502">
            <w:pPr>
              <w:jc w:val="left"/>
            </w:pPr>
            <w:r>
              <w:rPr>
                <w:rFonts w:ascii="Times New Roman" w:hAnsi="Times New Roman" w:eastAsia="??"/>
                <w:b w:val="0"/>
                <w:i w:val="0"/>
                <w:sz w:val="18"/>
              </w:rPr>
              <w:t>CONDITION（反应条件）</w:t>
            </w:r>
          </w:p>
        </w:tc>
        <w:tc>
          <w:tcPr>
            <w:tcW w:w="1134" w:type="dxa"/>
            <w:tcMar>
              <w:top w:w="80" w:type="dxa"/>
              <w:left w:w="80" w:type="dxa"/>
              <w:bottom w:w="80" w:type="dxa"/>
              <w:right w:w="80" w:type="dxa"/>
            </w:tcMar>
            <w:vAlign w:val="center"/>
          </w:tcPr>
          <w:p w14:paraId="651BB19E">
            <w:pPr>
              <w:jc w:val="center"/>
            </w:pPr>
            <w:r>
              <w:rPr>
                <w:rFonts w:ascii="Times New Roman" w:hAnsi="Times New Roman" w:eastAsia="??"/>
                <w:b w:val="0"/>
                <w:i w:val="0"/>
                <w:sz w:val="18"/>
              </w:rPr>
              <w:t>1181</w:t>
            </w:r>
          </w:p>
        </w:tc>
      </w:tr>
      <w:tr w14:paraId="760080A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21724DA">
            <w:pPr>
              <w:jc w:val="left"/>
            </w:pPr>
            <w:r>
              <w:rPr>
                <w:rFonts w:ascii="Times New Roman" w:hAnsi="Times New Roman" w:eastAsia="??"/>
                <w:b w:val="0"/>
                <w:i w:val="0"/>
                <w:sz w:val="18"/>
              </w:rPr>
              <w:t>CATALYST_MATERIAL（催化材料）</w:t>
            </w:r>
          </w:p>
        </w:tc>
        <w:tc>
          <w:tcPr>
            <w:tcW w:w="1134" w:type="dxa"/>
            <w:tcMar>
              <w:top w:w="80" w:type="dxa"/>
              <w:left w:w="80" w:type="dxa"/>
              <w:bottom w:w="80" w:type="dxa"/>
              <w:right w:w="80" w:type="dxa"/>
            </w:tcMar>
            <w:vAlign w:val="center"/>
          </w:tcPr>
          <w:p w14:paraId="56137B62">
            <w:pPr>
              <w:jc w:val="center"/>
            </w:pPr>
            <w:r>
              <w:rPr>
                <w:rFonts w:ascii="Times New Roman" w:hAnsi="Times New Roman" w:eastAsia="??"/>
                <w:b w:val="0"/>
                <w:i w:val="0"/>
                <w:sz w:val="18"/>
              </w:rPr>
              <w:t>1181</w:t>
            </w:r>
          </w:p>
        </w:tc>
      </w:tr>
      <w:tr w14:paraId="626F961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05AB21B">
            <w:pPr>
              <w:jc w:val="left"/>
            </w:pPr>
            <w:r>
              <w:rPr>
                <w:rFonts w:ascii="Times New Roman" w:hAnsi="Times New Roman" w:eastAsia="??"/>
                <w:b w:val="0"/>
                <w:i w:val="0"/>
                <w:sz w:val="18"/>
              </w:rPr>
              <w:t>MATERIAL_FEATURE（材料特征）</w:t>
            </w:r>
          </w:p>
        </w:tc>
        <w:tc>
          <w:tcPr>
            <w:tcW w:w="1134" w:type="dxa"/>
            <w:tcMar>
              <w:top w:w="80" w:type="dxa"/>
              <w:left w:w="80" w:type="dxa"/>
              <w:bottom w:w="80" w:type="dxa"/>
              <w:right w:w="80" w:type="dxa"/>
            </w:tcMar>
            <w:vAlign w:val="center"/>
          </w:tcPr>
          <w:p w14:paraId="2A89F859">
            <w:pPr>
              <w:jc w:val="center"/>
            </w:pPr>
            <w:r>
              <w:rPr>
                <w:rFonts w:ascii="Times New Roman" w:hAnsi="Times New Roman" w:eastAsia="??"/>
                <w:b w:val="0"/>
                <w:i w:val="0"/>
                <w:sz w:val="18"/>
              </w:rPr>
              <w:t>1048</w:t>
            </w:r>
          </w:p>
        </w:tc>
      </w:tr>
      <w:tr w14:paraId="2CA765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B23C6F">
            <w:pPr>
              <w:jc w:val="left"/>
            </w:pPr>
            <w:r>
              <w:rPr>
                <w:rFonts w:ascii="Times New Roman" w:hAnsi="Times New Roman" w:eastAsia="??"/>
                <w:b w:val="0"/>
                <w:i w:val="0"/>
                <w:sz w:val="18"/>
              </w:rPr>
              <w:t>MECHANISM_EVIDENCE（机理证据）</w:t>
            </w:r>
          </w:p>
        </w:tc>
        <w:tc>
          <w:tcPr>
            <w:tcW w:w="1134" w:type="dxa"/>
            <w:tcMar>
              <w:top w:w="80" w:type="dxa"/>
              <w:left w:w="80" w:type="dxa"/>
              <w:bottom w:w="80" w:type="dxa"/>
              <w:right w:w="80" w:type="dxa"/>
            </w:tcMar>
            <w:vAlign w:val="center"/>
          </w:tcPr>
          <w:p w14:paraId="3BFA7DB8">
            <w:pPr>
              <w:jc w:val="center"/>
            </w:pPr>
            <w:r>
              <w:rPr>
                <w:rFonts w:ascii="Times New Roman" w:hAnsi="Times New Roman" w:eastAsia="??"/>
                <w:b w:val="0"/>
                <w:i w:val="0"/>
                <w:sz w:val="18"/>
              </w:rPr>
              <w:t>856</w:t>
            </w:r>
          </w:p>
        </w:tc>
      </w:tr>
      <w:tr w14:paraId="0BE1DF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3FE2C69">
            <w:pPr>
              <w:jc w:val="left"/>
            </w:pPr>
            <w:r>
              <w:rPr>
                <w:rFonts w:ascii="Times New Roman" w:hAnsi="Times New Roman" w:eastAsia="??"/>
                <w:b w:val="0"/>
                <w:i w:val="0"/>
                <w:sz w:val="18"/>
              </w:rPr>
              <w:t>PROCESS_STRATEGY（过程策略）</w:t>
            </w:r>
          </w:p>
        </w:tc>
        <w:tc>
          <w:tcPr>
            <w:tcW w:w="1134" w:type="dxa"/>
            <w:tcMar>
              <w:top w:w="80" w:type="dxa"/>
              <w:left w:w="80" w:type="dxa"/>
              <w:bottom w:w="80" w:type="dxa"/>
              <w:right w:w="80" w:type="dxa"/>
            </w:tcMar>
            <w:vAlign w:val="center"/>
          </w:tcPr>
          <w:p w14:paraId="44606D69">
            <w:pPr>
              <w:jc w:val="center"/>
            </w:pPr>
            <w:r>
              <w:rPr>
                <w:rFonts w:ascii="Times New Roman" w:hAnsi="Times New Roman" w:eastAsia="??"/>
                <w:b w:val="0"/>
                <w:i w:val="0"/>
                <w:sz w:val="18"/>
              </w:rPr>
              <w:t>503</w:t>
            </w:r>
          </w:p>
        </w:tc>
      </w:tr>
      <w:tr w14:paraId="6FBE2B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683DF78">
            <w:pPr>
              <w:jc w:val="left"/>
            </w:pPr>
            <w:r>
              <w:rPr>
                <w:rFonts w:ascii="Times New Roman" w:hAnsi="Times New Roman" w:eastAsia="??"/>
                <w:b w:val="0"/>
                <w:i w:val="0"/>
                <w:sz w:val="18"/>
              </w:rPr>
              <w:t>PFAS_TARGET（目标PFAS）</w:t>
            </w:r>
          </w:p>
        </w:tc>
        <w:tc>
          <w:tcPr>
            <w:tcW w:w="1134" w:type="dxa"/>
            <w:tcMar>
              <w:top w:w="80" w:type="dxa"/>
              <w:left w:w="80" w:type="dxa"/>
              <w:bottom w:w="80" w:type="dxa"/>
              <w:right w:w="80" w:type="dxa"/>
            </w:tcMar>
            <w:vAlign w:val="center"/>
          </w:tcPr>
          <w:p w14:paraId="56C4CC6E">
            <w:pPr>
              <w:jc w:val="center"/>
            </w:pPr>
            <w:r>
              <w:rPr>
                <w:rFonts w:ascii="Times New Roman" w:hAnsi="Times New Roman" w:eastAsia="??"/>
                <w:b w:val="0"/>
                <w:i w:val="0"/>
                <w:sz w:val="18"/>
              </w:rPr>
              <w:t>323</w:t>
            </w:r>
          </w:p>
        </w:tc>
      </w:tr>
      <w:tr w14:paraId="12F6DCF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BFABFE7">
            <w:pPr>
              <w:jc w:val="left"/>
            </w:pPr>
            <w:r>
              <w:rPr>
                <w:rFonts w:ascii="Times New Roman" w:hAnsi="Times New Roman" w:eastAsia="??"/>
                <w:b w:val="0"/>
                <w:i w:val="0"/>
                <w:sz w:val="18"/>
              </w:rPr>
              <w:t>ACTIVE_SPECIES（活性物种）</w:t>
            </w:r>
          </w:p>
        </w:tc>
        <w:tc>
          <w:tcPr>
            <w:tcW w:w="1134" w:type="dxa"/>
            <w:tcMar>
              <w:top w:w="80" w:type="dxa"/>
              <w:left w:w="80" w:type="dxa"/>
              <w:bottom w:w="80" w:type="dxa"/>
              <w:right w:w="80" w:type="dxa"/>
            </w:tcMar>
            <w:vAlign w:val="center"/>
          </w:tcPr>
          <w:p w14:paraId="360D5AF8">
            <w:pPr>
              <w:jc w:val="center"/>
            </w:pPr>
            <w:r>
              <w:rPr>
                <w:rFonts w:ascii="Times New Roman" w:hAnsi="Times New Roman" w:eastAsia="??"/>
                <w:b w:val="0"/>
                <w:i w:val="0"/>
                <w:sz w:val="18"/>
              </w:rPr>
              <w:t>312</w:t>
            </w:r>
          </w:p>
        </w:tc>
      </w:tr>
      <w:tr w14:paraId="4103BF8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635B63E">
            <w:pPr>
              <w:jc w:val="left"/>
            </w:pPr>
            <w:r>
              <w:rPr>
                <w:rFonts w:ascii="Times New Roman" w:hAnsi="Times New Roman" w:eastAsia="??"/>
                <w:b w:val="0"/>
                <w:i w:val="0"/>
                <w:sz w:val="18"/>
              </w:rPr>
              <w:t>PIEZO_PROPERTY（压电性质）</w:t>
            </w:r>
          </w:p>
        </w:tc>
        <w:tc>
          <w:tcPr>
            <w:tcW w:w="1134" w:type="dxa"/>
            <w:tcMar>
              <w:top w:w="80" w:type="dxa"/>
              <w:left w:w="80" w:type="dxa"/>
              <w:bottom w:w="80" w:type="dxa"/>
              <w:right w:w="80" w:type="dxa"/>
            </w:tcMar>
            <w:vAlign w:val="center"/>
          </w:tcPr>
          <w:p w14:paraId="550BA304">
            <w:pPr>
              <w:jc w:val="center"/>
            </w:pPr>
            <w:r>
              <w:rPr>
                <w:rFonts w:ascii="Times New Roman" w:hAnsi="Times New Roman" w:eastAsia="??"/>
                <w:b w:val="0"/>
                <w:i w:val="0"/>
                <w:sz w:val="18"/>
              </w:rPr>
              <w:t>249</w:t>
            </w:r>
          </w:p>
        </w:tc>
      </w:tr>
      <w:tr w14:paraId="6963471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7043FD0">
            <w:pPr>
              <w:jc w:val="left"/>
            </w:pPr>
            <w:r>
              <w:rPr>
                <w:rFonts w:ascii="Times New Roman" w:hAnsi="Times New Roman" w:eastAsia="??"/>
                <w:b w:val="0"/>
                <w:i w:val="0"/>
                <w:sz w:val="18"/>
              </w:rPr>
              <w:t>WATER_MATRIX（水体基质）</w:t>
            </w:r>
          </w:p>
        </w:tc>
        <w:tc>
          <w:tcPr>
            <w:tcW w:w="1134" w:type="dxa"/>
            <w:tcMar>
              <w:top w:w="80" w:type="dxa"/>
              <w:left w:w="80" w:type="dxa"/>
              <w:bottom w:w="80" w:type="dxa"/>
              <w:right w:w="80" w:type="dxa"/>
            </w:tcMar>
            <w:vAlign w:val="center"/>
          </w:tcPr>
          <w:p w14:paraId="7F2A5D12">
            <w:pPr>
              <w:jc w:val="center"/>
            </w:pPr>
            <w:r>
              <w:rPr>
                <w:rFonts w:ascii="Times New Roman" w:hAnsi="Times New Roman" w:eastAsia="??"/>
                <w:b w:val="0"/>
                <w:i w:val="0"/>
                <w:sz w:val="18"/>
              </w:rPr>
              <w:t>203</w:t>
            </w:r>
          </w:p>
        </w:tc>
      </w:tr>
    </w:tbl>
    <w:p w14:paraId="005F134C"/>
    <w:p w14:paraId="133BEBCF">
      <w:pPr>
        <w:keepNext w:val="0"/>
        <w:spacing w:before="120" w:after="60" w:line="240" w:lineRule="auto"/>
        <w:jc w:val="center"/>
      </w:pPr>
      <w:r>
        <w:rPr>
          <w:rFonts w:ascii="Times New Roman" w:hAnsi="Times New Roman" w:eastAsia="宋体"/>
          <w:b w:val="0"/>
          <w:i w:val="0"/>
          <w:sz w:val="18"/>
        </w:rPr>
        <w:t>表7 PFAS去除与降解案例关系/超边类型分布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5D116BA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1FA2A914">
            <w:pPr>
              <w:jc w:val="center"/>
            </w:pPr>
            <w:r>
              <w:rPr>
                <w:rFonts w:ascii="Times New Roman" w:hAnsi="Times New Roman" w:eastAsia="??"/>
                <w:b/>
                <w:i w:val="0"/>
                <w:sz w:val="19"/>
              </w:rPr>
              <w:t>关系/超边类型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1E7ADDA9">
            <w:pPr>
              <w:jc w:val="center"/>
            </w:pPr>
            <w:r>
              <w:rPr>
                <w:rFonts w:ascii="Times New Roman" w:hAnsi="Times New Roman" w:eastAsia="??"/>
                <w:b/>
                <w:i w:val="0"/>
                <w:sz w:val="19"/>
              </w:rPr>
              <w:t>数量</w:t>
            </w:r>
          </w:p>
        </w:tc>
      </w:tr>
      <w:tr w14:paraId="6C3C779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3831808">
            <w:pPr>
              <w:jc w:val="left"/>
            </w:pPr>
            <w:r>
              <w:rPr>
                <w:rFonts w:ascii="Times New Roman" w:hAnsi="Times New Roman" w:eastAsia="??"/>
                <w:b w:val="0"/>
                <w:i w:val="0"/>
                <w:sz w:val="18"/>
              </w:rPr>
              <w:t>OPERATION_PERFORMANCE（操作-性能关系）</w:t>
            </w:r>
          </w:p>
        </w:tc>
        <w:tc>
          <w:tcPr>
            <w:tcW w:w="1134" w:type="dxa"/>
            <w:tcMar>
              <w:top w:w="80" w:type="dxa"/>
              <w:left w:w="80" w:type="dxa"/>
              <w:bottom w:w="80" w:type="dxa"/>
              <w:right w:w="80" w:type="dxa"/>
            </w:tcMar>
            <w:vAlign w:val="center"/>
          </w:tcPr>
          <w:p w14:paraId="0ACFEC66">
            <w:pPr>
              <w:jc w:val="center"/>
            </w:pPr>
            <w:r>
              <w:rPr>
                <w:rFonts w:ascii="Times New Roman" w:hAnsi="Times New Roman" w:eastAsia="??"/>
                <w:b w:val="0"/>
                <w:i w:val="0"/>
                <w:sz w:val="18"/>
              </w:rPr>
              <w:t>3147</w:t>
            </w:r>
          </w:p>
        </w:tc>
      </w:tr>
      <w:tr w14:paraId="5B60CD1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2F36EC7">
            <w:pPr>
              <w:jc w:val="left"/>
            </w:pPr>
            <w:r>
              <w:rPr>
                <w:rFonts w:ascii="Times New Roman" w:hAnsi="Times New Roman" w:eastAsia="??"/>
                <w:b w:val="0"/>
                <w:i w:val="0"/>
                <w:sz w:val="18"/>
              </w:rPr>
              <w:t>MECHANISM_PATHWAY（机理路径关系）</w:t>
            </w:r>
          </w:p>
        </w:tc>
        <w:tc>
          <w:tcPr>
            <w:tcW w:w="1134" w:type="dxa"/>
            <w:tcMar>
              <w:top w:w="80" w:type="dxa"/>
              <w:left w:w="80" w:type="dxa"/>
              <w:bottom w:w="80" w:type="dxa"/>
              <w:right w:w="80" w:type="dxa"/>
            </w:tcMar>
            <w:vAlign w:val="center"/>
          </w:tcPr>
          <w:p w14:paraId="712158C8">
            <w:pPr>
              <w:jc w:val="center"/>
            </w:pPr>
            <w:r>
              <w:rPr>
                <w:rFonts w:ascii="Times New Roman" w:hAnsi="Times New Roman" w:eastAsia="??"/>
                <w:b w:val="0"/>
                <w:i w:val="0"/>
                <w:sz w:val="18"/>
              </w:rPr>
              <w:t>2511</w:t>
            </w:r>
          </w:p>
        </w:tc>
      </w:tr>
      <w:tr w14:paraId="2D44E6F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10835C6">
            <w:pPr>
              <w:jc w:val="left"/>
            </w:pPr>
            <w:r>
              <w:rPr>
                <w:rFonts w:ascii="Times New Roman" w:hAnsi="Times New Roman" w:eastAsia="??"/>
                <w:b w:val="0"/>
                <w:i w:val="0"/>
                <w:sz w:val="18"/>
              </w:rPr>
              <w:t>MATERIAL_DESIGN（材料设计关系）</w:t>
            </w:r>
          </w:p>
        </w:tc>
        <w:tc>
          <w:tcPr>
            <w:tcW w:w="1134" w:type="dxa"/>
            <w:tcMar>
              <w:top w:w="80" w:type="dxa"/>
              <w:left w:w="80" w:type="dxa"/>
              <w:bottom w:w="80" w:type="dxa"/>
              <w:right w:w="80" w:type="dxa"/>
            </w:tcMar>
            <w:vAlign w:val="center"/>
          </w:tcPr>
          <w:p w14:paraId="6E0A34D2">
            <w:pPr>
              <w:jc w:val="center"/>
            </w:pPr>
            <w:r>
              <w:rPr>
                <w:rFonts w:ascii="Times New Roman" w:hAnsi="Times New Roman" w:eastAsia="??"/>
                <w:b w:val="0"/>
                <w:i w:val="0"/>
                <w:sz w:val="18"/>
              </w:rPr>
              <w:t>2303</w:t>
            </w:r>
          </w:p>
        </w:tc>
      </w:tr>
      <w:tr w14:paraId="35A8540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8084499">
            <w:pPr>
              <w:jc w:val="left"/>
            </w:pPr>
            <w:r>
              <w:rPr>
                <w:rFonts w:ascii="Times New Roman" w:hAnsi="Times New Roman" w:eastAsia="??"/>
                <w:b w:val="0"/>
                <w:i w:val="0"/>
                <w:sz w:val="18"/>
              </w:rPr>
              <w:t>COMPARISON（比较关系）</w:t>
            </w:r>
          </w:p>
        </w:tc>
        <w:tc>
          <w:tcPr>
            <w:tcW w:w="1134" w:type="dxa"/>
            <w:tcMar>
              <w:top w:w="80" w:type="dxa"/>
              <w:left w:w="80" w:type="dxa"/>
              <w:bottom w:w="80" w:type="dxa"/>
              <w:right w:w="80" w:type="dxa"/>
            </w:tcMar>
            <w:vAlign w:val="center"/>
          </w:tcPr>
          <w:p w14:paraId="08017A2C">
            <w:pPr>
              <w:jc w:val="center"/>
            </w:pPr>
            <w:r>
              <w:rPr>
                <w:rFonts w:ascii="Times New Roman" w:hAnsi="Times New Roman" w:eastAsia="??"/>
                <w:b w:val="0"/>
                <w:i w:val="0"/>
                <w:sz w:val="18"/>
              </w:rPr>
              <w:t>943</w:t>
            </w:r>
          </w:p>
        </w:tc>
      </w:tr>
      <w:tr w14:paraId="4660E3A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37C2990">
            <w:pPr>
              <w:jc w:val="left"/>
            </w:pPr>
            <w:r>
              <w:rPr>
                <w:rFonts w:ascii="Times New Roman" w:hAnsi="Times New Roman" w:eastAsia="??"/>
                <w:b w:val="0"/>
                <w:i w:val="0"/>
                <w:sz w:val="18"/>
              </w:rPr>
              <w:t>MATRIX_APPLICATION（基质应用关系）</w:t>
            </w:r>
          </w:p>
        </w:tc>
        <w:tc>
          <w:tcPr>
            <w:tcW w:w="1134" w:type="dxa"/>
            <w:tcMar>
              <w:top w:w="80" w:type="dxa"/>
              <w:left w:w="80" w:type="dxa"/>
              <w:bottom w:w="80" w:type="dxa"/>
              <w:right w:w="80" w:type="dxa"/>
            </w:tcMar>
            <w:vAlign w:val="center"/>
          </w:tcPr>
          <w:p w14:paraId="0545DBD6">
            <w:pPr>
              <w:jc w:val="center"/>
            </w:pPr>
            <w:r>
              <w:rPr>
                <w:rFonts w:ascii="Times New Roman" w:hAnsi="Times New Roman" w:eastAsia="??"/>
                <w:b w:val="0"/>
                <w:i w:val="0"/>
                <w:sz w:val="18"/>
              </w:rPr>
              <w:t>563</w:t>
            </w:r>
          </w:p>
        </w:tc>
      </w:tr>
      <w:tr w14:paraId="3EE5A3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8997756">
            <w:pPr>
              <w:jc w:val="left"/>
            </w:pPr>
            <w:r>
              <w:rPr>
                <w:rFonts w:ascii="Times New Roman" w:hAnsi="Times New Roman" w:eastAsia="??"/>
                <w:b w:val="0"/>
                <w:i w:val="0"/>
                <w:sz w:val="18"/>
              </w:rPr>
              <w:t>COUPLING_STRATEGY（耦合策略关系）</w:t>
            </w:r>
          </w:p>
        </w:tc>
        <w:tc>
          <w:tcPr>
            <w:tcW w:w="1134" w:type="dxa"/>
            <w:tcMar>
              <w:top w:w="80" w:type="dxa"/>
              <w:left w:w="80" w:type="dxa"/>
              <w:bottom w:w="80" w:type="dxa"/>
              <w:right w:w="80" w:type="dxa"/>
            </w:tcMar>
            <w:vAlign w:val="center"/>
          </w:tcPr>
          <w:p w14:paraId="7159CCB3">
            <w:pPr>
              <w:jc w:val="center"/>
            </w:pPr>
            <w:r>
              <w:rPr>
                <w:rFonts w:ascii="Times New Roman" w:hAnsi="Times New Roman" w:eastAsia="??"/>
                <w:b w:val="0"/>
                <w:i w:val="0"/>
                <w:sz w:val="18"/>
              </w:rPr>
              <w:t>337</w:t>
            </w:r>
          </w:p>
        </w:tc>
      </w:tr>
      <w:tr w14:paraId="0A2B10D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6CDD9B0">
            <w:pPr>
              <w:jc w:val="left"/>
            </w:pPr>
            <w:r>
              <w:rPr>
                <w:rFonts w:ascii="Times New Roman" w:hAnsi="Times New Roman" w:eastAsia="??"/>
                <w:b w:val="0"/>
                <w:i w:val="0"/>
                <w:sz w:val="18"/>
              </w:rPr>
              <w:t>CHARGE_TRANSFER（电荷转移关系）</w:t>
            </w:r>
          </w:p>
        </w:tc>
        <w:tc>
          <w:tcPr>
            <w:tcW w:w="1134" w:type="dxa"/>
            <w:tcMar>
              <w:top w:w="80" w:type="dxa"/>
              <w:left w:w="80" w:type="dxa"/>
              <w:bottom w:w="80" w:type="dxa"/>
              <w:right w:w="80" w:type="dxa"/>
            </w:tcMar>
            <w:vAlign w:val="center"/>
          </w:tcPr>
          <w:p w14:paraId="405CDC54">
            <w:pPr>
              <w:jc w:val="center"/>
            </w:pPr>
            <w:r>
              <w:rPr>
                <w:rFonts w:ascii="Times New Roman" w:hAnsi="Times New Roman" w:eastAsia="??"/>
                <w:b w:val="0"/>
                <w:i w:val="0"/>
                <w:sz w:val="18"/>
              </w:rPr>
              <w:t>220</w:t>
            </w:r>
          </w:p>
        </w:tc>
      </w:tr>
      <w:tr w14:paraId="637BCE6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62850995">
            <w:pPr>
              <w:jc w:val="left"/>
            </w:pPr>
            <w:r>
              <w:rPr>
                <w:rFonts w:ascii="Times New Roman" w:hAnsi="Times New Roman" w:eastAsia="??"/>
                <w:b w:val="0"/>
                <w:i w:val="0"/>
                <w:sz w:val="18"/>
              </w:rPr>
              <w:t>ADSORPTION_ORIENTATION（吸附取向关系）</w:t>
            </w:r>
          </w:p>
        </w:tc>
        <w:tc>
          <w:tcPr>
            <w:tcW w:w="1134" w:type="dxa"/>
            <w:tcMar>
              <w:top w:w="80" w:type="dxa"/>
              <w:left w:w="80" w:type="dxa"/>
              <w:bottom w:w="80" w:type="dxa"/>
              <w:right w:w="80" w:type="dxa"/>
            </w:tcMar>
            <w:vAlign w:val="center"/>
          </w:tcPr>
          <w:p w14:paraId="6B48F00D">
            <w:pPr>
              <w:jc w:val="center"/>
            </w:pPr>
            <w:r>
              <w:rPr>
                <w:rFonts w:ascii="Times New Roman" w:hAnsi="Times New Roman" w:eastAsia="??"/>
                <w:b w:val="0"/>
                <w:i w:val="0"/>
                <w:sz w:val="18"/>
              </w:rPr>
              <w:t>189</w:t>
            </w:r>
          </w:p>
        </w:tc>
      </w:tr>
    </w:tbl>
    <w:p w14:paraId="5939FEAA"/>
    <w:p w14:paraId="772DFB78">
      <w:pPr>
        <w:keepNext w:val="0"/>
        <w:spacing w:before="0" w:after="60" w:line="240" w:lineRule="auto"/>
        <w:ind w:firstLine="420"/>
        <w:jc w:val="both"/>
      </w:pPr>
      <w:r>
        <w:rPr>
          <w:rFonts w:ascii="Times New Roman" w:hAnsi="Times New Roman" w:eastAsia="宋体"/>
          <w:sz w:val="21"/>
        </w:rPr>
        <w:t>设计了由概览到推荐的六级问题体系（图4e），涵盖单一事实、局部关联、条件组合、对比分析、机理证据链与策略推荐。在12题测试集上，Hyper-ChE平均召回81.5条超边，较Graph-RAG的37.9条提升约2.15倍（图4f），优势随问题复杂度增加而扩大。</w:t>
      </w:r>
    </w:p>
    <w:p>
      <w:pPr>
        <w:jc w:val="center"/>
      </w:pPr>
      <w:r>
        <w:drawing>
          <wp:inline xmlns:a="http://schemas.openxmlformats.org/drawingml/2006/main" xmlns:pic="http://schemas.openxmlformats.org/drawingml/2006/picture">
            <wp:extent cx="5303520" cy="3605898"/>
            <wp:docPr id="3" name="Picture 3"/>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303520" cy="3605898"/>
                    </a:xfrm>
                    <a:prstGeom prst="rect"/>
                  </pic:spPr>
                </pic:pic>
              </a:graphicData>
            </a:graphic>
          </wp:inline>
        </w:drawing>
      </w:r>
    </w:p>
    <w:p w14:paraId="4E37A42F">
      <w:pPr>
        <w:keepNext w:val="0"/>
        <w:spacing w:before="0" w:after="60" w:line="240" w:lineRule="auto"/>
        <w:ind w:firstLine="420"/>
        <w:jc w:val="both"/>
      </w:pPr>
      <w:r>
        <w:rPr>
          <w:rFonts w:ascii="Times New Roman" w:hAnsi="Times New Roman" w:eastAsia="宋体"/>
          <w:sz w:val="21"/>
        </w:rPr>
        <w:t>从领域适配角度来看，该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表明该框架在PFAS降解领域同样适用，能够适配不同化工子领域中"多变量共同约束实验事实"的表达需求。</w:t>
      </w:r>
    </w:p>
    <w:p w14:paraId="1EB203AD">
      <w:pPr>
        <w:keepNext w:val="0"/>
        <w:spacing w:before="0" w:after="60" w:line="240" w:lineRule="auto"/>
        <w:ind w:firstLine="420"/>
        <w:jc w:val="both"/>
      </w:pPr>
      <w:r>
        <w:rPr>
          <w:rFonts w:hint="eastAsia"/>
          <w:b w:val="0"/>
          <w:i w:val="0"/>
          <w:sz w:val="21"/>
          <w:lang w:val="en-US" w:eastAsia="zh-CN"/>
        </w:rPr>
        <w:t>和液流电池案例相同</w:t>
      </w:r>
      <w:r>
        <w:rPr>
          <w:rFonts w:ascii="Times New Roman" w:hAnsi="Times New Roman" w:eastAsia="宋体"/>
          <w:b w:val="0"/>
          <w:i w:val="0"/>
          <w:sz w:val="21"/>
        </w:rPr>
        <w:t>，本节</w:t>
      </w:r>
      <w:r>
        <w:rPr>
          <w:rFonts w:hint="eastAsia"/>
          <w:b w:val="0"/>
          <w:i w:val="0"/>
          <w:sz w:val="21"/>
          <w:lang w:val="en-US" w:eastAsia="zh-CN"/>
        </w:rPr>
        <w:t>同样仅</w:t>
      </w:r>
      <w:r>
        <w:rPr>
          <w:rFonts w:ascii="Times New Roman" w:hAnsi="Times New Roman" w:eastAsia="宋体"/>
          <w:b w:val="0"/>
          <w:i w:val="0"/>
          <w:sz w:val="21"/>
        </w:rPr>
        <w:t>将其</w:t>
      </w:r>
      <w:r>
        <w:rPr>
          <w:rFonts w:hint="eastAsia"/>
          <w:b w:val="0"/>
          <w:i w:val="0"/>
          <w:sz w:val="21"/>
          <w:lang w:val="en-US" w:eastAsia="zh-CN"/>
        </w:rPr>
        <w:t>问答结果作为</w:t>
      </w:r>
      <w:r>
        <w:rPr>
          <w:rFonts w:ascii="Times New Roman" w:hAnsi="Times New Roman" w:eastAsia="宋体"/>
          <w:b w:val="0"/>
          <w:i w:val="0"/>
          <w:sz w:val="21"/>
        </w:rPr>
        <w:t>检索增强效果的验证。</w:t>
      </w:r>
    </w:p>
    <w:p w14:paraId="40934CEF">
      <w:pPr>
        <w:jc w:val="center"/>
      </w:pPr>
    </w:p>
    <w:p w14:paraId="14D472C8">
      <w:pPr>
        <w:jc w:val="center"/>
      </w:pPr>
      <w:r>
        <w:rPr>
          <w:rFonts w:ascii="Times New Roman" w:hAnsi="Times New Roman" w:eastAsia="宋体"/>
          <w:sz w:val="18"/>
        </w:rPr>
        <w:t>图4  PFAS去除与降解案例：（a）实验知识图谱（10实体类型）；（b）领域适配抽取方案；（c）知识库概览（50篇/599块/7253实体/10363关系/21.98%高阶）；（d）类型分布；（e）问题分层；（f）Q1-Q12检索召回对比</w:t>
      </w:r>
    </w:p>
    <w:p w14:paraId="6D12BE26">
      <w:pPr>
        <w:keepNext/>
        <w:spacing w:before="120" w:after="60" w:line="240" w:lineRule="auto"/>
        <w:jc w:val="left"/>
      </w:pPr>
      <w:r>
        <w:rPr>
          <w:rFonts w:ascii="Times New Roman" w:hAnsi="Times New Roman" w:eastAsia="黑体"/>
          <w:b/>
          <w:i w:val="0"/>
          <w:sz w:val="21"/>
        </w:rPr>
        <w:t>3.2 问题设置与总体检索差异</w:t>
      </w:r>
    </w:p>
    <w:p w14:paraId="3D7E3F69">
      <w:pPr>
        <w:keepNext w:val="0"/>
        <w:spacing w:before="0" w:after="60" w:line="240" w:lineRule="auto"/>
        <w:ind w:firstLine="420"/>
        <w:jc w:val="both"/>
      </w:pPr>
      <w:r>
        <w:rPr>
          <w:rFonts w:ascii="Times New Roman" w:hAnsi="Times New Roman" w:eastAsia="宋体"/>
          <w:sz w:val="21"/>
        </w:rPr>
        <w:t>为系统评估超图结构在PFAS去除与降解专业知识检索中的表现，设计了覆盖6个难度层次的12个代表性问题（编号Q1~Q12），均使用Hyper-ChE和Graph-RAG进行检索与回答。问题题目未显式提及"超图"，以保证两套系统在相同自然语言查询条件下的对比公平性。表8给出了问题难度分层与对应问题编号。</w:t>
      </w:r>
    </w:p>
    <w:p w14:paraId="4FD9F90F">
      <w:pPr>
        <w:keepNext w:val="0"/>
        <w:spacing w:before="120" w:after="60" w:line="240" w:lineRule="auto"/>
        <w:jc w:val="center"/>
      </w:pPr>
      <w:r>
        <w:rPr>
          <w:rFonts w:ascii="Times New Roman" w:hAnsi="Times New Roman" w:eastAsia="宋体"/>
          <w:b w:val="0"/>
          <w:i w:val="0"/>
          <w:sz w:val="18"/>
        </w:rPr>
        <w:t>表8 PFAS去除与降解案例问题难度分层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57CF7CF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73F646F8">
            <w:pPr>
              <w:jc w:val="center"/>
            </w:pPr>
            <w:r>
              <w:rPr>
                <w:rFonts w:ascii="Times New Roman" w:hAnsi="Times New Roman" w:eastAsia="??"/>
                <w:b/>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145BA6DB">
            <w:pPr>
              <w:jc w:val="center"/>
            </w:pPr>
            <w:r>
              <w:rPr>
                <w:rFonts w:ascii="Times New Roman" w:hAnsi="Times New Roman" w:eastAsia="??"/>
                <w:b/>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3EC83C8">
            <w:pPr>
              <w:jc w:val="center"/>
            </w:pPr>
            <w:r>
              <w:rPr>
                <w:rFonts w:ascii="Times New Roman" w:hAnsi="Times New Roman" w:eastAsia="??"/>
                <w:b/>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7F014097">
            <w:pPr>
              <w:jc w:val="center"/>
            </w:pPr>
            <w:r>
              <w:rPr>
                <w:rFonts w:ascii="Times New Roman" w:hAnsi="Times New Roman" w:eastAsia="??"/>
                <w:b/>
                <w:sz w:val="19"/>
              </w:rPr>
              <w:t>核心认知要求</w:t>
            </w:r>
          </w:p>
        </w:tc>
      </w:tr>
      <w:tr w14:paraId="0E7FF6B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3EA2A03B">
            <w:pPr>
              <w:jc w:val="center"/>
            </w:pPr>
            <w:r>
              <w:rPr>
                <w:rFonts w:ascii="Times New Roman" w:hAnsi="Times New Roman" w:eastAsia="??"/>
                <w:b w:val="0"/>
                <w:sz w:val="18"/>
              </w:rPr>
              <w:t>Level 1</w:t>
            </w:r>
          </w:p>
        </w:tc>
        <w:tc>
          <w:tcPr>
            <w:tcW w:w="1530" w:type="dxa"/>
            <w:tcMar>
              <w:top w:w="80" w:type="dxa"/>
              <w:left w:w="80" w:type="dxa"/>
              <w:bottom w:w="80" w:type="dxa"/>
              <w:right w:w="80" w:type="dxa"/>
            </w:tcMar>
            <w:vAlign w:val="center"/>
          </w:tcPr>
          <w:p w14:paraId="7339EEE8">
            <w:pPr>
              <w:jc w:val="center"/>
            </w:pPr>
            <w:r>
              <w:rPr>
                <w:rFonts w:ascii="Times New Roman" w:hAnsi="Times New Roman" w:eastAsia="??"/>
                <w:b w:val="0"/>
                <w:sz w:val="18"/>
              </w:rPr>
              <w:t>语料总览型</w:t>
            </w:r>
          </w:p>
        </w:tc>
        <w:tc>
          <w:tcPr>
            <w:tcW w:w="1190" w:type="dxa"/>
            <w:tcMar>
              <w:top w:w="80" w:type="dxa"/>
              <w:left w:w="80" w:type="dxa"/>
              <w:bottom w:w="80" w:type="dxa"/>
              <w:right w:w="80" w:type="dxa"/>
            </w:tcMar>
            <w:vAlign w:val="center"/>
          </w:tcPr>
          <w:p w14:paraId="3A1825F1">
            <w:pPr>
              <w:jc w:val="center"/>
            </w:pPr>
            <w:r>
              <w:rPr>
                <w:rFonts w:ascii="Times New Roman" w:hAnsi="Times New Roman" w:eastAsia="??"/>
                <w:b w:val="0"/>
                <w:sz w:val="18"/>
              </w:rPr>
              <w:t>Q1~Q2</w:t>
            </w:r>
          </w:p>
        </w:tc>
        <w:tc>
          <w:tcPr>
            <w:tcW w:w="3628" w:type="dxa"/>
            <w:tcMar>
              <w:top w:w="80" w:type="dxa"/>
              <w:left w:w="80" w:type="dxa"/>
              <w:bottom w:w="80" w:type="dxa"/>
              <w:right w:w="80" w:type="dxa"/>
            </w:tcMar>
            <w:vAlign w:val="center"/>
          </w:tcPr>
          <w:p w14:paraId="5200717C">
            <w:pPr>
              <w:jc w:val="left"/>
            </w:pPr>
            <w:r>
              <w:rPr>
                <w:rFonts w:ascii="Times New Roman" w:hAnsi="Times New Roman" w:eastAsia="??"/>
                <w:b w:val="0"/>
                <w:sz w:val="18"/>
              </w:rPr>
              <w:t>污染物、处理策略、材料体系和指标的宏观归纳</w:t>
            </w:r>
          </w:p>
        </w:tc>
      </w:tr>
      <w:tr w14:paraId="124E3A4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0AA8B34">
            <w:pPr>
              <w:jc w:val="center"/>
            </w:pPr>
            <w:r>
              <w:rPr>
                <w:rFonts w:ascii="Times New Roman" w:hAnsi="Times New Roman" w:eastAsia="??"/>
                <w:b w:val="0"/>
                <w:sz w:val="18"/>
              </w:rPr>
              <w:t>Level 2</w:t>
            </w:r>
          </w:p>
        </w:tc>
        <w:tc>
          <w:tcPr>
            <w:tcW w:w="1530" w:type="dxa"/>
            <w:tcMar>
              <w:top w:w="80" w:type="dxa"/>
              <w:left w:w="80" w:type="dxa"/>
              <w:bottom w:w="80" w:type="dxa"/>
              <w:right w:w="80" w:type="dxa"/>
            </w:tcMar>
            <w:vAlign w:val="center"/>
          </w:tcPr>
          <w:p w14:paraId="1CA4056C">
            <w:pPr>
              <w:jc w:val="center"/>
            </w:pPr>
            <w:r>
              <w:rPr>
                <w:rFonts w:ascii="Times New Roman" w:hAnsi="Times New Roman" w:eastAsia="??"/>
                <w:b w:val="0"/>
                <w:sz w:val="18"/>
              </w:rPr>
              <w:t>局部关系检索型</w:t>
            </w:r>
          </w:p>
        </w:tc>
        <w:tc>
          <w:tcPr>
            <w:tcW w:w="1190" w:type="dxa"/>
            <w:tcMar>
              <w:top w:w="80" w:type="dxa"/>
              <w:left w:w="80" w:type="dxa"/>
              <w:bottom w:w="80" w:type="dxa"/>
              <w:right w:w="80" w:type="dxa"/>
            </w:tcMar>
            <w:vAlign w:val="center"/>
          </w:tcPr>
          <w:p w14:paraId="09730BB6">
            <w:pPr>
              <w:jc w:val="center"/>
            </w:pPr>
            <w:r>
              <w:rPr>
                <w:rFonts w:ascii="Times New Roman" w:hAnsi="Times New Roman" w:eastAsia="??"/>
                <w:b w:val="0"/>
                <w:sz w:val="18"/>
              </w:rPr>
              <w:t>Q3~Q4</w:t>
            </w:r>
          </w:p>
        </w:tc>
        <w:tc>
          <w:tcPr>
            <w:tcW w:w="3628" w:type="dxa"/>
            <w:tcMar>
              <w:top w:w="80" w:type="dxa"/>
              <w:left w:w="80" w:type="dxa"/>
              <w:bottom w:w="80" w:type="dxa"/>
              <w:right w:w="80" w:type="dxa"/>
            </w:tcMar>
            <w:vAlign w:val="center"/>
          </w:tcPr>
          <w:p w14:paraId="07208EDB">
            <w:pPr>
              <w:jc w:val="left"/>
            </w:pPr>
            <w:r>
              <w:rPr>
                <w:rFonts w:ascii="Times New Roman" w:hAnsi="Times New Roman" w:eastAsia="??"/>
                <w:b w:val="0"/>
                <w:sz w:val="18"/>
              </w:rPr>
              <w:t>目标PFAS、材料、条件和指标的局部关系识别</w:t>
            </w:r>
          </w:p>
        </w:tc>
      </w:tr>
      <w:tr w14:paraId="07D6B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4809765">
            <w:pPr>
              <w:jc w:val="center"/>
            </w:pPr>
            <w:r>
              <w:rPr>
                <w:rFonts w:ascii="Times New Roman" w:hAnsi="Times New Roman" w:eastAsia="??"/>
                <w:b w:val="0"/>
                <w:sz w:val="18"/>
              </w:rPr>
              <w:t>Level 3</w:t>
            </w:r>
          </w:p>
        </w:tc>
        <w:tc>
          <w:tcPr>
            <w:tcW w:w="1530" w:type="dxa"/>
            <w:tcMar>
              <w:top w:w="80" w:type="dxa"/>
              <w:left w:w="80" w:type="dxa"/>
              <w:bottom w:w="80" w:type="dxa"/>
              <w:right w:w="80" w:type="dxa"/>
            </w:tcMar>
            <w:vAlign w:val="center"/>
          </w:tcPr>
          <w:p w14:paraId="6D0ADD57">
            <w:pPr>
              <w:jc w:val="center"/>
            </w:pPr>
            <w:r>
              <w:rPr>
                <w:rFonts w:ascii="Times New Roman" w:hAnsi="Times New Roman" w:eastAsia="??"/>
                <w:b w:val="0"/>
                <w:sz w:val="18"/>
              </w:rPr>
              <w:t>条件组合型</w:t>
            </w:r>
          </w:p>
        </w:tc>
        <w:tc>
          <w:tcPr>
            <w:tcW w:w="1190" w:type="dxa"/>
            <w:tcMar>
              <w:top w:w="80" w:type="dxa"/>
              <w:left w:w="80" w:type="dxa"/>
              <w:bottom w:w="80" w:type="dxa"/>
              <w:right w:w="80" w:type="dxa"/>
            </w:tcMar>
            <w:vAlign w:val="center"/>
          </w:tcPr>
          <w:p w14:paraId="20B0F5BB">
            <w:pPr>
              <w:jc w:val="center"/>
            </w:pPr>
            <w:r>
              <w:rPr>
                <w:rFonts w:ascii="Times New Roman" w:hAnsi="Times New Roman" w:eastAsia="??"/>
                <w:b w:val="0"/>
                <w:sz w:val="18"/>
              </w:rPr>
              <w:t>Q5~Q6</w:t>
            </w:r>
          </w:p>
        </w:tc>
        <w:tc>
          <w:tcPr>
            <w:tcW w:w="3628" w:type="dxa"/>
            <w:tcMar>
              <w:top w:w="80" w:type="dxa"/>
              <w:left w:w="80" w:type="dxa"/>
              <w:bottom w:w="80" w:type="dxa"/>
              <w:right w:w="80" w:type="dxa"/>
            </w:tcMar>
            <w:vAlign w:val="center"/>
          </w:tcPr>
          <w:p w14:paraId="1C8DB1B9">
            <w:pPr>
              <w:jc w:val="left"/>
            </w:pPr>
            <w:r>
              <w:rPr>
                <w:rFonts w:ascii="Times New Roman" w:hAnsi="Times New Roman" w:eastAsia="??"/>
                <w:b w:val="0"/>
                <w:sz w:val="18"/>
              </w:rPr>
              <w:t>多条件共同约束下的性能与材料性质关联</w:t>
            </w:r>
          </w:p>
        </w:tc>
      </w:tr>
      <w:tr w14:paraId="6AD076F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48645FA">
            <w:pPr>
              <w:jc w:val="center"/>
            </w:pPr>
            <w:r>
              <w:rPr>
                <w:rFonts w:ascii="Times New Roman" w:hAnsi="Times New Roman" w:eastAsia="??"/>
                <w:b w:val="0"/>
                <w:sz w:val="18"/>
              </w:rPr>
              <w:t>Level 4</w:t>
            </w:r>
          </w:p>
        </w:tc>
        <w:tc>
          <w:tcPr>
            <w:tcW w:w="1530" w:type="dxa"/>
            <w:tcMar>
              <w:top w:w="80" w:type="dxa"/>
              <w:left w:w="80" w:type="dxa"/>
              <w:bottom w:w="80" w:type="dxa"/>
              <w:right w:w="80" w:type="dxa"/>
            </w:tcMar>
            <w:vAlign w:val="center"/>
          </w:tcPr>
          <w:p w14:paraId="1860B1E5">
            <w:pPr>
              <w:jc w:val="center"/>
            </w:pPr>
            <w:r>
              <w:rPr>
                <w:rFonts w:ascii="Times New Roman" w:hAnsi="Times New Roman" w:eastAsia="??"/>
                <w:b w:val="0"/>
                <w:sz w:val="18"/>
              </w:rPr>
              <w:t>对比分析型</w:t>
            </w:r>
          </w:p>
        </w:tc>
        <w:tc>
          <w:tcPr>
            <w:tcW w:w="1190" w:type="dxa"/>
            <w:tcMar>
              <w:top w:w="80" w:type="dxa"/>
              <w:left w:w="80" w:type="dxa"/>
              <w:bottom w:w="80" w:type="dxa"/>
              <w:right w:w="80" w:type="dxa"/>
            </w:tcMar>
            <w:vAlign w:val="center"/>
          </w:tcPr>
          <w:p w14:paraId="29BB7197">
            <w:pPr>
              <w:jc w:val="center"/>
            </w:pPr>
            <w:r>
              <w:rPr>
                <w:rFonts w:ascii="Times New Roman" w:hAnsi="Times New Roman" w:eastAsia="??"/>
                <w:b w:val="0"/>
                <w:sz w:val="18"/>
              </w:rPr>
              <w:t>Q7~Q8</w:t>
            </w:r>
          </w:p>
        </w:tc>
        <w:tc>
          <w:tcPr>
            <w:tcW w:w="3628" w:type="dxa"/>
            <w:tcMar>
              <w:top w:w="80" w:type="dxa"/>
              <w:left w:w="80" w:type="dxa"/>
              <w:bottom w:w="80" w:type="dxa"/>
              <w:right w:w="80" w:type="dxa"/>
            </w:tcMar>
            <w:vAlign w:val="center"/>
          </w:tcPr>
          <w:p w14:paraId="1DC727C0">
            <w:pPr>
              <w:jc w:val="left"/>
            </w:pPr>
            <w:r>
              <w:rPr>
                <w:rFonts w:ascii="Times New Roman" w:hAnsi="Times New Roman" w:eastAsia="??"/>
                <w:b w:val="0"/>
                <w:sz w:val="18"/>
              </w:rPr>
              <w:t>跨策略、跨污染物类型的横向比较</w:t>
            </w:r>
          </w:p>
        </w:tc>
      </w:tr>
      <w:tr w14:paraId="66056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2D0914F">
            <w:pPr>
              <w:jc w:val="center"/>
            </w:pPr>
            <w:r>
              <w:rPr>
                <w:rFonts w:ascii="Times New Roman" w:hAnsi="Times New Roman" w:eastAsia="??"/>
                <w:b w:val="0"/>
                <w:sz w:val="18"/>
              </w:rPr>
              <w:t>Level 5</w:t>
            </w:r>
          </w:p>
        </w:tc>
        <w:tc>
          <w:tcPr>
            <w:tcW w:w="1530" w:type="dxa"/>
            <w:tcMar>
              <w:top w:w="80" w:type="dxa"/>
              <w:left w:w="80" w:type="dxa"/>
              <w:bottom w:w="80" w:type="dxa"/>
              <w:right w:w="80" w:type="dxa"/>
            </w:tcMar>
            <w:vAlign w:val="center"/>
          </w:tcPr>
          <w:p w14:paraId="44F80AF9">
            <w:pPr>
              <w:jc w:val="center"/>
            </w:pPr>
            <w:r>
              <w:rPr>
                <w:rFonts w:ascii="Times New Roman" w:hAnsi="Times New Roman" w:eastAsia="??"/>
                <w:b w:val="0"/>
                <w:sz w:val="18"/>
              </w:rPr>
              <w:t>机理证据链型</w:t>
            </w:r>
          </w:p>
        </w:tc>
        <w:tc>
          <w:tcPr>
            <w:tcW w:w="1190" w:type="dxa"/>
            <w:tcMar>
              <w:top w:w="80" w:type="dxa"/>
              <w:left w:w="80" w:type="dxa"/>
              <w:bottom w:w="80" w:type="dxa"/>
              <w:right w:w="80" w:type="dxa"/>
            </w:tcMar>
            <w:vAlign w:val="center"/>
          </w:tcPr>
          <w:p w14:paraId="122F8430">
            <w:pPr>
              <w:jc w:val="center"/>
            </w:pPr>
            <w:r>
              <w:rPr>
                <w:rFonts w:ascii="Times New Roman" w:hAnsi="Times New Roman" w:eastAsia="??"/>
                <w:b w:val="0"/>
                <w:sz w:val="18"/>
              </w:rPr>
              <w:t>Q9~Q10</w:t>
            </w:r>
          </w:p>
        </w:tc>
        <w:tc>
          <w:tcPr>
            <w:tcW w:w="3628" w:type="dxa"/>
            <w:tcMar>
              <w:top w:w="80" w:type="dxa"/>
              <w:left w:w="80" w:type="dxa"/>
              <w:bottom w:w="80" w:type="dxa"/>
              <w:right w:w="80" w:type="dxa"/>
            </w:tcMar>
            <w:vAlign w:val="center"/>
          </w:tcPr>
          <w:p w14:paraId="12667355">
            <w:pPr>
              <w:jc w:val="left"/>
            </w:pPr>
            <w:r>
              <w:rPr>
                <w:rFonts w:ascii="Times New Roman" w:hAnsi="Times New Roman" w:eastAsia="??"/>
                <w:b w:val="0"/>
                <w:sz w:val="18"/>
              </w:rPr>
              <w:t>活性物种、电子转移和多类证据的链式组织</w:t>
            </w:r>
          </w:p>
        </w:tc>
      </w:tr>
      <w:tr w14:paraId="5BB7221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4489B07E">
            <w:pPr>
              <w:jc w:val="center"/>
            </w:pPr>
            <w:r>
              <w:rPr>
                <w:rFonts w:ascii="Times New Roman" w:hAnsi="Times New Roman" w:eastAsia="??"/>
                <w:b w:val="0"/>
                <w:sz w:val="18"/>
              </w:rPr>
              <w:t>Level 6</w:t>
            </w:r>
          </w:p>
        </w:tc>
        <w:tc>
          <w:tcPr>
            <w:tcW w:w="1530" w:type="dxa"/>
            <w:tcMar>
              <w:top w:w="80" w:type="dxa"/>
              <w:left w:w="80" w:type="dxa"/>
              <w:bottom w:w="80" w:type="dxa"/>
              <w:right w:w="80" w:type="dxa"/>
            </w:tcMar>
            <w:vAlign w:val="center"/>
          </w:tcPr>
          <w:p w14:paraId="70B07B8B">
            <w:pPr>
              <w:jc w:val="center"/>
            </w:pPr>
            <w:r>
              <w:rPr>
                <w:rFonts w:ascii="Times New Roman" w:hAnsi="Times New Roman" w:eastAsia="??"/>
                <w:b w:val="0"/>
                <w:sz w:val="18"/>
              </w:rPr>
              <w:t>方案归纳与推荐型</w:t>
            </w:r>
          </w:p>
        </w:tc>
        <w:tc>
          <w:tcPr>
            <w:tcW w:w="1190" w:type="dxa"/>
            <w:tcMar>
              <w:top w:w="80" w:type="dxa"/>
              <w:left w:w="80" w:type="dxa"/>
              <w:bottom w:w="80" w:type="dxa"/>
              <w:right w:w="80" w:type="dxa"/>
            </w:tcMar>
            <w:vAlign w:val="center"/>
          </w:tcPr>
          <w:p w14:paraId="21419085">
            <w:pPr>
              <w:jc w:val="center"/>
            </w:pPr>
            <w:r>
              <w:rPr>
                <w:rFonts w:ascii="Times New Roman" w:hAnsi="Times New Roman" w:eastAsia="??"/>
                <w:b w:val="0"/>
                <w:sz w:val="18"/>
              </w:rPr>
              <w:t>Q11~Q12</w:t>
            </w:r>
          </w:p>
        </w:tc>
        <w:tc>
          <w:tcPr>
            <w:tcW w:w="3628" w:type="dxa"/>
            <w:tcMar>
              <w:top w:w="80" w:type="dxa"/>
              <w:left w:w="80" w:type="dxa"/>
              <w:bottom w:w="80" w:type="dxa"/>
              <w:right w:w="80" w:type="dxa"/>
            </w:tcMar>
            <w:vAlign w:val="center"/>
          </w:tcPr>
          <w:p w14:paraId="0D1CF6D5">
            <w:pPr>
              <w:jc w:val="left"/>
            </w:pPr>
            <w:r>
              <w:rPr>
                <w:rFonts w:ascii="Times New Roman" w:hAnsi="Times New Roman" w:eastAsia="??"/>
                <w:b w:val="0"/>
                <w:sz w:val="18"/>
              </w:rPr>
              <w:t>设计原则归纳与候选实验方案组织</w:t>
            </w:r>
          </w:p>
        </w:tc>
      </w:tr>
    </w:tbl>
    <w:p w14:paraId="1F09C740"/>
    <w:p w14:paraId="5B6DB32B">
      <w:pPr>
        <w:keepNext w:val="0"/>
        <w:spacing w:before="0" w:after="60" w:line="240" w:lineRule="auto"/>
        <w:ind w:firstLine="420"/>
        <w:jc w:val="both"/>
      </w:pPr>
      <w:r>
        <w:rPr>
          <w:rFonts w:ascii="Times New Roman" w:hAnsi="Times New Roman" w:eastAsia="宋体"/>
          <w:b w:val="0"/>
          <w:i w:val="0"/>
          <w:sz w:val="21"/>
        </w:rPr>
        <w:t>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14:paraId="2050F00F">
      <w:pPr>
        <w:keepNext w:val="0"/>
        <w:spacing w:before="0" w:after="60" w:line="240" w:lineRule="auto"/>
        <w:ind w:firstLine="420"/>
        <w:jc w:val="both"/>
      </w:pPr>
      <w:r>
        <w:rPr>
          <w:rFonts w:ascii="Times New Roman" w:hAnsi="Times New Roman" w:eastAsia="宋体"/>
          <w:b w:val="0"/>
          <w:i w:val="0"/>
          <w:sz w:val="21"/>
        </w:rPr>
        <w:t>表9汇总了两套系统在各问题上的召回数量与主要差异特征。</w:t>
      </w:r>
    </w:p>
    <w:p w14:paraId="162D3810">
      <w:pPr>
        <w:keepNext w:val="0"/>
        <w:spacing w:before="120" w:after="60" w:line="240" w:lineRule="auto"/>
        <w:jc w:val="center"/>
      </w:pPr>
      <w:r>
        <w:rPr>
          <w:rFonts w:ascii="Times New Roman" w:hAnsi="Times New Roman" w:eastAsia="宋体"/>
          <w:b w:val="0"/>
          <w:sz w:val="18"/>
        </w:rPr>
        <w:t>表9 PFAS去除与降解案例中Graph-RAG与Hyper-ChE检索数量对比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03984A8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1EC29A05">
            <w:pPr>
              <w:jc w:val="center"/>
            </w:pPr>
            <w:r>
              <w:rPr>
                <w:rFonts w:ascii="Times New Roman" w:hAnsi="Times New Roman" w:eastAsia="??"/>
                <w:b/>
                <w:i w:val="0"/>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3CE39854">
            <w:pPr>
              <w:jc w:val="center"/>
            </w:pPr>
            <w:r>
              <w:rPr>
                <w:rFonts w:ascii="Times New Roman" w:hAnsi="Times New Roman" w:eastAsia="??"/>
                <w:b/>
                <w:i w:val="0"/>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0EE8BC51">
            <w:pPr>
              <w:jc w:val="center"/>
            </w:pPr>
            <w:r>
              <w:rPr>
                <w:rFonts w:ascii="Times New Roman" w:hAnsi="Times New Roman" w:eastAsia="??"/>
                <w:b/>
                <w:i w:val="0"/>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4A49FF2">
            <w:pPr>
              <w:jc w:val="center"/>
            </w:pPr>
            <w:r>
              <w:rPr>
                <w:rFonts w:ascii="Times New Roman" w:hAnsi="Times New Roman" w:eastAsia="??"/>
                <w:b/>
                <w:i w:val="0"/>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C1C0F53">
            <w:pPr>
              <w:jc w:val="center"/>
            </w:pPr>
            <w:r>
              <w:rPr>
                <w:rFonts w:ascii="Times New Roman" w:hAnsi="Times New Roman" w:eastAsia="??"/>
                <w:b/>
                <w:i w:val="0"/>
                <w:sz w:val="19"/>
              </w:rPr>
              <w:t>主要差异</w:t>
            </w:r>
          </w:p>
        </w:tc>
      </w:tr>
      <w:tr w14:paraId="5F26425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B884F04">
            <w:pPr>
              <w:jc w:val="center"/>
            </w:pPr>
            <w:r>
              <w:rPr>
                <w:rFonts w:ascii="Times New Roman" w:hAnsi="Times New Roman" w:eastAsia="??"/>
                <w:b w:val="0"/>
                <w:i w:val="0"/>
                <w:sz w:val="18"/>
              </w:rPr>
              <w:t>Q1</w:t>
            </w:r>
          </w:p>
        </w:tc>
        <w:tc>
          <w:tcPr>
            <w:tcW w:w="1247" w:type="dxa"/>
            <w:tcMar>
              <w:top w:w="80" w:type="dxa"/>
              <w:left w:w="80" w:type="dxa"/>
              <w:bottom w:w="80" w:type="dxa"/>
              <w:right w:w="80" w:type="dxa"/>
            </w:tcMar>
            <w:vAlign w:val="center"/>
          </w:tcPr>
          <w:p w14:paraId="0B5F9DA9">
            <w:pPr>
              <w:jc w:val="center"/>
            </w:pPr>
            <w:r>
              <w:rPr>
                <w:rFonts w:ascii="Times New Roman" w:hAnsi="Times New Roman" w:eastAsia="??"/>
                <w:b w:val="0"/>
                <w:i w:val="0"/>
                <w:sz w:val="18"/>
              </w:rPr>
              <w:t>语料总览</w:t>
            </w:r>
          </w:p>
        </w:tc>
        <w:tc>
          <w:tcPr>
            <w:tcW w:w="1474" w:type="dxa"/>
            <w:tcMar>
              <w:top w:w="80" w:type="dxa"/>
              <w:left w:w="80" w:type="dxa"/>
              <w:bottom w:w="80" w:type="dxa"/>
              <w:right w:w="80" w:type="dxa"/>
            </w:tcMar>
            <w:vAlign w:val="center"/>
          </w:tcPr>
          <w:p w14:paraId="76A2D24C">
            <w:pPr>
              <w:jc w:val="center"/>
            </w:pPr>
            <w:r>
              <w:rPr>
                <w:rFonts w:ascii="Times New Roman" w:hAnsi="Times New Roman" w:eastAsia="??"/>
                <w:b w:val="0"/>
                <w:i w:val="0"/>
                <w:sz w:val="18"/>
              </w:rPr>
              <w:t>90超边/60实体</w:t>
            </w:r>
          </w:p>
        </w:tc>
        <w:tc>
          <w:tcPr>
            <w:tcW w:w="1304" w:type="dxa"/>
            <w:tcMar>
              <w:top w:w="80" w:type="dxa"/>
              <w:left w:w="80" w:type="dxa"/>
              <w:bottom w:w="80" w:type="dxa"/>
              <w:right w:w="80" w:type="dxa"/>
            </w:tcMar>
            <w:vAlign w:val="center"/>
          </w:tcPr>
          <w:p w14:paraId="01E03930">
            <w:pPr>
              <w:jc w:val="center"/>
            </w:pPr>
            <w:r>
              <w:rPr>
                <w:rFonts w:ascii="Times New Roman" w:hAnsi="Times New Roman" w:eastAsia="??"/>
                <w:b w:val="0"/>
                <w:i w:val="0"/>
                <w:sz w:val="18"/>
              </w:rPr>
              <w:t>45边</w:t>
            </w:r>
          </w:p>
        </w:tc>
        <w:tc>
          <w:tcPr>
            <w:tcW w:w="2891" w:type="dxa"/>
            <w:tcMar>
              <w:top w:w="80" w:type="dxa"/>
              <w:left w:w="80" w:type="dxa"/>
              <w:bottom w:w="80" w:type="dxa"/>
              <w:right w:w="80" w:type="dxa"/>
            </w:tcMar>
            <w:vAlign w:val="center"/>
          </w:tcPr>
          <w:p w14:paraId="353D2BF0">
            <w:pPr>
              <w:jc w:val="left"/>
            </w:pPr>
            <w:r>
              <w:rPr>
                <w:rFonts w:ascii="Times New Roman" w:hAnsi="Times New Roman" w:eastAsia="??"/>
                <w:b w:val="0"/>
                <w:i w:val="0"/>
                <w:sz w:val="18"/>
              </w:rPr>
              <w:t>Hyper-RAG覆盖策略和材料更完整</w:t>
            </w:r>
          </w:p>
        </w:tc>
      </w:tr>
      <w:tr w14:paraId="174A76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E4D7E4B">
            <w:pPr>
              <w:jc w:val="center"/>
            </w:pPr>
            <w:r>
              <w:rPr>
                <w:rFonts w:ascii="Times New Roman" w:hAnsi="Times New Roman" w:eastAsia="??"/>
                <w:b w:val="0"/>
                <w:i w:val="0"/>
                <w:sz w:val="18"/>
              </w:rPr>
              <w:t>Q2</w:t>
            </w:r>
          </w:p>
        </w:tc>
        <w:tc>
          <w:tcPr>
            <w:tcW w:w="1247" w:type="dxa"/>
            <w:tcMar>
              <w:top w:w="80" w:type="dxa"/>
              <w:left w:w="80" w:type="dxa"/>
              <w:bottom w:w="80" w:type="dxa"/>
              <w:right w:w="80" w:type="dxa"/>
            </w:tcMar>
            <w:vAlign w:val="center"/>
          </w:tcPr>
          <w:p w14:paraId="1FEB0E38">
            <w:pPr>
              <w:jc w:val="center"/>
            </w:pPr>
            <w:r>
              <w:rPr>
                <w:rFonts w:ascii="Times New Roman" w:hAnsi="Times New Roman" w:eastAsia="??"/>
                <w:b w:val="0"/>
                <w:i w:val="0"/>
                <w:sz w:val="18"/>
              </w:rPr>
              <w:t>指标解释</w:t>
            </w:r>
          </w:p>
        </w:tc>
        <w:tc>
          <w:tcPr>
            <w:tcW w:w="1474" w:type="dxa"/>
            <w:tcMar>
              <w:top w:w="80" w:type="dxa"/>
              <w:left w:w="80" w:type="dxa"/>
              <w:bottom w:w="80" w:type="dxa"/>
              <w:right w:w="80" w:type="dxa"/>
            </w:tcMar>
            <w:vAlign w:val="center"/>
          </w:tcPr>
          <w:p w14:paraId="49157CCF">
            <w:pPr>
              <w:jc w:val="center"/>
            </w:pPr>
            <w:r>
              <w:rPr>
                <w:rFonts w:ascii="Times New Roman" w:hAnsi="Times New Roman" w:eastAsia="??"/>
                <w:b w:val="0"/>
                <w:i w:val="0"/>
                <w:sz w:val="18"/>
              </w:rPr>
              <w:t>85超边/62实体</w:t>
            </w:r>
          </w:p>
        </w:tc>
        <w:tc>
          <w:tcPr>
            <w:tcW w:w="1304" w:type="dxa"/>
            <w:tcMar>
              <w:top w:w="80" w:type="dxa"/>
              <w:left w:w="80" w:type="dxa"/>
              <w:bottom w:w="80" w:type="dxa"/>
              <w:right w:w="80" w:type="dxa"/>
            </w:tcMar>
            <w:vAlign w:val="center"/>
          </w:tcPr>
          <w:p w14:paraId="053305F8">
            <w:pPr>
              <w:jc w:val="center"/>
            </w:pPr>
            <w:r>
              <w:rPr>
                <w:rFonts w:ascii="Times New Roman" w:hAnsi="Times New Roman" w:eastAsia="??"/>
                <w:b w:val="0"/>
                <w:i w:val="0"/>
                <w:sz w:val="18"/>
              </w:rPr>
              <w:t>43边/9实体</w:t>
            </w:r>
          </w:p>
        </w:tc>
        <w:tc>
          <w:tcPr>
            <w:tcW w:w="2891" w:type="dxa"/>
            <w:tcMar>
              <w:top w:w="80" w:type="dxa"/>
              <w:left w:w="80" w:type="dxa"/>
              <w:bottom w:w="80" w:type="dxa"/>
              <w:right w:w="80" w:type="dxa"/>
            </w:tcMar>
            <w:vAlign w:val="center"/>
          </w:tcPr>
          <w:p w14:paraId="74DF5562">
            <w:pPr>
              <w:jc w:val="left"/>
            </w:pPr>
            <w:r>
              <w:rPr>
                <w:rFonts w:ascii="Times New Roman" w:hAnsi="Times New Roman" w:eastAsia="??"/>
                <w:b w:val="0"/>
                <w:i w:val="0"/>
                <w:sz w:val="18"/>
              </w:rPr>
              <w:t>两者均可回答，Hyper-RAG上下文更丰富</w:t>
            </w:r>
          </w:p>
        </w:tc>
      </w:tr>
      <w:tr w14:paraId="5303F69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DD47F5A">
            <w:pPr>
              <w:jc w:val="center"/>
            </w:pPr>
            <w:r>
              <w:rPr>
                <w:rFonts w:ascii="Times New Roman" w:hAnsi="Times New Roman" w:eastAsia="??"/>
                <w:b w:val="0"/>
                <w:i w:val="0"/>
                <w:sz w:val="18"/>
              </w:rPr>
              <w:t>Q3</w:t>
            </w:r>
          </w:p>
        </w:tc>
        <w:tc>
          <w:tcPr>
            <w:tcW w:w="1247" w:type="dxa"/>
            <w:tcMar>
              <w:top w:w="80" w:type="dxa"/>
              <w:left w:w="80" w:type="dxa"/>
              <w:bottom w:w="80" w:type="dxa"/>
              <w:right w:w="80" w:type="dxa"/>
            </w:tcMar>
            <w:vAlign w:val="center"/>
          </w:tcPr>
          <w:p w14:paraId="703C4830">
            <w:pPr>
              <w:jc w:val="center"/>
            </w:pPr>
            <w:r>
              <w:rPr>
                <w:rFonts w:ascii="Times New Roman" w:hAnsi="Times New Roman" w:eastAsia="??"/>
                <w:b w:val="0"/>
                <w:i w:val="0"/>
                <w:sz w:val="18"/>
              </w:rPr>
              <w:t>PFOA/PFOS对比</w:t>
            </w:r>
          </w:p>
        </w:tc>
        <w:tc>
          <w:tcPr>
            <w:tcW w:w="1474" w:type="dxa"/>
            <w:tcMar>
              <w:top w:w="80" w:type="dxa"/>
              <w:left w:w="80" w:type="dxa"/>
              <w:bottom w:w="80" w:type="dxa"/>
              <w:right w:w="80" w:type="dxa"/>
            </w:tcMar>
            <w:vAlign w:val="center"/>
          </w:tcPr>
          <w:p w14:paraId="64691346">
            <w:pPr>
              <w:jc w:val="center"/>
            </w:pPr>
            <w:r>
              <w:rPr>
                <w:rFonts w:ascii="Times New Roman" w:hAnsi="Times New Roman" w:eastAsia="??"/>
                <w:b w:val="0"/>
                <w:i w:val="0"/>
                <w:sz w:val="18"/>
              </w:rPr>
              <w:t>80超边/61实体</w:t>
            </w:r>
          </w:p>
        </w:tc>
        <w:tc>
          <w:tcPr>
            <w:tcW w:w="1304" w:type="dxa"/>
            <w:tcMar>
              <w:top w:w="80" w:type="dxa"/>
              <w:left w:w="80" w:type="dxa"/>
              <w:bottom w:w="80" w:type="dxa"/>
              <w:right w:w="80" w:type="dxa"/>
            </w:tcMar>
            <w:vAlign w:val="center"/>
          </w:tcPr>
          <w:p w14:paraId="48EFC445">
            <w:pPr>
              <w:jc w:val="center"/>
            </w:pPr>
            <w:r>
              <w:rPr>
                <w:rFonts w:ascii="Times New Roman" w:hAnsi="Times New Roman" w:eastAsia="??"/>
                <w:b w:val="0"/>
                <w:i w:val="0"/>
                <w:sz w:val="18"/>
              </w:rPr>
              <w:t>36边/5实体</w:t>
            </w:r>
          </w:p>
        </w:tc>
        <w:tc>
          <w:tcPr>
            <w:tcW w:w="2891" w:type="dxa"/>
            <w:tcMar>
              <w:top w:w="80" w:type="dxa"/>
              <w:left w:w="80" w:type="dxa"/>
              <w:bottom w:w="80" w:type="dxa"/>
              <w:right w:w="80" w:type="dxa"/>
            </w:tcMar>
            <w:vAlign w:val="center"/>
          </w:tcPr>
          <w:p w14:paraId="3F012B85">
            <w:pPr>
              <w:jc w:val="left"/>
            </w:pPr>
            <w:r>
              <w:rPr>
                <w:rFonts w:ascii="Times New Roman" w:hAnsi="Times New Roman" w:eastAsia="??"/>
                <w:b w:val="0"/>
                <w:i w:val="0"/>
                <w:sz w:val="18"/>
              </w:rPr>
              <w:t>Hyper-RAG更能保留材料-条件-指标组合</w:t>
            </w:r>
          </w:p>
        </w:tc>
      </w:tr>
      <w:tr w14:paraId="3F78953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7BBFBD6">
            <w:pPr>
              <w:jc w:val="center"/>
            </w:pPr>
            <w:r>
              <w:rPr>
                <w:rFonts w:ascii="Times New Roman" w:hAnsi="Times New Roman" w:eastAsia="??"/>
                <w:b w:val="0"/>
                <w:i w:val="0"/>
                <w:sz w:val="18"/>
              </w:rPr>
              <w:t>Q4</w:t>
            </w:r>
          </w:p>
        </w:tc>
        <w:tc>
          <w:tcPr>
            <w:tcW w:w="1247" w:type="dxa"/>
            <w:tcMar>
              <w:top w:w="80" w:type="dxa"/>
              <w:left w:w="80" w:type="dxa"/>
              <w:bottom w:w="80" w:type="dxa"/>
              <w:right w:w="80" w:type="dxa"/>
            </w:tcMar>
            <w:vAlign w:val="center"/>
          </w:tcPr>
          <w:p w14:paraId="323480B5">
            <w:pPr>
              <w:jc w:val="center"/>
            </w:pPr>
            <w:r>
              <w:rPr>
                <w:rFonts w:ascii="Times New Roman" w:hAnsi="Times New Roman" w:eastAsia="??"/>
                <w:b w:val="0"/>
                <w:i w:val="0"/>
                <w:sz w:val="18"/>
              </w:rPr>
              <w:t>材料角色区分</w:t>
            </w:r>
          </w:p>
        </w:tc>
        <w:tc>
          <w:tcPr>
            <w:tcW w:w="1474" w:type="dxa"/>
            <w:tcMar>
              <w:top w:w="80" w:type="dxa"/>
              <w:left w:w="80" w:type="dxa"/>
              <w:bottom w:w="80" w:type="dxa"/>
              <w:right w:w="80" w:type="dxa"/>
            </w:tcMar>
            <w:vAlign w:val="center"/>
          </w:tcPr>
          <w:p w14:paraId="3C6CF5B0">
            <w:pPr>
              <w:jc w:val="center"/>
            </w:pPr>
            <w:r>
              <w:rPr>
                <w:rFonts w:ascii="Times New Roman" w:hAnsi="Times New Roman" w:eastAsia="??"/>
                <w:b w:val="0"/>
                <w:i w:val="0"/>
                <w:sz w:val="18"/>
              </w:rPr>
              <w:t>95超边/60实体</w:t>
            </w:r>
          </w:p>
        </w:tc>
        <w:tc>
          <w:tcPr>
            <w:tcW w:w="1304" w:type="dxa"/>
            <w:tcMar>
              <w:top w:w="80" w:type="dxa"/>
              <w:left w:w="80" w:type="dxa"/>
              <w:bottom w:w="80" w:type="dxa"/>
              <w:right w:w="80" w:type="dxa"/>
            </w:tcMar>
            <w:vAlign w:val="center"/>
          </w:tcPr>
          <w:p w14:paraId="576594BF">
            <w:pPr>
              <w:jc w:val="center"/>
            </w:pPr>
            <w:r>
              <w:rPr>
                <w:rFonts w:ascii="Times New Roman" w:hAnsi="Times New Roman" w:eastAsia="??"/>
                <w:b w:val="0"/>
                <w:i w:val="0"/>
                <w:sz w:val="18"/>
              </w:rPr>
              <w:t>40边/2实体</w:t>
            </w:r>
          </w:p>
        </w:tc>
        <w:tc>
          <w:tcPr>
            <w:tcW w:w="2891" w:type="dxa"/>
            <w:tcMar>
              <w:top w:w="80" w:type="dxa"/>
              <w:left w:w="80" w:type="dxa"/>
              <w:bottom w:w="80" w:type="dxa"/>
              <w:right w:w="80" w:type="dxa"/>
            </w:tcMar>
            <w:vAlign w:val="center"/>
          </w:tcPr>
          <w:p w14:paraId="783BB234">
            <w:pPr>
              <w:jc w:val="left"/>
            </w:pPr>
            <w:r>
              <w:rPr>
                <w:rFonts w:ascii="Times New Roman" w:hAnsi="Times New Roman" w:eastAsia="??"/>
                <w:b w:val="0"/>
                <w:i w:val="0"/>
                <w:sz w:val="18"/>
              </w:rPr>
              <w:t>Hyper-RAG角色分类更完整</w:t>
            </w:r>
          </w:p>
        </w:tc>
      </w:tr>
      <w:tr w14:paraId="414071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5AF53AD">
            <w:pPr>
              <w:jc w:val="center"/>
            </w:pPr>
            <w:r>
              <w:rPr>
                <w:rFonts w:ascii="Times New Roman" w:hAnsi="Times New Roman" w:eastAsia="??"/>
                <w:b w:val="0"/>
                <w:i w:val="0"/>
                <w:sz w:val="18"/>
              </w:rPr>
              <w:t>Q5</w:t>
            </w:r>
          </w:p>
        </w:tc>
        <w:tc>
          <w:tcPr>
            <w:tcW w:w="1247" w:type="dxa"/>
            <w:tcMar>
              <w:top w:w="80" w:type="dxa"/>
              <w:left w:w="80" w:type="dxa"/>
              <w:bottom w:w="80" w:type="dxa"/>
              <w:right w:w="80" w:type="dxa"/>
            </w:tcMar>
            <w:vAlign w:val="center"/>
          </w:tcPr>
          <w:p w14:paraId="37949243">
            <w:pPr>
              <w:jc w:val="center"/>
            </w:pPr>
            <w:r>
              <w:rPr>
                <w:rFonts w:ascii="Times New Roman" w:hAnsi="Times New Roman" w:eastAsia="??"/>
                <w:b w:val="0"/>
                <w:i w:val="0"/>
                <w:sz w:val="18"/>
              </w:rPr>
              <w:t>多条件组合</w:t>
            </w:r>
          </w:p>
        </w:tc>
        <w:tc>
          <w:tcPr>
            <w:tcW w:w="1474" w:type="dxa"/>
            <w:tcMar>
              <w:top w:w="80" w:type="dxa"/>
              <w:left w:w="80" w:type="dxa"/>
              <w:bottom w:w="80" w:type="dxa"/>
              <w:right w:w="80" w:type="dxa"/>
            </w:tcMar>
            <w:vAlign w:val="center"/>
          </w:tcPr>
          <w:p w14:paraId="5A2A4930">
            <w:pPr>
              <w:jc w:val="center"/>
            </w:pPr>
            <w:r>
              <w:rPr>
                <w:rFonts w:ascii="Times New Roman" w:hAnsi="Times New Roman" w:eastAsia="??"/>
                <w:b w:val="0"/>
                <w:i w:val="0"/>
                <w:sz w:val="18"/>
              </w:rPr>
              <w:t>58超边/61实体</w:t>
            </w:r>
          </w:p>
        </w:tc>
        <w:tc>
          <w:tcPr>
            <w:tcW w:w="1304" w:type="dxa"/>
            <w:tcMar>
              <w:top w:w="80" w:type="dxa"/>
              <w:left w:w="80" w:type="dxa"/>
              <w:bottom w:w="80" w:type="dxa"/>
              <w:right w:w="80" w:type="dxa"/>
            </w:tcMar>
            <w:vAlign w:val="center"/>
          </w:tcPr>
          <w:p w14:paraId="4DEA6B06">
            <w:pPr>
              <w:jc w:val="center"/>
            </w:pPr>
            <w:r>
              <w:rPr>
                <w:rFonts w:ascii="Times New Roman" w:hAnsi="Times New Roman" w:eastAsia="??"/>
                <w:b w:val="0"/>
                <w:i w:val="0"/>
                <w:sz w:val="18"/>
              </w:rPr>
              <w:t>36边/4实体</w:t>
            </w:r>
          </w:p>
        </w:tc>
        <w:tc>
          <w:tcPr>
            <w:tcW w:w="2891" w:type="dxa"/>
            <w:tcMar>
              <w:top w:w="80" w:type="dxa"/>
              <w:left w:w="80" w:type="dxa"/>
              <w:bottom w:w="80" w:type="dxa"/>
              <w:right w:w="80" w:type="dxa"/>
            </w:tcMar>
            <w:vAlign w:val="center"/>
          </w:tcPr>
          <w:p w14:paraId="5994C80C">
            <w:pPr>
              <w:jc w:val="left"/>
            </w:pPr>
            <w:r>
              <w:rPr>
                <w:rFonts w:ascii="Times New Roman" w:hAnsi="Times New Roman" w:eastAsia="??"/>
                <w:b w:val="0"/>
                <w:i w:val="0"/>
                <w:sz w:val="18"/>
              </w:rPr>
              <w:t>差异最明显，Graph-RAG表现为证据不足</w:t>
            </w:r>
          </w:p>
        </w:tc>
      </w:tr>
      <w:tr w14:paraId="6FFF7E5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C20F82F">
            <w:pPr>
              <w:jc w:val="center"/>
            </w:pPr>
            <w:r>
              <w:rPr>
                <w:rFonts w:ascii="Times New Roman" w:hAnsi="Times New Roman" w:eastAsia="??"/>
                <w:b w:val="0"/>
                <w:i w:val="0"/>
                <w:sz w:val="18"/>
              </w:rPr>
              <w:t>Q6</w:t>
            </w:r>
          </w:p>
        </w:tc>
        <w:tc>
          <w:tcPr>
            <w:tcW w:w="1247" w:type="dxa"/>
            <w:tcMar>
              <w:top w:w="80" w:type="dxa"/>
              <w:left w:w="80" w:type="dxa"/>
              <w:bottom w:w="80" w:type="dxa"/>
              <w:right w:w="80" w:type="dxa"/>
            </w:tcMar>
            <w:vAlign w:val="center"/>
          </w:tcPr>
          <w:p w14:paraId="3333001E">
            <w:pPr>
              <w:jc w:val="center"/>
            </w:pPr>
            <w:r>
              <w:rPr>
                <w:rFonts w:ascii="Times New Roman" w:hAnsi="Times New Roman" w:eastAsia="??"/>
                <w:b w:val="0"/>
                <w:i w:val="0"/>
                <w:sz w:val="18"/>
              </w:rPr>
              <w:t>材料性质关联</w:t>
            </w:r>
          </w:p>
        </w:tc>
        <w:tc>
          <w:tcPr>
            <w:tcW w:w="1474" w:type="dxa"/>
            <w:tcMar>
              <w:top w:w="80" w:type="dxa"/>
              <w:left w:w="80" w:type="dxa"/>
              <w:bottom w:w="80" w:type="dxa"/>
              <w:right w:w="80" w:type="dxa"/>
            </w:tcMar>
            <w:vAlign w:val="center"/>
          </w:tcPr>
          <w:p w14:paraId="6975DCA4">
            <w:pPr>
              <w:jc w:val="center"/>
            </w:pPr>
            <w:r>
              <w:rPr>
                <w:rFonts w:ascii="Times New Roman" w:hAnsi="Times New Roman" w:eastAsia="??"/>
                <w:b w:val="0"/>
                <w:i w:val="0"/>
                <w:sz w:val="18"/>
              </w:rPr>
              <w:t>88超边/61实体</w:t>
            </w:r>
          </w:p>
        </w:tc>
        <w:tc>
          <w:tcPr>
            <w:tcW w:w="1304" w:type="dxa"/>
            <w:tcMar>
              <w:top w:w="80" w:type="dxa"/>
              <w:left w:w="80" w:type="dxa"/>
              <w:bottom w:w="80" w:type="dxa"/>
              <w:right w:w="80" w:type="dxa"/>
            </w:tcMar>
            <w:vAlign w:val="center"/>
          </w:tcPr>
          <w:p w14:paraId="07866498">
            <w:pPr>
              <w:jc w:val="center"/>
            </w:pPr>
            <w:r>
              <w:rPr>
                <w:rFonts w:ascii="Times New Roman" w:hAnsi="Times New Roman" w:eastAsia="??"/>
                <w:b w:val="0"/>
                <w:i w:val="0"/>
                <w:sz w:val="18"/>
              </w:rPr>
              <w:t>39边/8实体</w:t>
            </w:r>
          </w:p>
        </w:tc>
        <w:tc>
          <w:tcPr>
            <w:tcW w:w="2891" w:type="dxa"/>
            <w:tcMar>
              <w:top w:w="80" w:type="dxa"/>
              <w:left w:w="80" w:type="dxa"/>
              <w:bottom w:w="80" w:type="dxa"/>
              <w:right w:w="80" w:type="dxa"/>
            </w:tcMar>
            <w:vAlign w:val="center"/>
          </w:tcPr>
          <w:p w14:paraId="396BECED">
            <w:pPr>
              <w:jc w:val="left"/>
            </w:pPr>
            <w:r>
              <w:rPr>
                <w:rFonts w:ascii="Times New Roman" w:hAnsi="Times New Roman" w:eastAsia="??"/>
                <w:b w:val="0"/>
                <w:i w:val="0"/>
                <w:sz w:val="18"/>
              </w:rPr>
              <w:t>Hyper-RAG能构造间接机制链</w:t>
            </w:r>
          </w:p>
        </w:tc>
      </w:tr>
      <w:tr w14:paraId="2ADE3EB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8DA2A74">
            <w:pPr>
              <w:jc w:val="center"/>
            </w:pPr>
            <w:r>
              <w:rPr>
                <w:rFonts w:ascii="Times New Roman" w:hAnsi="Times New Roman" w:eastAsia="??"/>
                <w:b w:val="0"/>
                <w:i w:val="0"/>
                <w:sz w:val="18"/>
              </w:rPr>
              <w:t>Q7</w:t>
            </w:r>
          </w:p>
        </w:tc>
        <w:tc>
          <w:tcPr>
            <w:tcW w:w="1247" w:type="dxa"/>
            <w:tcMar>
              <w:top w:w="80" w:type="dxa"/>
              <w:left w:w="80" w:type="dxa"/>
              <w:bottom w:w="80" w:type="dxa"/>
              <w:right w:w="80" w:type="dxa"/>
            </w:tcMar>
            <w:vAlign w:val="center"/>
          </w:tcPr>
          <w:p w14:paraId="4264E127">
            <w:pPr>
              <w:jc w:val="center"/>
            </w:pPr>
            <w:r>
              <w:rPr>
                <w:rFonts w:ascii="Times New Roman" w:hAnsi="Times New Roman" w:eastAsia="??"/>
                <w:b w:val="0"/>
                <w:i w:val="0"/>
                <w:sz w:val="18"/>
              </w:rPr>
              <w:t>跨策略比较</w:t>
            </w:r>
          </w:p>
        </w:tc>
        <w:tc>
          <w:tcPr>
            <w:tcW w:w="1474" w:type="dxa"/>
            <w:tcMar>
              <w:top w:w="80" w:type="dxa"/>
              <w:left w:w="80" w:type="dxa"/>
              <w:bottom w:w="80" w:type="dxa"/>
              <w:right w:w="80" w:type="dxa"/>
            </w:tcMar>
            <w:vAlign w:val="center"/>
          </w:tcPr>
          <w:p w14:paraId="66640243">
            <w:pPr>
              <w:jc w:val="center"/>
            </w:pPr>
            <w:r>
              <w:rPr>
                <w:rFonts w:ascii="Times New Roman" w:hAnsi="Times New Roman" w:eastAsia="??"/>
                <w:b w:val="0"/>
                <w:i w:val="0"/>
                <w:sz w:val="18"/>
              </w:rPr>
              <w:t>83超边/62实体</w:t>
            </w:r>
          </w:p>
        </w:tc>
        <w:tc>
          <w:tcPr>
            <w:tcW w:w="1304" w:type="dxa"/>
            <w:tcMar>
              <w:top w:w="80" w:type="dxa"/>
              <w:left w:w="80" w:type="dxa"/>
              <w:bottom w:w="80" w:type="dxa"/>
              <w:right w:w="80" w:type="dxa"/>
            </w:tcMar>
            <w:vAlign w:val="center"/>
          </w:tcPr>
          <w:p w14:paraId="44C44922">
            <w:pPr>
              <w:jc w:val="center"/>
            </w:pPr>
            <w:r>
              <w:rPr>
                <w:rFonts w:ascii="Times New Roman" w:hAnsi="Times New Roman" w:eastAsia="??"/>
                <w:b w:val="0"/>
                <w:i w:val="0"/>
                <w:sz w:val="18"/>
              </w:rPr>
              <w:t>38边/6实体</w:t>
            </w:r>
          </w:p>
        </w:tc>
        <w:tc>
          <w:tcPr>
            <w:tcW w:w="2891" w:type="dxa"/>
            <w:tcMar>
              <w:top w:w="80" w:type="dxa"/>
              <w:left w:w="80" w:type="dxa"/>
              <w:bottom w:w="80" w:type="dxa"/>
              <w:right w:w="80" w:type="dxa"/>
            </w:tcMar>
            <w:vAlign w:val="center"/>
          </w:tcPr>
          <w:p w14:paraId="2EBE3D8E">
            <w:pPr>
              <w:jc w:val="left"/>
            </w:pPr>
            <w:r>
              <w:rPr>
                <w:rFonts w:ascii="Times New Roman" w:hAnsi="Times New Roman" w:eastAsia="??"/>
                <w:b w:val="0"/>
                <w:i w:val="0"/>
                <w:sz w:val="18"/>
              </w:rPr>
              <w:t>Hyper-RAG对耦合策略覆盖更好</w:t>
            </w:r>
          </w:p>
        </w:tc>
      </w:tr>
      <w:tr w14:paraId="22457F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3255B2A">
            <w:pPr>
              <w:jc w:val="center"/>
            </w:pPr>
            <w:r>
              <w:rPr>
                <w:rFonts w:ascii="Times New Roman" w:hAnsi="Times New Roman" w:eastAsia="??"/>
                <w:b w:val="0"/>
                <w:i w:val="0"/>
                <w:sz w:val="18"/>
              </w:rPr>
              <w:t>Q8</w:t>
            </w:r>
          </w:p>
        </w:tc>
        <w:tc>
          <w:tcPr>
            <w:tcW w:w="1247" w:type="dxa"/>
            <w:tcMar>
              <w:top w:w="80" w:type="dxa"/>
              <w:left w:w="80" w:type="dxa"/>
              <w:bottom w:w="80" w:type="dxa"/>
              <w:right w:w="80" w:type="dxa"/>
            </w:tcMar>
            <w:vAlign w:val="center"/>
          </w:tcPr>
          <w:p w14:paraId="441DDD72">
            <w:pPr>
              <w:jc w:val="center"/>
            </w:pPr>
            <w:r>
              <w:rPr>
                <w:rFonts w:ascii="Times New Roman" w:hAnsi="Times New Roman" w:eastAsia="??"/>
                <w:b w:val="0"/>
                <w:i w:val="0"/>
                <w:sz w:val="18"/>
              </w:rPr>
              <w:t>长短链对比</w:t>
            </w:r>
          </w:p>
        </w:tc>
        <w:tc>
          <w:tcPr>
            <w:tcW w:w="1474" w:type="dxa"/>
            <w:tcMar>
              <w:top w:w="80" w:type="dxa"/>
              <w:left w:w="80" w:type="dxa"/>
              <w:bottom w:w="80" w:type="dxa"/>
              <w:right w:w="80" w:type="dxa"/>
            </w:tcMar>
            <w:vAlign w:val="center"/>
          </w:tcPr>
          <w:p w14:paraId="2F6E20E2">
            <w:pPr>
              <w:jc w:val="center"/>
            </w:pPr>
            <w:r>
              <w:rPr>
                <w:rFonts w:ascii="Times New Roman" w:hAnsi="Times New Roman" w:eastAsia="??"/>
                <w:b w:val="0"/>
                <w:i w:val="0"/>
                <w:sz w:val="18"/>
              </w:rPr>
              <w:t>66超边/66实体</w:t>
            </w:r>
          </w:p>
        </w:tc>
        <w:tc>
          <w:tcPr>
            <w:tcW w:w="1304" w:type="dxa"/>
            <w:tcMar>
              <w:top w:w="80" w:type="dxa"/>
              <w:left w:w="80" w:type="dxa"/>
              <w:bottom w:w="80" w:type="dxa"/>
              <w:right w:w="80" w:type="dxa"/>
            </w:tcMar>
            <w:vAlign w:val="center"/>
          </w:tcPr>
          <w:p w14:paraId="2879B6FC">
            <w:pPr>
              <w:jc w:val="center"/>
            </w:pPr>
            <w:r>
              <w:rPr>
                <w:rFonts w:ascii="Times New Roman" w:hAnsi="Times New Roman" w:eastAsia="??"/>
                <w:b w:val="0"/>
                <w:i w:val="0"/>
                <w:sz w:val="18"/>
              </w:rPr>
              <w:t>32边/4实体</w:t>
            </w:r>
          </w:p>
        </w:tc>
        <w:tc>
          <w:tcPr>
            <w:tcW w:w="2891" w:type="dxa"/>
            <w:tcMar>
              <w:top w:w="80" w:type="dxa"/>
              <w:left w:w="80" w:type="dxa"/>
              <w:bottom w:w="80" w:type="dxa"/>
              <w:right w:w="80" w:type="dxa"/>
            </w:tcMar>
            <w:vAlign w:val="center"/>
          </w:tcPr>
          <w:p w14:paraId="6EF001D2">
            <w:pPr>
              <w:jc w:val="left"/>
            </w:pPr>
            <w:r>
              <w:rPr>
                <w:rFonts w:ascii="Times New Roman" w:hAnsi="Times New Roman" w:eastAsia="??"/>
                <w:b w:val="0"/>
                <w:i w:val="0"/>
                <w:sz w:val="18"/>
              </w:rPr>
              <w:t>Hyper-RAG对短链PFAS讨论更完整</w:t>
            </w:r>
          </w:p>
        </w:tc>
      </w:tr>
      <w:tr w14:paraId="28379A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04B263FC">
            <w:pPr>
              <w:jc w:val="center"/>
            </w:pPr>
            <w:r>
              <w:rPr>
                <w:rFonts w:ascii="Times New Roman" w:hAnsi="Times New Roman" w:eastAsia="??"/>
                <w:b w:val="0"/>
                <w:i w:val="0"/>
                <w:sz w:val="18"/>
              </w:rPr>
              <w:t>Q9</w:t>
            </w:r>
          </w:p>
        </w:tc>
        <w:tc>
          <w:tcPr>
            <w:tcW w:w="1247" w:type="dxa"/>
            <w:tcMar>
              <w:top w:w="80" w:type="dxa"/>
              <w:left w:w="80" w:type="dxa"/>
              <w:bottom w:w="80" w:type="dxa"/>
              <w:right w:w="80" w:type="dxa"/>
            </w:tcMar>
            <w:vAlign w:val="center"/>
          </w:tcPr>
          <w:p w14:paraId="04B7F010">
            <w:pPr>
              <w:jc w:val="center"/>
            </w:pPr>
            <w:r>
              <w:rPr>
                <w:rFonts w:ascii="Times New Roman" w:hAnsi="Times New Roman" w:eastAsia="??"/>
                <w:b w:val="0"/>
                <w:i w:val="0"/>
                <w:sz w:val="18"/>
              </w:rPr>
              <w:t>活性物种路径</w:t>
            </w:r>
          </w:p>
        </w:tc>
        <w:tc>
          <w:tcPr>
            <w:tcW w:w="1474" w:type="dxa"/>
            <w:tcMar>
              <w:top w:w="80" w:type="dxa"/>
              <w:left w:w="80" w:type="dxa"/>
              <w:bottom w:w="80" w:type="dxa"/>
              <w:right w:w="80" w:type="dxa"/>
            </w:tcMar>
            <w:vAlign w:val="center"/>
          </w:tcPr>
          <w:p w14:paraId="34D9F91E">
            <w:pPr>
              <w:jc w:val="center"/>
            </w:pPr>
            <w:r>
              <w:rPr>
                <w:rFonts w:ascii="Times New Roman" w:hAnsi="Times New Roman" w:eastAsia="??"/>
                <w:b w:val="0"/>
                <w:i w:val="0"/>
                <w:sz w:val="18"/>
              </w:rPr>
              <w:t>81超边/61实体</w:t>
            </w:r>
          </w:p>
        </w:tc>
        <w:tc>
          <w:tcPr>
            <w:tcW w:w="1304" w:type="dxa"/>
            <w:tcMar>
              <w:top w:w="80" w:type="dxa"/>
              <w:left w:w="80" w:type="dxa"/>
              <w:bottom w:w="80" w:type="dxa"/>
              <w:right w:w="80" w:type="dxa"/>
            </w:tcMar>
            <w:vAlign w:val="center"/>
          </w:tcPr>
          <w:p w14:paraId="3B734B7A">
            <w:pPr>
              <w:jc w:val="center"/>
            </w:pPr>
            <w:r>
              <w:rPr>
                <w:rFonts w:ascii="Times New Roman" w:hAnsi="Times New Roman" w:eastAsia="??"/>
                <w:b w:val="0"/>
                <w:i w:val="0"/>
                <w:sz w:val="18"/>
              </w:rPr>
              <w:t>38边</w:t>
            </w:r>
          </w:p>
        </w:tc>
        <w:tc>
          <w:tcPr>
            <w:tcW w:w="2891" w:type="dxa"/>
            <w:tcMar>
              <w:top w:w="80" w:type="dxa"/>
              <w:left w:w="80" w:type="dxa"/>
              <w:bottom w:w="80" w:type="dxa"/>
              <w:right w:w="80" w:type="dxa"/>
            </w:tcMar>
            <w:vAlign w:val="center"/>
          </w:tcPr>
          <w:p w14:paraId="086FDF54">
            <w:pPr>
              <w:jc w:val="left"/>
            </w:pPr>
            <w:r>
              <w:rPr>
                <w:rFonts w:ascii="Times New Roman" w:hAnsi="Times New Roman" w:eastAsia="??"/>
                <w:b w:val="0"/>
                <w:i w:val="0"/>
                <w:sz w:val="18"/>
              </w:rPr>
              <w:t>Hyper-RAG机制链条更完整</w:t>
            </w:r>
          </w:p>
        </w:tc>
      </w:tr>
      <w:tr w14:paraId="5799FB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71B1A05">
            <w:pPr>
              <w:jc w:val="center"/>
            </w:pPr>
            <w:r>
              <w:rPr>
                <w:rFonts w:ascii="Times New Roman" w:hAnsi="Times New Roman" w:eastAsia="??"/>
                <w:b w:val="0"/>
                <w:i w:val="0"/>
                <w:sz w:val="18"/>
              </w:rPr>
              <w:t>Q10</w:t>
            </w:r>
          </w:p>
        </w:tc>
        <w:tc>
          <w:tcPr>
            <w:tcW w:w="1247" w:type="dxa"/>
            <w:tcMar>
              <w:top w:w="80" w:type="dxa"/>
              <w:left w:w="80" w:type="dxa"/>
              <w:bottom w:w="80" w:type="dxa"/>
              <w:right w:w="80" w:type="dxa"/>
            </w:tcMar>
            <w:vAlign w:val="center"/>
          </w:tcPr>
          <w:p w14:paraId="6A2C2D13">
            <w:pPr>
              <w:jc w:val="center"/>
            </w:pPr>
            <w:r>
              <w:rPr>
                <w:rFonts w:ascii="Times New Roman" w:hAnsi="Times New Roman" w:eastAsia="??"/>
                <w:b w:val="0"/>
                <w:i w:val="0"/>
                <w:sz w:val="18"/>
              </w:rPr>
              <w:t>直接电子转移</w:t>
            </w:r>
          </w:p>
        </w:tc>
        <w:tc>
          <w:tcPr>
            <w:tcW w:w="1474" w:type="dxa"/>
            <w:tcMar>
              <w:top w:w="80" w:type="dxa"/>
              <w:left w:w="80" w:type="dxa"/>
              <w:bottom w:w="80" w:type="dxa"/>
              <w:right w:w="80" w:type="dxa"/>
            </w:tcMar>
            <w:vAlign w:val="center"/>
          </w:tcPr>
          <w:p w14:paraId="1657833B">
            <w:pPr>
              <w:jc w:val="center"/>
            </w:pPr>
            <w:r>
              <w:rPr>
                <w:rFonts w:ascii="Times New Roman" w:hAnsi="Times New Roman" w:eastAsia="??"/>
                <w:b w:val="0"/>
                <w:i w:val="0"/>
                <w:sz w:val="18"/>
              </w:rPr>
              <w:t>88超边/60实体</w:t>
            </w:r>
          </w:p>
        </w:tc>
        <w:tc>
          <w:tcPr>
            <w:tcW w:w="1304" w:type="dxa"/>
            <w:tcMar>
              <w:top w:w="80" w:type="dxa"/>
              <w:left w:w="80" w:type="dxa"/>
              <w:bottom w:w="80" w:type="dxa"/>
              <w:right w:w="80" w:type="dxa"/>
            </w:tcMar>
            <w:vAlign w:val="center"/>
          </w:tcPr>
          <w:p w14:paraId="2604F5B8">
            <w:pPr>
              <w:jc w:val="center"/>
            </w:pPr>
            <w:r>
              <w:rPr>
                <w:rFonts w:ascii="Times New Roman" w:hAnsi="Times New Roman" w:eastAsia="??"/>
                <w:b w:val="0"/>
                <w:i w:val="0"/>
                <w:sz w:val="18"/>
              </w:rPr>
              <w:t>39边/1实体</w:t>
            </w:r>
          </w:p>
        </w:tc>
        <w:tc>
          <w:tcPr>
            <w:tcW w:w="2891" w:type="dxa"/>
            <w:tcMar>
              <w:top w:w="80" w:type="dxa"/>
              <w:left w:w="80" w:type="dxa"/>
              <w:bottom w:w="80" w:type="dxa"/>
              <w:right w:w="80" w:type="dxa"/>
            </w:tcMar>
            <w:vAlign w:val="center"/>
          </w:tcPr>
          <w:p w14:paraId="4BC4C613">
            <w:pPr>
              <w:jc w:val="left"/>
            </w:pPr>
            <w:r>
              <w:rPr>
                <w:rFonts w:ascii="Times New Roman" w:hAnsi="Times New Roman" w:eastAsia="??"/>
                <w:b w:val="0"/>
                <w:i w:val="0"/>
                <w:sz w:val="18"/>
              </w:rPr>
              <w:t>Hyper-RAG证据链更完整</w:t>
            </w:r>
          </w:p>
        </w:tc>
      </w:tr>
      <w:tr w14:paraId="254616F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09A5140">
            <w:pPr>
              <w:jc w:val="center"/>
            </w:pPr>
            <w:r>
              <w:rPr>
                <w:rFonts w:ascii="Times New Roman" w:hAnsi="Times New Roman" w:eastAsia="??"/>
                <w:b w:val="0"/>
                <w:i w:val="0"/>
                <w:sz w:val="18"/>
              </w:rPr>
              <w:t>Q11</w:t>
            </w:r>
          </w:p>
        </w:tc>
        <w:tc>
          <w:tcPr>
            <w:tcW w:w="1247" w:type="dxa"/>
            <w:tcMar>
              <w:top w:w="80" w:type="dxa"/>
              <w:left w:w="80" w:type="dxa"/>
              <w:bottom w:w="80" w:type="dxa"/>
              <w:right w:w="80" w:type="dxa"/>
            </w:tcMar>
            <w:vAlign w:val="center"/>
          </w:tcPr>
          <w:p w14:paraId="3BED3D25">
            <w:pPr>
              <w:jc w:val="center"/>
            </w:pPr>
            <w:r>
              <w:rPr>
                <w:rFonts w:ascii="Times New Roman" w:hAnsi="Times New Roman" w:eastAsia="??"/>
                <w:b w:val="0"/>
                <w:i w:val="0"/>
                <w:sz w:val="18"/>
              </w:rPr>
              <w:t>设计原则</w:t>
            </w:r>
          </w:p>
        </w:tc>
        <w:tc>
          <w:tcPr>
            <w:tcW w:w="1474" w:type="dxa"/>
            <w:tcMar>
              <w:top w:w="80" w:type="dxa"/>
              <w:left w:w="80" w:type="dxa"/>
              <w:bottom w:w="80" w:type="dxa"/>
              <w:right w:w="80" w:type="dxa"/>
            </w:tcMar>
            <w:vAlign w:val="center"/>
          </w:tcPr>
          <w:p w14:paraId="4529548B">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22C80E4C">
            <w:pPr>
              <w:jc w:val="center"/>
            </w:pPr>
            <w:r>
              <w:rPr>
                <w:rFonts w:ascii="Times New Roman" w:hAnsi="Times New Roman" w:eastAsia="??"/>
                <w:b w:val="0"/>
                <w:i w:val="0"/>
                <w:sz w:val="18"/>
              </w:rPr>
              <w:t>29边/4实体</w:t>
            </w:r>
          </w:p>
        </w:tc>
        <w:tc>
          <w:tcPr>
            <w:tcW w:w="2891" w:type="dxa"/>
            <w:tcMar>
              <w:top w:w="80" w:type="dxa"/>
              <w:left w:w="80" w:type="dxa"/>
              <w:bottom w:w="80" w:type="dxa"/>
              <w:right w:w="80" w:type="dxa"/>
            </w:tcMar>
            <w:vAlign w:val="center"/>
          </w:tcPr>
          <w:p w14:paraId="404940C3">
            <w:pPr>
              <w:jc w:val="left"/>
            </w:pPr>
            <w:r>
              <w:rPr>
                <w:rFonts w:ascii="Times New Roman" w:hAnsi="Times New Roman" w:eastAsia="??"/>
                <w:b w:val="0"/>
                <w:i w:val="0"/>
                <w:sz w:val="18"/>
              </w:rPr>
              <w:t>Hyper-RAG归纳更全面</w:t>
            </w:r>
          </w:p>
        </w:tc>
      </w:tr>
      <w:tr w14:paraId="42A497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AA20D8">
            <w:pPr>
              <w:jc w:val="center"/>
            </w:pPr>
            <w:r>
              <w:rPr>
                <w:rFonts w:ascii="Times New Roman" w:hAnsi="Times New Roman" w:eastAsia="??"/>
                <w:b w:val="0"/>
                <w:i w:val="0"/>
                <w:sz w:val="18"/>
              </w:rPr>
              <w:t>Q12</w:t>
            </w:r>
          </w:p>
        </w:tc>
        <w:tc>
          <w:tcPr>
            <w:tcW w:w="1247" w:type="dxa"/>
            <w:tcMar>
              <w:top w:w="80" w:type="dxa"/>
              <w:left w:w="80" w:type="dxa"/>
              <w:bottom w:w="80" w:type="dxa"/>
              <w:right w:w="80" w:type="dxa"/>
            </w:tcMar>
            <w:vAlign w:val="center"/>
          </w:tcPr>
          <w:p w14:paraId="4C912A44">
            <w:pPr>
              <w:jc w:val="center"/>
            </w:pPr>
            <w:r>
              <w:rPr>
                <w:rFonts w:ascii="Times New Roman" w:hAnsi="Times New Roman" w:eastAsia="??"/>
                <w:b w:val="0"/>
                <w:i w:val="0"/>
                <w:sz w:val="18"/>
              </w:rPr>
              <w:t>实验推荐</w:t>
            </w:r>
          </w:p>
        </w:tc>
        <w:tc>
          <w:tcPr>
            <w:tcW w:w="1474" w:type="dxa"/>
            <w:tcMar>
              <w:top w:w="80" w:type="dxa"/>
              <w:left w:w="80" w:type="dxa"/>
              <w:bottom w:w="80" w:type="dxa"/>
              <w:right w:w="80" w:type="dxa"/>
            </w:tcMar>
            <w:vAlign w:val="center"/>
          </w:tcPr>
          <w:p w14:paraId="00B2C3D6">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3E910531">
            <w:pPr>
              <w:jc w:val="center"/>
            </w:pPr>
            <w:r>
              <w:rPr>
                <w:rFonts w:ascii="Times New Roman" w:hAnsi="Times New Roman" w:eastAsia="??"/>
                <w:b w:val="0"/>
                <w:i w:val="0"/>
                <w:sz w:val="18"/>
              </w:rPr>
              <w:t>40边/6实体</w:t>
            </w:r>
          </w:p>
        </w:tc>
        <w:tc>
          <w:tcPr>
            <w:tcW w:w="2891" w:type="dxa"/>
            <w:tcMar>
              <w:top w:w="80" w:type="dxa"/>
              <w:left w:w="80" w:type="dxa"/>
              <w:bottom w:w="80" w:type="dxa"/>
              <w:right w:w="80" w:type="dxa"/>
            </w:tcMar>
            <w:vAlign w:val="center"/>
          </w:tcPr>
          <w:p w14:paraId="505EB63E">
            <w:pPr>
              <w:jc w:val="left"/>
            </w:pPr>
            <w:r>
              <w:rPr>
                <w:rFonts w:ascii="Times New Roman" w:hAnsi="Times New Roman" w:eastAsia="??"/>
                <w:b w:val="0"/>
                <w:i w:val="0"/>
                <w:sz w:val="18"/>
              </w:rPr>
              <w:t>Hyper-RAG方案结构更完整</w:t>
            </w:r>
          </w:p>
        </w:tc>
      </w:tr>
    </w:tbl>
    <w:p w14:paraId="16985447"/>
    <w:p w14:paraId="646EA08F">
      <w:pPr>
        <w:jc w:val="center"/>
      </w:pPr>
    </w:p>
    <w:p w14:paraId="45785395"/>
    <w:p w14:paraId="29478D2B">
      <w:pPr>
        <w:keepNext w:val="0"/>
        <w:spacing w:before="0" w:after="60" w:line="240" w:lineRule="auto"/>
        <w:ind w:firstLine="420"/>
        <w:jc w:val="both"/>
      </w:pPr>
      <w:r>
        <w:rPr>
          <w:rFonts w:ascii="Times New Roman" w:hAnsi="Times New Roman" w:eastAsia="宋体"/>
          <w:b w:val="0"/>
          <w:i w:val="0"/>
          <w:sz w:val="21"/>
        </w:rPr>
        <w:t>从统计数据来看，Hyper-</w:t>
      </w:r>
      <w:r>
        <w:rPr>
          <w:rFonts w:hint="eastAsia"/>
          <w:b w:val="0"/>
          <w:i w:val="0"/>
          <w:sz w:val="21"/>
          <w:lang w:val="en-US" w:eastAsia="zh-CN"/>
        </w:rPr>
        <w:t>ChE</w:t>
      </w:r>
      <w:r>
        <w:rPr>
          <w:rFonts w:ascii="Times New Roman" w:hAnsi="Times New Roman" w:eastAsia="宋体"/>
          <w:b w:val="0"/>
          <w:i w:val="0"/>
          <w:sz w:val="21"/>
        </w:rPr>
        <w:t>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w:t>
      </w:r>
      <w:r>
        <w:rPr>
          <w:rFonts w:hint="eastAsia"/>
          <w:b w:val="0"/>
          <w:i w:val="0"/>
          <w:sz w:val="21"/>
          <w:lang w:val="en-US" w:eastAsia="zh-CN"/>
        </w:rPr>
        <w:t>ChE</w:t>
      </w:r>
      <w:r>
        <w:rPr>
          <w:rFonts w:ascii="Times New Roman" w:hAnsi="Times New Roman" w:eastAsia="宋体"/>
          <w:b w:val="0"/>
          <w:i w:val="0"/>
          <w:sz w:val="21"/>
        </w:rPr>
        <w:t>召回的高阶超边往往同时包含材料、目标PFAS、反应条件、性能指标和机制证据，往往保留了同一实验中的多变量关联；Graph-RAG虽能命中相关材料或污染物，但回答多表现为离散事实的罗列，难以保持多变量组合。</w:t>
      </w:r>
    </w:p>
    <w:p w14:paraId="172F6CFA">
      <w:pPr>
        <w:keepNext w:val="0"/>
        <w:spacing w:before="0" w:after="60" w:line="240" w:lineRule="auto"/>
        <w:ind w:firstLine="420"/>
        <w:jc w:val="both"/>
      </w:pPr>
      <w:r>
        <w:rPr>
          <w:rFonts w:ascii="Times New Roman" w:hAnsi="Times New Roman" w:eastAsia="宋体"/>
          <w:b w:val="0"/>
          <w:i w:val="0"/>
          <w:sz w:val="21"/>
        </w:rPr>
        <w:t>这一差异在不同类型问题中的表现程度有所不同。在Level 1语料总览型问题中，两套系统均能对主要污染物类型和处理策略作出回答，Hyper-</w:t>
      </w:r>
      <w:r>
        <w:rPr>
          <w:rFonts w:hint="eastAsia"/>
          <w:b w:val="0"/>
          <w:i w:val="0"/>
          <w:sz w:val="21"/>
          <w:lang w:val="en-US" w:eastAsia="zh-CN"/>
        </w:rPr>
        <w:t>ChE</w:t>
      </w:r>
      <w:r>
        <w:rPr>
          <w:rFonts w:ascii="Times New Roman" w:hAnsi="Times New Roman" w:eastAsia="宋体"/>
          <w:b w:val="0"/>
          <w:i w:val="0"/>
          <w:sz w:val="21"/>
        </w:rPr>
        <w:t>的优势主要体现在覆盖范围的完整性上。在Level 3条件组合型问题中，差异较明显——Graph-RAG返回的孤立材料-指标或条件-指标关系难以支撑多参数综合分析，Graph-RAG甚至指出"现有数据不足以综合描述多参数影响"；而Hyper-</w:t>
      </w:r>
      <w:r>
        <w:rPr>
          <w:rFonts w:hint="eastAsia"/>
          <w:b w:val="0"/>
          <w:i w:val="0"/>
          <w:sz w:val="21"/>
          <w:lang w:val="en-US" w:eastAsia="zh-CN"/>
        </w:rPr>
        <w:t>ChE</w:t>
      </w:r>
      <w:r>
        <w:rPr>
          <w:rFonts w:ascii="Times New Roman" w:hAnsi="Times New Roman" w:eastAsia="宋体"/>
          <w:b w:val="0"/>
          <w:i w:val="0"/>
          <w:sz w:val="21"/>
        </w:rPr>
        <w:t>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更适合表达"多证据共同支持一个判断"的知识形态，而二元边检索则容易将证据链拆散。</w:t>
      </w:r>
    </w:p>
    <w:p w14:paraId="59EB6E52">
      <w:pPr>
        <w:keepNext/>
        <w:spacing w:before="120" w:after="60" w:line="240" w:lineRule="auto"/>
        <w:jc w:val="left"/>
      </w:pPr>
      <w:r>
        <w:rPr>
          <w:rFonts w:ascii="Times New Roman" w:hAnsi="Times New Roman" w:eastAsia="黑体"/>
          <w:b/>
          <w:i w:val="0"/>
          <w:sz w:val="21"/>
        </w:rPr>
        <w:t>3.3 典型问题分析</w:t>
      </w:r>
    </w:p>
    <w:p w14:paraId="3EBCD276">
      <w:pPr>
        <w:keepNext w:val="0"/>
        <w:spacing w:before="0" w:after="60" w:line="240" w:lineRule="auto"/>
        <w:ind w:firstLine="420"/>
        <w:jc w:val="both"/>
      </w:pPr>
      <w:r>
        <w:rPr>
          <w:rFonts w:ascii="Times New Roman" w:hAnsi="Times New Roman" w:eastAsia="宋体"/>
          <w:b w:val="0"/>
          <w:i w:val="0"/>
          <w:sz w:val="21"/>
        </w:rPr>
        <w:t>为深入考察不同知识结构对检索增强效果的影响，本研究从12个问题中选取最能体现Graph-RAG与Hyper-</w:t>
      </w:r>
      <w:r>
        <w:rPr>
          <w:rFonts w:hint="eastAsia"/>
          <w:b w:val="0"/>
          <w:i w:val="0"/>
          <w:sz w:val="21"/>
          <w:lang w:val="en-US" w:eastAsia="zh-CN"/>
        </w:rPr>
        <w:t>ChE</w:t>
      </w:r>
      <w:r>
        <w:rPr>
          <w:rFonts w:ascii="Times New Roman" w:hAnsi="Times New Roman" w:eastAsia="宋体"/>
          <w:b w:val="0"/>
          <w:i w:val="0"/>
          <w:sz w:val="21"/>
        </w:rPr>
        <w:t>差异的5个问题进行定性分析，涵盖条件组合、跨策略比较、污染物类型对比、机理证据链和实验方案推荐五类任务。以下分别阐述各问题中两种检索方式的表现差异。</w:t>
      </w:r>
    </w:p>
    <w:p w14:paraId="3206A237">
      <w:pPr>
        <w:keepNext/>
        <w:spacing w:before="120" w:after="60" w:line="240" w:lineRule="auto"/>
        <w:jc w:val="left"/>
      </w:pPr>
      <w:r>
        <w:rPr>
          <w:rFonts w:ascii="Times New Roman" w:hAnsi="Times New Roman" w:eastAsia="楷体"/>
          <w:b w:val="0"/>
          <w:i w:val="0"/>
          <w:sz w:val="21"/>
        </w:rPr>
        <w:t>Q5 反应条件组合问题（Level 3条件组合型）</w:t>
      </w:r>
    </w:p>
    <w:p w14:paraId="029A1312">
      <w:pPr>
        <w:keepNext w:val="0"/>
        <w:spacing w:before="0" w:after="60" w:line="240" w:lineRule="auto"/>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14:paraId="5F7AAB57">
      <w:pPr>
        <w:keepNext w:val="0"/>
        <w:spacing w:before="0" w:after="60" w:line="240" w:lineRule="auto"/>
        <w:ind w:firstLine="420"/>
        <w:jc w:val="both"/>
      </w:pPr>
      <w:r>
        <w:rPr>
          <w:rFonts w:ascii="Times New Roman" w:hAnsi="Times New Roman" w:eastAsia="宋体"/>
          <w:b w:val="0"/>
          <w:sz w:val="21"/>
        </w:rPr>
        <w:t>相比之下，Hyper-ChE能够围绕具体材料体系（如PTFE、Cu-N/C@PVDF、Fe@PTFE）组织目标PFAS、超声频率（40~68 kHz）、功率密度（0.3~2.34 W/cm²）、pH、反应时间（1~5 h）和脱氟率等变量，形成较完整的"材料-污染物-条件-指标"组合。例如，Hyper-ChE回答同时保留了"40 kHz、0.3 W/cm²、250 mg/L PTFE、120 min、PFOA 10 mg/L"这一完整参数组合及其对应的脱氟率范围。这表明当问题涉及多个条件共同约束时，高阶关系比二元关系更容易保留实验事实的完整语义。</w:t>
      </w:r>
    </w:p>
    <w:p w14:paraId="01ED124C">
      <w:pPr>
        <w:keepNext/>
        <w:spacing w:before="120" w:after="60" w:line="240" w:lineRule="auto"/>
        <w:jc w:val="left"/>
      </w:pPr>
      <w:r>
        <w:rPr>
          <w:rFonts w:ascii="Times New Roman" w:hAnsi="Times New Roman" w:eastAsia="楷体"/>
          <w:b w:val="0"/>
          <w:i w:val="0"/>
          <w:sz w:val="21"/>
        </w:rPr>
        <w:t>Q7 跨策略比较问题（Level 4对比分析型）</w:t>
      </w:r>
    </w:p>
    <w:p w14:paraId="71A6543A">
      <w:pPr>
        <w:keepNext w:val="0"/>
        <w:spacing w:before="0" w:after="60" w:line="240" w:lineRule="auto"/>
        <w:ind w:firstLine="420"/>
        <w:jc w:val="both"/>
      </w:pPr>
      <w:r>
        <w:rPr>
          <w:rFonts w:ascii="Times New Roman" w:hAnsi="Times New Roman" w:eastAsia="宋体"/>
          <w:b w:val="0"/>
          <w:i w:val="0"/>
          <w:sz w:val="21"/>
        </w:rP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14:paraId="7522E0AF">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则通过策略相关超边同时连接过程类型、催化材料、目标污染物、活性物种和性能指标，能够形成更完整的横向比较。例如，Hyper-</w:t>
      </w:r>
      <w:r>
        <w:rPr>
          <w:rFonts w:hint="eastAsia"/>
          <w:b w:val="0"/>
          <w:i w:val="0"/>
          <w:sz w:val="21"/>
          <w:lang w:val="en-US" w:eastAsia="zh-CN"/>
        </w:rPr>
        <w:t>ChE</w:t>
      </w:r>
      <w:r>
        <w:rPr>
          <w:rFonts w:ascii="Times New Roman" w:hAnsi="Times New Roman" w:eastAsia="宋体"/>
          <w:b w:val="0"/>
          <w:i w:val="0"/>
          <w:sz w:val="21"/>
        </w:rPr>
        <w:t>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14:paraId="397E3971">
      <w:pPr>
        <w:keepNext/>
        <w:spacing w:before="120" w:after="60" w:line="240" w:lineRule="auto"/>
        <w:jc w:val="left"/>
      </w:pPr>
      <w:r>
        <w:rPr>
          <w:rFonts w:ascii="Times New Roman" w:hAnsi="Times New Roman" w:eastAsia="楷体"/>
          <w:b w:val="0"/>
          <w:i w:val="0"/>
          <w:sz w:val="21"/>
        </w:rPr>
        <w:t>Q8 长链与短链PFAS对比问题（Level 4对比分析型）</w:t>
      </w:r>
    </w:p>
    <w:p w14:paraId="668E18E7">
      <w:pPr>
        <w:keepNext w:val="0"/>
        <w:spacing w:before="0" w:after="60" w:line="240" w:lineRule="auto"/>
        <w:ind w:firstLine="420"/>
        <w:jc w:val="both"/>
      </w:pPr>
      <w:r>
        <w:rPr>
          <w:rFonts w:ascii="Times New Roman" w:hAnsi="Times New Roman" w:eastAsia="宋体"/>
          <w:b w:val="0"/>
          <w:i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14:paraId="3DA0A81E">
      <w:pPr>
        <w:keepNext w:val="0"/>
        <w:spacing w:before="0" w:after="60" w:line="240" w:lineRule="auto"/>
        <w:ind w:firstLine="420"/>
        <w:jc w:val="both"/>
      </w:pPr>
      <w:r>
        <w:rPr>
          <w:rFonts w:ascii="Times New Roman" w:hAnsi="Times New Roman" w:eastAsia="宋体"/>
          <w:sz w:val="21"/>
        </w:rPr>
        <w:t>Hyper-ChE能够覆盖吸附亲和性、链长效应、短链PFAS难降解性和GenX替代污染物等多个维度，并将PFAS链长、官能团、材料表面作用和性能指标同时组织起来。例如，Hyper-ChE不仅指出长链PFAS因log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结果表明目标污染物并非简单的检索关键词，而是影响吸附、活化和脱氟路径的核心变量。</w:t>
      </w:r>
    </w:p>
    <w:p w14:paraId="07B845BB">
      <w:pPr>
        <w:keepNext/>
        <w:spacing w:before="120" w:after="60" w:line="240" w:lineRule="auto"/>
        <w:jc w:val="left"/>
      </w:pPr>
      <w:r>
        <w:rPr>
          <w:rFonts w:ascii="Times New Roman" w:hAnsi="Times New Roman" w:eastAsia="楷体"/>
          <w:b w:val="0"/>
          <w:i w:val="0"/>
          <w:sz w:val="21"/>
        </w:rPr>
        <w:t>Q10 直接电子转移机制问题（Level 5机理证据链型）</w:t>
      </w:r>
    </w:p>
    <w:p w14:paraId="13313FAD">
      <w:pPr>
        <w:keepNext w:val="0"/>
        <w:spacing w:before="0" w:after="60" w:line="240" w:lineRule="auto"/>
        <w:ind w:firstLine="420"/>
        <w:jc w:val="both"/>
      </w:pPr>
      <w:r>
        <w:rPr>
          <w:rFonts w:ascii="Times New Roman" w:hAnsi="Times New Roman" w:eastAsia="宋体"/>
          <w:b w:val="0"/>
          <w:i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14:paraId="3ACB1934">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14:paraId="57784C26">
      <w:pPr>
        <w:keepNext/>
        <w:spacing w:before="120" w:after="60" w:line="240" w:lineRule="auto"/>
        <w:jc w:val="left"/>
      </w:pPr>
      <w:r>
        <w:rPr>
          <w:rFonts w:ascii="Times New Roman" w:hAnsi="Times New Roman" w:eastAsia="楷体"/>
          <w:b w:val="0"/>
          <w:i w:val="0"/>
          <w:sz w:val="21"/>
        </w:rPr>
        <w:t>Q12 实验方向推荐问题（Level 6方案推荐型）</w:t>
      </w:r>
    </w:p>
    <w:p w14:paraId="2135D4C6">
      <w:pPr>
        <w:keepNext w:val="0"/>
        <w:spacing w:before="0" w:after="60" w:line="240" w:lineRule="auto"/>
        <w:ind w:firstLine="420"/>
        <w:jc w:val="both"/>
      </w:pPr>
      <w:r>
        <w:rPr>
          <w:rFonts w:ascii="Times New Roman" w:hAnsi="Times New Roman" w:eastAsia="宋体"/>
          <w:b w:val="0"/>
          <w:i w:val="0"/>
          <w:sz w:val="21"/>
        </w:rP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14:paraId="411083C3">
      <w:pPr>
        <w:keepNext w:val="0"/>
        <w:spacing w:before="0" w:after="60" w:line="240" w:lineRule="auto"/>
        <w:ind w:firstLine="420"/>
        <w:jc w:val="both"/>
      </w:pPr>
      <w:r>
        <w:rPr>
          <w:rFonts w:ascii="Times New Roman" w:hAnsi="Times New Roman" w:eastAsia="宋体"/>
          <w:sz w:val="21"/>
        </w:rPr>
        <w:t>Hyper-ChE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结果表明高阶知识组织不仅能够支持事实检索，也能为后续实验设计提供更具上下文约束的候选方案。</w:t>
      </w:r>
    </w:p>
    <w:p w14:paraId="13C1C1DC">
      <w:pPr>
        <w:keepNext/>
        <w:spacing w:before="240" w:after="240" w:line="240" w:lineRule="auto"/>
        <w:jc w:val="left"/>
      </w:pPr>
      <w:r>
        <w:rPr>
          <w:rFonts w:ascii="Times New Roman" w:hAnsi="Times New Roman" w:eastAsia="黑体"/>
          <w:b/>
          <w:i w:val="0"/>
          <w:sz w:val="28"/>
        </w:rPr>
        <w:t>4 讨论</w:t>
      </w:r>
    </w:p>
    <w:p w14:paraId="606CCE06">
      <w:pPr>
        <w:keepNext/>
        <w:spacing w:before="120" w:after="60" w:line="240" w:lineRule="auto"/>
        <w:jc w:val="left"/>
      </w:pPr>
      <w:r>
        <w:rPr>
          <w:rFonts w:ascii="Times New Roman" w:hAnsi="Times New Roman" w:eastAsia="黑体"/>
          <w:b/>
          <w:i w:val="0"/>
          <w:sz w:val="21"/>
        </w:rPr>
        <w:t>4.1 超图建模的优势与适用边界</w:t>
      </w:r>
    </w:p>
    <w:p w14:paraId="700344BB">
      <w:pPr>
        <w:keepNext w:val="0"/>
        <w:spacing w:before="0" w:after="60" w:line="240" w:lineRule="auto"/>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14:paraId="4FF42693">
      <w:pPr>
        <w:keepNext w:val="0"/>
        <w:spacing w:before="0" w:after="60" w:line="240" w:lineRule="auto"/>
        <w:ind w:firstLine="420"/>
        <w:jc w:val="both"/>
      </w:pPr>
      <w:r>
        <w:rPr>
          <w:rFonts w:ascii="Times New Roman" w:hAnsi="Times New Roman" w:eastAsia="宋体"/>
          <w:b w:val="0"/>
          <w:i w:val="0"/>
          <w:sz w:val="21"/>
        </w:rPr>
        <w:t>超图建模的优势</w:t>
      </w:r>
      <w:r>
        <w:rPr>
          <w:rFonts w:hint="eastAsia"/>
          <w:b w:val="0"/>
          <w:i w:val="0"/>
          <w:sz w:val="21"/>
          <w:lang w:val="en-US" w:eastAsia="zh-CN"/>
        </w:rPr>
        <w:t>体现在</w:t>
      </w:r>
      <w:r>
        <w:rPr>
          <w:rFonts w:ascii="Times New Roman" w:hAnsi="Times New Roman" w:eastAsia="宋体"/>
          <w:b w:val="0"/>
          <w:i w:val="0"/>
          <w:sz w:val="21"/>
        </w:rPr>
        <w:t>：当查询需要判断"多个条件是否属于同一实验事实"时，高阶超边提供的结构信息</w:t>
      </w:r>
      <w:r>
        <w:rPr>
          <w:rFonts w:hint="eastAsia"/>
          <w:b w:val="0"/>
          <w:i w:val="0"/>
          <w:sz w:val="21"/>
          <w:lang w:val="en-US" w:eastAsia="zh-CN"/>
        </w:rPr>
        <w:t>能够更好地覆盖原实验事实</w:t>
      </w:r>
      <w:r>
        <w:rPr>
          <w:rFonts w:ascii="Times New Roman" w:hAnsi="Times New Roman" w:eastAsia="宋体"/>
          <w:b w:val="0"/>
          <w:i w:val="0"/>
          <w:sz w:val="21"/>
        </w:rPr>
        <w:t>。对于单一概念解释类问题、简单事实查询或仅需枚举型知识的语料总览型问题，向量检索或二元图检索已能提供足够准确的答案，超图建模的收益有限。</w:t>
      </w:r>
    </w:p>
    <w:p w14:paraId="7D41D1D5">
      <w:pPr>
        <w:keepNext w:val="0"/>
        <w:spacing w:before="0" w:after="60" w:line="240" w:lineRule="auto"/>
        <w:ind w:firstLine="420"/>
        <w:jc w:val="both"/>
      </w:pPr>
      <w:r>
        <w:rPr>
          <w:rFonts w:ascii="Times New Roman" w:hAnsi="Times New Roman" w:eastAsia="宋体"/>
          <w:b w:val="0"/>
          <w:i w:val="0"/>
          <w:sz w:val="21"/>
        </w:rPr>
        <w:t>在PFAS去除与降解案例中，两个案例中Hyper-</w:t>
      </w:r>
      <w:r>
        <w:rPr>
          <w:rFonts w:hint="eastAsia"/>
          <w:b w:val="0"/>
          <w:i w:val="0"/>
          <w:sz w:val="21"/>
          <w:lang w:val="en-US" w:eastAsia="zh-CN"/>
        </w:rPr>
        <w:t>ChE</w:t>
      </w:r>
      <w:r>
        <w:rPr>
          <w:rFonts w:ascii="Times New Roman" w:hAnsi="Times New Roman" w:eastAsia="宋体"/>
          <w:b w:val="0"/>
          <w:i w:val="0"/>
          <w:sz w:val="21"/>
        </w:rPr>
        <w:t>的表现规律相似，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反映了不同子领域知识组织的差异：液流电池研究以电化学性能测试为主线，条件组合主要服务于效率优化；PFAS降解研究以污染物去除机理为核心，条件组合需要同时支撑性能评价与机制解释。两个案例表明，当查询涉及多个条件共同约束、跨实体横向对比或多证据协同支撑时，超图建模能够提供优于二元图的知识表达与检索能力。</w:t>
      </w:r>
    </w:p>
    <w:p w14:paraId="5C9B3244">
      <w:pPr>
        <w:keepNext w:val="0"/>
        <w:spacing w:before="0" w:after="60" w:line="240" w:lineRule="auto"/>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w:t>
      </w:r>
      <w:r>
        <w:rPr>
          <w:rFonts w:hint="eastAsia"/>
          <w:b w:val="0"/>
          <w:i w:val="0"/>
          <w:sz w:val="21"/>
          <w:lang w:val="en-US" w:eastAsia="zh-CN"/>
        </w:rPr>
        <w:t>ChE</w:t>
      </w:r>
      <w:r>
        <w:rPr>
          <w:rFonts w:ascii="Times New Roman" w:hAnsi="Times New Roman" w:eastAsia="宋体"/>
          <w:b w:val="0"/>
          <w:i w:val="0"/>
          <w:sz w:val="21"/>
        </w:rPr>
        <w:t>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14:paraId="54839467">
      <w:pPr>
        <w:keepNext/>
        <w:spacing w:before="120" w:after="60" w:line="240" w:lineRule="auto"/>
        <w:jc w:val="left"/>
      </w:pPr>
      <w:r>
        <w:rPr>
          <w:rFonts w:ascii="Times New Roman" w:hAnsi="Times New Roman" w:eastAsia="黑体"/>
          <w:b/>
          <w:i w:val="0"/>
          <w:sz w:val="21"/>
        </w:rPr>
        <w:t>4.2 领域适配的必要性</w:t>
      </w:r>
    </w:p>
    <w:p w14:paraId="1CBACFED">
      <w:pPr>
        <w:keepNext w:val="0"/>
        <w:spacing w:before="0" w:after="60" w:line="240" w:lineRule="auto"/>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14:paraId="105FD312">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采用两方面措施应对上述挑战。第一层，通过预定义实体类型与超边类型约束抽取空间，使LLM在有限类型的引导下进行结构化输出，减少术语歧义。第二层，采用JSON结构化输出格式，明确指定字段名称与层级关系，减少格式漂移。</w:t>
      </w:r>
    </w:p>
    <w:p w14:paraId="4FF0AD8E">
      <w:pPr>
        <w:keepNext w:val="0"/>
        <w:spacing w:before="0" w:after="60" w:line="240" w:lineRule="auto"/>
        <w:ind w:firstLine="420"/>
        <w:jc w:val="both"/>
      </w:pPr>
      <w:r>
        <w:rPr>
          <w:rFonts w:ascii="Times New Roman" w:hAnsi="Times New Roman" w:eastAsia="宋体"/>
          <w:b w:val="0"/>
          <w:i w:val="0"/>
          <w:sz w:val="21"/>
        </w:rP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w:t>
      </w:r>
    </w:p>
    <w:p w14:paraId="3328DD0C">
      <w:pPr>
        <w:keepNext/>
        <w:spacing w:before="120" w:after="60" w:line="240" w:lineRule="auto"/>
        <w:jc w:val="left"/>
      </w:pPr>
      <w:r>
        <w:rPr>
          <w:rFonts w:ascii="Times New Roman" w:hAnsi="Times New Roman" w:eastAsia="黑体"/>
          <w:b/>
          <w:i w:val="0"/>
          <w:sz w:val="21"/>
        </w:rPr>
        <w:t>4.3 局限性与未来工作</w:t>
      </w:r>
    </w:p>
    <w:p w14:paraId="6CFCDACF">
      <w:pPr>
        <w:keepNext w:val="0"/>
        <w:spacing w:before="0" w:after="60" w:line="240" w:lineRule="auto"/>
        <w:ind w:firstLine="420"/>
        <w:jc w:val="both"/>
      </w:pPr>
      <w:r>
        <w:rPr>
          <w:rFonts w:ascii="Times New Roman" w:hAnsi="Times New Roman" w:eastAsia="宋体"/>
          <w:sz w:val="21"/>
        </w:rPr>
        <w:t>方法存在以下局限。</w:t>
      </w:r>
    </w:p>
    <w:p w14:paraId="6DD0EFFE">
      <w:pPr>
        <w:keepNext w:val="0"/>
        <w:spacing w:before="120" w:after="60" w:line="240" w:lineRule="auto"/>
        <w:ind w:firstLine="420"/>
        <w:jc w:val="left"/>
      </w:pPr>
      <w:r>
        <w:rPr>
          <w:rFonts w:ascii="Times New Roman" w:hAnsi="Times New Roman" w:eastAsia="黑体"/>
          <w:b/>
          <w:i w:val="0"/>
          <w:sz w:val="21"/>
        </w:rPr>
        <w:t>第一，实体名称归一化尚不充分。</w:t>
      </w:r>
    </w:p>
    <w:p w14:paraId="3809D61F">
      <w:pPr>
        <w:keepNext w:val="0"/>
        <w:spacing w:before="0" w:after="60" w:line="240" w:lineRule="auto"/>
        <w:ind w:firstLine="420"/>
        <w:jc w:val="both"/>
      </w:pPr>
      <w:r>
        <w:rPr>
          <w:rFonts w:ascii="Times New Roman" w:hAnsi="Times New Roman" w:eastAsia="宋体"/>
          <w:b w:val="0"/>
          <w:i w:val="0"/>
          <w:sz w:val="21"/>
        </w:rPr>
        <w:t>不同文献对同一材料或概念可能使用不同表述（如"Nafion"与"全氟磺酸树脂"、"PFOA"与"C8"、"PFOS"与"C8S"），</w:t>
      </w:r>
      <w:r>
        <w:rPr>
          <w:rFonts w:hint="eastAsia"/>
          <w:b w:val="0"/>
          <w:i w:val="0"/>
          <w:sz w:val="21"/>
          <w:lang w:val="en-US" w:eastAsia="zh-CN"/>
        </w:rPr>
        <w:t>虽然我们预定义了实体类型与超边类型，但是在具体的实体抽取环节，仍会出现同一个概念在抽取时未能名称归一化的情况。</w:t>
      </w:r>
      <w:r>
        <w:rPr>
          <w:rFonts w:ascii="Times New Roman" w:hAnsi="Times New Roman" w:eastAsia="宋体"/>
          <w:b w:val="0"/>
          <w:i w:val="0"/>
          <w:sz w:val="21"/>
        </w:rPr>
        <w:t>当前抽取流程</w:t>
      </w:r>
      <w:r>
        <w:rPr>
          <w:rFonts w:hint="eastAsia"/>
          <w:b w:val="0"/>
          <w:i w:val="0"/>
          <w:sz w:val="21"/>
          <w:lang w:val="en-US" w:eastAsia="zh-CN"/>
        </w:rPr>
        <w:t>仍会</w:t>
      </w:r>
      <w:r>
        <w:rPr>
          <w:rFonts w:ascii="Times New Roman" w:hAnsi="Times New Roman" w:eastAsia="宋体"/>
          <w:b w:val="0"/>
          <w:i w:val="0"/>
          <w:sz w:val="21"/>
        </w:rPr>
        <w:t>将这些变体视为独立节点，未进行语义层面的合并。这一问题在PFAS降解领域尤为突出：PFAS类物质存在大量同义词变体（如商用名与化学名的混用）、催化材料的缩写与全称并存、以及活性物种的多种表示方式（如"•OH"、"羟基自由基"、"OH radical"）。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14:paraId="7D6444FA">
      <w:pPr>
        <w:keepNext w:val="0"/>
        <w:spacing w:before="120" w:after="60" w:line="240" w:lineRule="auto"/>
        <w:ind w:firstLine="420"/>
        <w:jc w:val="left"/>
      </w:pPr>
      <w:r>
        <w:rPr>
          <w:rFonts w:ascii="Times New Roman" w:hAnsi="Times New Roman" w:eastAsia="黑体"/>
          <w:b/>
          <w:i w:val="0"/>
          <w:sz w:val="21"/>
        </w:rPr>
        <w:t>第二，高阶超边的抽取质量存在稳定性问题。</w:t>
      </w:r>
    </w:p>
    <w:p w14:paraId="415D9F93">
      <w:pPr>
        <w:keepNext w:val="0"/>
        <w:spacing w:before="0" w:after="60" w:line="240" w:lineRule="auto"/>
        <w:ind w:firstLine="420"/>
        <w:jc w:val="both"/>
      </w:pPr>
      <w:r>
        <w:rPr>
          <w:rFonts w:ascii="Times New Roman" w:hAnsi="Times New Roman" w:eastAsia="宋体"/>
          <w:b w:val="0"/>
          <w:i w:val="0"/>
          <w:sz w:val="21"/>
        </w:rPr>
        <w:t>高阶超边的结构正确性依赖LLM对复杂语义的理解能力</w:t>
      </w:r>
      <w:r>
        <w:rPr>
          <w:rFonts w:hint="eastAsia"/>
          <w:b w:val="0"/>
          <w:i w:val="0"/>
          <w:sz w:val="21"/>
          <w:lang w:eastAsia="zh-CN"/>
        </w:rPr>
        <w:t>，</w:t>
      </w:r>
      <w:r>
        <w:rPr>
          <w:rFonts w:ascii="Times New Roman" w:hAnsi="Times New Roman" w:eastAsia="宋体"/>
          <w:b w:val="0"/>
          <w:i w:val="0"/>
          <w:sz w:val="21"/>
        </w:rPr>
        <w:t>当文献描述存在</w:t>
      </w:r>
      <w:r>
        <w:rPr>
          <w:rFonts w:hint="eastAsia"/>
          <w:b w:val="0"/>
          <w:i w:val="0"/>
          <w:sz w:val="21"/>
          <w:lang w:val="en-US" w:eastAsia="zh-CN"/>
        </w:rPr>
        <w:t>跨文本块依赖</w:t>
      </w:r>
      <w:r>
        <w:rPr>
          <w:rFonts w:ascii="Times New Roman" w:hAnsi="Times New Roman" w:eastAsia="宋体"/>
          <w:b w:val="0"/>
          <w:i w:val="0"/>
          <w:sz w:val="21"/>
        </w:rPr>
        <w:t>、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14:paraId="33CC282D">
      <w:pPr>
        <w:keepNext w:val="0"/>
        <w:spacing w:before="120" w:after="60" w:line="240" w:lineRule="auto"/>
        <w:ind w:firstLine="420"/>
        <w:jc w:val="left"/>
      </w:pPr>
      <w:r>
        <w:rPr>
          <w:rFonts w:ascii="Times New Roman" w:hAnsi="Times New Roman" w:eastAsia="黑体"/>
          <w:b/>
          <w:i w:val="0"/>
          <w:sz w:val="21"/>
        </w:rPr>
        <w:t>第三，结构化条件查询的联合优化尚未解决。</w:t>
      </w:r>
    </w:p>
    <w:p w14:paraId="3F10A6D4">
      <w:pPr>
        <w:keepNext w:val="0"/>
        <w:spacing w:before="0" w:after="60" w:line="240" w:lineRule="auto"/>
        <w:ind w:firstLine="420"/>
        <w:jc w:val="both"/>
      </w:pPr>
      <w:r>
        <w:rPr>
          <w:rFonts w:ascii="Times New Roman" w:hAnsi="Times New Roman" w:eastAsia="宋体"/>
          <w:b w:val="0"/>
          <w:i w:val="0"/>
          <w:sz w:val="21"/>
        </w:rPr>
        <w:t>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14:paraId="333954E2">
      <w:pPr>
        <w:keepNext/>
        <w:spacing w:before="240" w:after="240" w:line="240" w:lineRule="auto"/>
        <w:jc w:val="left"/>
      </w:pPr>
      <w:r>
        <w:rPr>
          <w:rFonts w:ascii="Times New Roman" w:hAnsi="Times New Roman" w:eastAsia="黑体"/>
          <w:b/>
          <w:i w:val="0"/>
          <w:sz w:val="28"/>
        </w:rPr>
        <w:t>5 结论</w:t>
      </w:r>
    </w:p>
    <w:p w14:paraId="2FA799DB">
      <w:pPr>
        <w:keepNext w:val="0"/>
        <w:spacing w:before="0" w:after="60" w:line="240" w:lineRule="auto"/>
        <w:ind w:firstLine="420"/>
        <w:jc w:val="both"/>
      </w:pPr>
      <w:r>
        <w:rPr>
          <w:rFonts w:ascii="Times New Roman" w:hAnsi="Times New Roman" w:eastAsia="宋体"/>
          <w:sz w:val="21"/>
        </w:rPr>
        <w:t>通过对液流电池和PFAS降解两个典型化工领域的文献分析，发现化工实验知识中的"体系—材料—条件—指标—机理"天然具有多变量耦合的结构特征，适合用超图进行建模。为验证这一判断，构建了适配于化工领域的超图增强RAG（Hyper-ChE）框架，以超图结构替代传统二元图结构进行知识存储与检索，并通过与Graph-RAG的对比实验，验证了超图建模在保持条件组合完整性方面的优势。</w:t>
      </w:r>
    </w:p>
    <w:p w14:paraId="1BAF47AA">
      <w:pPr>
        <w:keepNext w:val="0"/>
        <w:spacing w:before="0" w:after="60" w:line="240" w:lineRule="auto"/>
        <w:ind w:firstLine="420"/>
        <w:jc w:val="both"/>
      </w:pPr>
      <w:r>
        <w:rPr>
          <w:rFonts w:ascii="Times New Roman" w:hAnsi="Times New Roman" w:eastAsia="宋体"/>
          <w:sz w:val="21"/>
        </w:rPr>
        <w:t>在液流电池领域，基于50篇文献构建的知识库包含9970个实体和12987条超边，其中高阶超边占20.9%。对比评估表明，Hyper-</w:t>
      </w:r>
      <w:r>
        <w:rPr>
          <w:rFonts w:hint="eastAsia"/>
          <w:sz w:val="21"/>
          <w:lang w:val="en-US" w:eastAsia="zh-CN"/>
        </w:rPr>
        <w:t>ChE</w:t>
      </w:r>
      <w:r>
        <w:rPr>
          <w:rFonts w:ascii="Times New Roman" w:hAnsi="Times New Roman" w:eastAsia="宋体"/>
          <w:sz w:val="21"/>
        </w:rPr>
        <w:t>平均召回103条高阶超边/63个实体，Graph-RAG平均召回46条二元边。这一结果说明，超图结构对"体系—材料—条件—性能"高阶关系的表达能力优于二元图，化工实验知识中多变量共同约束的结构特征确实对检索效果产生了实质影响。</w:t>
      </w:r>
    </w:p>
    <w:p w14:paraId="54423D98">
      <w:pPr>
        <w:keepNext w:val="0"/>
        <w:spacing w:before="0" w:after="60" w:line="240" w:lineRule="auto"/>
        <w:ind w:firstLine="420"/>
        <w:jc w:val="both"/>
      </w:pPr>
      <w:r>
        <w:rPr>
          <w:rFonts w:ascii="Times New Roman" w:hAnsi="Times New Roman" w:eastAsia="宋体"/>
          <w:sz w:val="21"/>
        </w:rPr>
        <w:t>为进一步验证超图知识建模在多变量耦合实验科学中的适用性，本文以PFAS去除与降解领域为第二案例进行了验证。基于50篇文献构建的知识库包含7253个实体和10363条关系/超边，其中高阶超边占比21.98%。在覆盖语料总览、条件组合、跨策略比较、长短链对比、机理证据链和实验方案推荐的12个测试问题中，Hyper-</w:t>
      </w:r>
      <w:r>
        <w:rPr>
          <w:rFonts w:hint="eastAsia"/>
          <w:sz w:val="21"/>
          <w:lang w:val="en-US" w:eastAsia="zh-CN"/>
        </w:rPr>
        <w:t>ChE</w:t>
      </w:r>
      <w:r>
        <w:rPr>
          <w:rFonts w:ascii="Times New Roman" w:hAnsi="Times New Roman" w:eastAsia="宋体"/>
          <w:sz w:val="21"/>
        </w:rPr>
        <w:t>平均召回81.5条高阶超边，约为Graph-RAG（37.9条二元边）的2.15倍。典型问题分析表明，Hyper-</w:t>
      </w:r>
      <w:r>
        <w:rPr>
          <w:rFonts w:hint="eastAsia"/>
          <w:sz w:val="21"/>
          <w:lang w:val="en-US" w:eastAsia="zh-CN"/>
        </w:rPr>
        <w:t>ChE</w:t>
      </w:r>
      <w:r>
        <w:rPr>
          <w:rFonts w:ascii="Times New Roman" w:hAnsi="Times New Roman" w:eastAsia="宋体"/>
          <w:sz w:val="21"/>
        </w:rPr>
        <w:t>在多条件组合保留（Q5）、跨策略横向比较（Q7）、目标污染物差异化分析（Q8）、多证据机理链组织（Q10）和实验方案结构化推荐（Q12）等任务中表现更好。该结果与液流电池案例的发现一致，表明化工实验知识中的多变量耦合结构确实适合用超图建模，且超图结构对"目标污染物—材料—条件—指标—机理"高阶关系的表达能够有效提升复杂条件查询中的检索效果。</w:t>
      </w:r>
    </w:p>
    <w:p w14:paraId="442A2969">
      <w:pPr>
        <w:keepNext w:val="0"/>
        <w:spacing w:before="0" w:after="60" w:line="240" w:lineRule="auto"/>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14:paraId="4FE95870">
      <w:pPr>
        <w:keepNext w:val="0"/>
        <w:spacing w:before="0" w:after="60" w:line="240" w:lineRule="auto"/>
        <w:ind w:firstLine="420"/>
        <w:jc w:val="both"/>
      </w:pPr>
      <w:r>
        <w:rPr>
          <w:rFonts w:hint="eastAsia"/>
          <w:b w:val="0"/>
          <w:i w:val="0"/>
          <w:sz w:val="21"/>
          <w:lang w:val="en-US" w:eastAsia="zh-CN"/>
        </w:rPr>
        <w:t>同时应该承认的是，当前每个领域的超图数据库仅嵌入了50篇论文语料，</w:t>
      </w:r>
      <w:r>
        <w:rPr>
          <w:rFonts w:ascii="Times New Roman" w:hAnsi="Times New Roman" w:eastAsia="宋体"/>
          <w:b w:val="0"/>
          <w:i w:val="0"/>
          <w:sz w:val="21"/>
        </w:rPr>
        <w:t>基于当前子集规模的验证结果虽已初步表明超图建模在多变量组合查询中的优势，但更全面的结论有待更大规模语料的支持。</w:t>
      </w:r>
    </w:p>
    <w:p w14:paraId="642C1725">
      <w:pPr>
        <w:keepNext w:val="0"/>
        <w:spacing w:before="0" w:after="60" w:line="240" w:lineRule="auto"/>
        <w:ind w:firstLine="420"/>
        <w:jc w:val="both"/>
      </w:pPr>
      <w:r>
        <w:rPr>
          <w:rFonts w:ascii="Times New Roman" w:hAnsi="Times New Roman" w:eastAsia="宋体"/>
          <w:b w:val="0"/>
          <w:i w:val="0"/>
          <w:sz w:val="21"/>
        </w:rPr>
        <w:t>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14:paraId="1A36EDB8">
      <w:pPr>
        <w:keepNext/>
        <w:spacing w:before="240" w:after="240" w:line="240" w:lineRule="auto"/>
        <w:jc w:val="left"/>
      </w:pPr>
      <w:r>
        <w:rPr>
          <w:rFonts w:ascii="Times New Roman" w:hAnsi="Times New Roman" w:eastAsia="黑体"/>
          <w:b/>
          <w:i w:val="0"/>
          <w:sz w:val="28"/>
        </w:rPr>
        <w:t>参考文献</w:t>
      </w:r>
    </w:p>
    <w:p w14:paraId="2DAA361F">
      <w:pPr>
        <w:spacing w:before="20" w:after="20" w:line="240" w:lineRule="auto"/>
        <w:ind w:left="420" w:hanging="420"/>
      </w:pPr>
      <w:r>
        <w:rPr>
          <w:rFonts w:ascii="Times New Roman" w:hAnsi="Times New Roman" w:eastAsia="宋体"/>
          <w:b w:val="0"/>
          <w:i w:val="0"/>
          <w:sz w:val="15"/>
        </w:rPr>
        <w:t>[1] 陈海生, 蒋凯, 等. 液流电池关键材料发展研究[J]. 中国工程科学, 2025, 27(10): 1-12.</w:t>
      </w:r>
    </w:p>
    <w:p w14:paraId="445548B4">
      <w:pPr>
        <w:spacing w:before="20" w:after="20" w:line="240" w:lineRule="auto"/>
        <w:ind w:left="420" w:hanging="420"/>
      </w:pPr>
      <w:r>
        <w:rPr>
          <w:rFonts w:ascii="Times New Roman" w:hAnsi="Times New Roman" w:eastAsia="宋体"/>
          <w:b w:val="0"/>
          <w:i w:val="0"/>
          <w:sz w:val="15"/>
        </w:rPr>
        <w:t>[2] DING C S, ZHANG H N, et al. Sulfonated polybenzimidazole zwitterionic exchange membrane for vanadium flow batteries[J]. Journal of Membrane Science, 2023, 669: 121-135.</w:t>
      </w:r>
    </w:p>
    <w:p w14:paraId="3BED8E52">
      <w:pPr>
        <w:spacing w:before="20" w:after="20" w:line="240" w:lineRule="auto"/>
        <w:ind w:left="420" w:hanging="420"/>
      </w:pPr>
      <w:r>
        <w:rPr>
          <w:rFonts w:ascii="Times New Roman" w:hAnsi="Times New Roman" w:eastAsia="宋体"/>
          <w:b w:val="0"/>
          <w:i w:val="0"/>
          <w:sz w:val="15"/>
        </w:rPr>
        <w:t>[3] CHEN Y K, et al. High-activity and high-stability bismuth single-atom electrocatalyst for vanadium redox flow batteries[J]. Advanced Materials, 2024, 36: 2308124.</w:t>
      </w:r>
    </w:p>
    <w:p w14:paraId="220F6BE8">
      <w:pPr>
        <w:spacing w:before="20" w:after="20" w:line="240" w:lineRule="auto"/>
        <w:ind w:left="420" w:hanging="420"/>
      </w:pPr>
      <w:r>
        <w:rPr>
          <w:rFonts w:ascii="Times New Roman" w:hAnsi="Times New Roman" w:eastAsia="宋体"/>
          <w:b w:val="0"/>
          <w:i w:val="0"/>
          <w:sz w:val="15"/>
        </w:rPr>
        <w:t>[4] 中国储能技术研究进展2024[J]. 储能科学与技术, 2025, 14(1): 1-30.</w:t>
      </w:r>
    </w:p>
    <w:p w14:paraId="3346ECB7">
      <w:pPr>
        <w:spacing w:before="20" w:after="20" w:line="240" w:lineRule="auto"/>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14:paraId="4C9ADCE8">
      <w:pPr>
        <w:spacing w:before="20" w:after="20" w:line="240" w:lineRule="auto"/>
        <w:ind w:left="420" w:hanging="420"/>
      </w:pPr>
      <w:r>
        <w:rPr>
          <w:rFonts w:ascii="Times New Roman" w:hAnsi="Times New Roman" w:eastAsia="宋体"/>
          <w:b w:val="0"/>
          <w:i w:val="0"/>
          <w:sz w:val="15"/>
        </w:rPr>
        <w:t>[6] LEWIS P, PEREZ E, PIKTUS A, et al. Retrieval-augmented generation for knowledge-intensive NLP tasks[J]. Advances in Neural Information Processing Systems, 2020, 33: 9459-9474.</w:t>
      </w:r>
    </w:p>
    <w:p w14:paraId="5A237CBA">
      <w:pPr>
        <w:spacing w:before="20" w:after="20" w:line="240" w:lineRule="auto"/>
        <w:ind w:left="420" w:hanging="420"/>
      </w:pPr>
      <w:r>
        <w:rPr>
          <w:rFonts w:ascii="Times New Roman" w:hAnsi="Times New Roman" w:eastAsia="宋体"/>
          <w:b w:val="0"/>
          <w:i w:val="0"/>
          <w:sz w:val="15"/>
        </w:rPr>
        <w:t>[7] GAO Y L, XIONG Y T, GAO X R, et al. Retrieval-augmented generation for large language models: A survey[J]. arXiv preprint arXiv:2312.10997, 2024.</w:t>
      </w:r>
    </w:p>
    <w:p w14:paraId="0A05B256">
      <w:pPr>
        <w:spacing w:before="20" w:after="20" w:line="240" w:lineRule="auto"/>
        <w:ind w:left="420" w:hanging="420"/>
      </w:pPr>
      <w:r>
        <w:rPr>
          <w:rFonts w:ascii="Times New Roman" w:hAnsi="Times New Roman" w:eastAsia="宋体"/>
          <w:b w:val="0"/>
          <w:i w:val="0"/>
          <w:sz w:val="15"/>
        </w:rPr>
        <w:t>[8] WU S C, XIONG Y T, CUI Y X, et al. Retrieval-augmented generation for natural language processing: A survey[J]. arXiv preprint arXiv:2407.13167, 2024.</w:t>
      </w:r>
    </w:p>
    <w:p w14:paraId="461ECB1B">
      <w:pPr>
        <w:spacing w:before="20" w:after="20" w:line="240" w:lineRule="auto"/>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14:paraId="11262D9C">
      <w:pPr>
        <w:spacing w:before="20" w:after="20" w:line="240" w:lineRule="auto"/>
        <w:ind w:left="420" w:hanging="420"/>
      </w:pPr>
      <w:r>
        <w:rPr>
          <w:rFonts w:ascii="Times New Roman" w:hAnsi="Times New Roman" w:eastAsia="宋体"/>
          <w:b w:val="0"/>
          <w:i w:val="0"/>
          <w:sz w:val="15"/>
        </w:rPr>
        <w:t>[10] PAN S R, LUO L, WANG Y F, et al. Unifying large language models and knowledge graphs: A roadmap[J]. IEEE Transactions on Knowledge and Data Engineering, 2024, 36(7): 3580-3599.</w:t>
      </w:r>
    </w:p>
    <w:p w14:paraId="3DB9E1F6">
      <w:pPr>
        <w:spacing w:before="20" w:after="20" w:line="240" w:lineRule="auto"/>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14:paraId="63758F31">
      <w:pPr>
        <w:spacing w:before="20" w:after="20" w:line="240" w:lineRule="auto"/>
        <w:ind w:left="420" w:hanging="420"/>
      </w:pPr>
      <w:r>
        <w:rPr>
          <w:rFonts w:ascii="Times New Roman" w:hAnsi="Times New Roman" w:eastAsia="宋体"/>
          <w:b w:val="0"/>
          <w:i w:val="0"/>
          <w:sz w:val="15"/>
        </w:rPr>
        <w:t>[12] ZHOU D Y, ZHENG L, HAN J W, et al. A survey of graph neural networks for recommender systems: Challenges, methods, and directions[J]. ACM Transactions on Recommender Systems, 2025, 3(4): 1-53.</w:t>
      </w:r>
    </w:p>
    <w:p w14:paraId="0CA4F912">
      <w:pPr>
        <w:spacing w:before="20" w:after="20" w:line="240" w:lineRule="auto"/>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14:paraId="7EFD87C4">
      <w:pPr>
        <w:spacing w:before="20" w:after="20" w:line="240" w:lineRule="auto"/>
        <w:ind w:left="420" w:hanging="420"/>
      </w:pPr>
      <w:r>
        <w:rPr>
          <w:rFonts w:ascii="Times New Roman" w:hAnsi="Times New Roman" w:eastAsia="宋体"/>
          <w:b w:val="0"/>
          <w:i w:val="0"/>
          <w:sz w:val="15"/>
        </w:rPr>
        <w:t>[14] EDGE D, TRINH H, CHENG N, et al. From local to global: A graph RAG approach to query-focused summarization[J]. arXiv preprint arXiv:2404.16130, 2024.</w:t>
      </w:r>
    </w:p>
    <w:p w14:paraId="53101B74">
      <w:pPr>
        <w:spacing w:before="20" w:after="20" w:line="240" w:lineRule="auto"/>
        <w:ind w:left="420" w:hanging="420"/>
      </w:pPr>
      <w:r>
        <w:rPr>
          <w:rFonts w:ascii="Times New Roman" w:hAnsi="Times New Roman" w:eastAsia="宋体"/>
          <w:b w:val="0"/>
          <w:i w:val="0"/>
          <w:sz w:val="15"/>
        </w:rPr>
        <w:t>[15] GUO Z, XIA L, YU Y, et al. LightRAG: Simple and fast retrieval-augmented generation[J]. arXiv preprint arXiv:2410.05779, 2024.</w:t>
      </w:r>
    </w:p>
    <w:p w14:paraId="746EE69C">
      <w:pPr>
        <w:spacing w:before="20" w:after="20" w:line="240" w:lineRule="auto"/>
        <w:ind w:left="420" w:hanging="420"/>
      </w:pPr>
      <w:r>
        <w:rPr>
          <w:rFonts w:ascii="Times New Roman" w:hAnsi="Times New Roman" w:eastAsia="宋体"/>
          <w:b w:val="0"/>
          <w:i w:val="0"/>
          <w:sz w:val="15"/>
        </w:rPr>
        <w:t>[16] ZHAO X, HUANG W, WANG Z, et al. Hypergraph structure learning for multimodal retrieval-augmented generation[J]. arXiv preprint arXiv:2506.03778, 2025.</w:t>
      </w:r>
    </w:p>
    <w:p w14:paraId="2B5DF8AA">
      <w:pPr>
        <w:spacing w:before="20" w:after="20" w:line="240" w:lineRule="auto"/>
        <w:ind w:left="420" w:hanging="420"/>
      </w:pPr>
      <w:r>
        <w:rPr>
          <w:rFonts w:ascii="Times New Roman" w:hAnsi="Times New Roman" w:eastAsia="宋体"/>
          <w:b w:val="0"/>
          <w:i w:val="0"/>
          <w:sz w:val="15"/>
        </w:rPr>
        <w:t>[17] GAO Y, FENG Y, JI S, et al. HGNN+: General hypergraph neural networks[J]. IEEE Transactions on Pattern Analysis and Machine Intelligence, 2023, 45: 3181-3199.</w:t>
      </w:r>
    </w:p>
    <w:p w14:paraId="75B1176E">
      <w:pPr>
        <w:spacing w:before="20" w:after="20" w:line="240" w:lineRule="auto"/>
        <w:ind w:left="420" w:hanging="420"/>
      </w:pPr>
      <w:r>
        <w:rPr>
          <w:rFonts w:ascii="Times New Roman" w:hAnsi="Times New Roman" w:eastAsia="宋体"/>
          <w:b w:val="0"/>
          <w:i w:val="0"/>
          <w:sz w:val="15"/>
        </w:rPr>
        <w:t>[18] DAGDELEN J, et al. Structured information extraction from scientific text with large language models[J]. Nature Communications, 2024, 15: 1418.</w:t>
      </w:r>
    </w:p>
    <w:p w14:paraId="5B49AE8B">
      <w:pPr>
        <w:spacing w:before="20" w:after="20" w:line="240" w:lineRule="auto"/>
        <w:ind w:left="420" w:hanging="420"/>
      </w:pPr>
      <w:r>
        <w:rPr>
          <w:rFonts w:ascii="Times New Roman" w:hAnsi="Times New Roman" w:eastAsia="宋体"/>
          <w:b w:val="0"/>
          <w:i w:val="0"/>
          <w:sz w:val="15"/>
        </w:rPr>
        <w:t>[19] PRINCE M H, et al. Opportunities for retrieval and tool augmented large language models in scientific facilities[J]. npj Computational Materials, 2024, 10: 251.</w:t>
      </w:r>
    </w:p>
    <w:p w14:paraId="5B4ED488">
      <w:pPr>
        <w:spacing w:before="20" w:after="20" w:line="240" w:lineRule="auto"/>
        <w:ind w:left="420" w:hanging="420"/>
      </w:pPr>
      <w:r>
        <w:rPr>
          <w:rFonts w:ascii="Times New Roman" w:hAnsi="Times New Roman" w:eastAsia="宋体"/>
          <w:b w:val="0"/>
          <w:i w:val="0"/>
          <w:sz w:val="15"/>
        </w:rPr>
        <w:t>[20] HUANG L, et al. A survey on hallucination in large language models: Principles, taxonomy, challenges, and open questions[J]. ACM Transactions on Information Systems, 2025, 43: 1-55.</w:t>
      </w:r>
    </w:p>
    <w:p w14:paraId="02D17080"/>
    <w:p w14:paraId="2FC5F5CC"/>
    <w:sectPr>
      <w:pgSz w:w="11906" w:h="16838"/>
      <w:pgMar w:top="141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F2D"/>
    <w:rsid w:val="00AA1D8D"/>
    <w:rsid w:val="00B47730"/>
    <w:rsid w:val="00CB0664"/>
    <w:rsid w:val="00FC693F"/>
    <w:rsid w:val="02BE3A7E"/>
    <w:rsid w:val="07172F45"/>
    <w:rsid w:val="08940DDD"/>
    <w:rsid w:val="09196711"/>
    <w:rsid w:val="0A7E1D45"/>
    <w:rsid w:val="0C160487"/>
    <w:rsid w:val="0C767178"/>
    <w:rsid w:val="0EEE4BDC"/>
    <w:rsid w:val="0F265058"/>
    <w:rsid w:val="113D64B6"/>
    <w:rsid w:val="114F61E9"/>
    <w:rsid w:val="127F10A5"/>
    <w:rsid w:val="19BD63E6"/>
    <w:rsid w:val="1C370605"/>
    <w:rsid w:val="22995516"/>
    <w:rsid w:val="25602A1C"/>
    <w:rsid w:val="2593624D"/>
    <w:rsid w:val="26A050C5"/>
    <w:rsid w:val="29A94291"/>
    <w:rsid w:val="2AEF15E9"/>
    <w:rsid w:val="2C7B06C4"/>
    <w:rsid w:val="2E701821"/>
    <w:rsid w:val="32313075"/>
    <w:rsid w:val="32C47EE2"/>
    <w:rsid w:val="345832FE"/>
    <w:rsid w:val="35C0308E"/>
    <w:rsid w:val="380E48D5"/>
    <w:rsid w:val="395A55A8"/>
    <w:rsid w:val="3B3179AD"/>
    <w:rsid w:val="3C4D4F50"/>
    <w:rsid w:val="3DE25B6C"/>
    <w:rsid w:val="3F073ADC"/>
    <w:rsid w:val="41EC0D67"/>
    <w:rsid w:val="421A39A5"/>
    <w:rsid w:val="42AD6748"/>
    <w:rsid w:val="452E5F85"/>
    <w:rsid w:val="4682613E"/>
    <w:rsid w:val="47410C27"/>
    <w:rsid w:val="495518E8"/>
    <w:rsid w:val="4A987CDE"/>
    <w:rsid w:val="4B2647D6"/>
    <w:rsid w:val="4C1A4723"/>
    <w:rsid w:val="4CD22170"/>
    <w:rsid w:val="4D783DF7"/>
    <w:rsid w:val="50AA42C7"/>
    <w:rsid w:val="51E67581"/>
    <w:rsid w:val="55A61F25"/>
    <w:rsid w:val="567105B4"/>
    <w:rsid w:val="5AAE2C06"/>
    <w:rsid w:val="5C11729B"/>
    <w:rsid w:val="5C1271C4"/>
    <w:rsid w:val="5E8E6FD6"/>
    <w:rsid w:val="60C34F31"/>
    <w:rsid w:val="62065A1D"/>
    <w:rsid w:val="628E2720"/>
    <w:rsid w:val="633A597E"/>
    <w:rsid w:val="6894168D"/>
    <w:rsid w:val="68B7181F"/>
    <w:rsid w:val="6AA91EAE"/>
    <w:rsid w:val="6C2471CC"/>
    <w:rsid w:val="6CBC11B2"/>
    <w:rsid w:val="6D6B02CD"/>
    <w:rsid w:val="6F5A4CB2"/>
    <w:rsid w:val="73E074D6"/>
    <w:rsid w:val="74D07DFD"/>
    <w:rsid w:val="75970A0E"/>
    <w:rsid w:val="780103C1"/>
    <w:rsid w:val="78472EBC"/>
    <w:rsid w:val="794401B0"/>
    <w:rsid w:val="79A74F98"/>
    <w:rsid w:val="7BC524AD"/>
    <w:rsid w:val="7D252775"/>
    <w:rsid w:val="7EEE3597"/>
    <w:rsid w:val="7F2F1CB8"/>
    <w:rsid w:val="7F8A15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2643</Words>
  <Characters>4265</Characters>
  <Lines>0</Lines>
  <Paragraphs>0</Paragraphs>
  <TotalTime>42</TotalTime>
  <ScaleCrop>false</ScaleCrop>
  <LinksUpToDate>false</LinksUpToDate>
  <CharactersWithSpaces>4519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2026-06-09T03:09:05Z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702A48207FCF4AB5B96935A864C11111_13</vt:lpwstr>
  </property>
</Properties>
</file>