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55796">
      <w:pPr>
        <w:keepNext w:val="0"/>
        <w:spacing w:before="0" w:after="40" w:line="240" w:lineRule="auto"/>
        <w:jc w:val="center"/>
      </w:pPr>
      <w:r>
        <w:rPr>
          <w:rFonts w:hint="eastAsia"/>
          <w:b w:val="0"/>
          <w:i w:val="0"/>
          <w:sz w:val="21"/>
          <w:lang w:val="en-US" w:eastAsia="zh-CN"/>
        </w:rPr>
        <w:t xml:space="preserve">   </w:t>
      </w:r>
      <w:r>
        <w:rPr>
          <w:rFonts w:ascii="Times New Roman" w:hAnsi="Times New Roman" w:eastAsia="宋体"/>
          <w:b w:val="0"/>
          <w:i w:val="0"/>
          <w:sz w:val="21"/>
        </w:rPr>
        <w:t>研究开发</w:t>
      </w:r>
    </w:p>
    <w:p w14:paraId="3A1FE73A">
      <w:pPr>
        <w:keepNext w:val="0"/>
        <w:spacing w:before="0" w:after="120" w:line="240" w:lineRule="auto"/>
        <w:jc w:val="center"/>
      </w:pPr>
      <w:r>
        <w:rPr>
          <w:rFonts w:ascii="Times New Roman" w:hAnsi="Times New Roman" w:eastAsia="宋体"/>
          <w:b w:val="0"/>
          <w:i w:val="0"/>
          <w:sz w:val="21"/>
        </w:rPr>
        <w:t>DOI：</w:t>
      </w:r>
    </w:p>
    <w:p w14:paraId="1BCBE7B0">
      <w:pPr>
        <w:keepNext w:val="0"/>
        <w:spacing w:before="120" w:after="160" w:line="240" w:lineRule="auto"/>
        <w:jc w:val="center"/>
      </w:pPr>
      <w:r>
        <w:rPr>
          <w:rFonts w:ascii="Times New Roman" w:hAnsi="Times New Roman" w:eastAsia="黑体"/>
          <w:b w:val="0"/>
          <w:i w:val="0"/>
          <w:sz w:val="36"/>
        </w:rPr>
        <w:t>化工知识高阶关系表达的超图建模与检索方法</w:t>
      </w:r>
    </w:p>
    <w:p w14:paraId="4930722E">
      <w:pPr>
        <w:pStyle w:val="19"/>
        <w:jc w:val="center"/>
      </w:pPr>
      <w:r>
        <w:rPr>
          <w:b/>
          <w:bCs/>
        </w:rPr>
        <w:t>作者姓名1，作者姓名2，作者姓名3</w:t>
      </w:r>
    </w:p>
    <w:p w14:paraId="5AB9C61E">
      <w:pPr>
        <w:pStyle w:val="19"/>
        <w:jc w:val="center"/>
      </w:pPr>
      <w:r>
        <w:t>（1单位名称，省 市 邮编；2单位名称，省 市 邮编）</w:t>
      </w:r>
    </w:p>
    <w:p w14:paraId="171813C3">
      <w:pPr>
        <w:spacing w:before="120" w:after="60" w:line="240" w:lineRule="auto"/>
        <w:ind w:firstLine="420"/>
        <w:jc w:val="both"/>
      </w:pPr>
      <w:r>
        <w:rPr>
          <w:rFonts w:ascii="Times New Roman" w:hAnsi="Times New Roman" w:eastAsia="宋体"/>
          <w:sz w:val="21"/>
        </w:rPr>
        <w:t>摘要：化工实验知识通常涉及多个变量在特定条件下的协同作用，传统向量检索和二元知识图谱难以充分表达这类高阶耦合关系。本文通过对液流电池和PFAS降解两个典型化工领域的文献分析发现，化工实验知识中的条件、材料、指标和机理等变量常以多实体耦合形式出现，天然适合用超图结构进行建模。为验证这一判断，构建了面向化工文献的领域适配超图增强检索框架（Hyper-ChE），将实验知识组织为"实验事实单元"，利用超边保持多变量之间的关联信息。以液流电池和PFAS降解两个领域为案例，分别设计了领域本体，并实现了基于大语言模型的结构化抽取与超图自动构建，进而设计了向量数据库与超图数据库协同的双路径检索机制。测试结果表明，Hyper-ChE在复杂条件查询中的召回更丰富，高阶超边有助于维持多个实验变量之间的共同上下文，从而改善了检索完整性和回答可解释性。</w:t>
      </w:r>
    </w:p>
    <w:p w14:paraId="56A72C91">
      <w:pPr>
        <w:spacing w:before="60" w:after="60" w:line="240" w:lineRule="auto"/>
        <w:ind w:firstLine="420"/>
        <w:jc w:val="both"/>
      </w:pPr>
      <w:r>
        <w:rPr>
          <w:rFonts w:ascii="Times New Roman" w:hAnsi="Times New Roman" w:eastAsia="黑体"/>
          <w:b/>
          <w:i w:val="0"/>
          <w:sz w:val="21"/>
        </w:rPr>
        <w:t>关键词：</w:t>
      </w:r>
      <w:r>
        <w:rPr>
          <w:rFonts w:ascii="Times New Roman" w:hAnsi="Times New Roman" w:eastAsia="宋体"/>
          <w:b w:val="0"/>
          <w:i w:val="0"/>
          <w:sz w:val="21"/>
        </w:rPr>
        <w:t>超图知识建模；检索增强生成；知识图谱；液流电池；PFAS降解；领域适配</w:t>
      </w:r>
    </w:p>
    <w:p w14:paraId="2920026B">
      <w:pPr>
        <w:keepNext w:val="0"/>
        <w:spacing w:before="60" w:after="160" w:line="240" w:lineRule="auto"/>
        <w:ind w:firstLine="420"/>
        <w:jc w:val="left"/>
      </w:pPr>
      <w:r>
        <w:rPr>
          <w:rFonts w:ascii="Times New Roman" w:hAnsi="Times New Roman" w:eastAsia="宋体"/>
          <w:b w:val="0"/>
          <w:i w:val="0"/>
          <w:sz w:val="15"/>
        </w:rPr>
        <w:t>中图分类号：TQ  文献标志码：A  文章编号：</w:t>
      </w:r>
    </w:p>
    <w:p w14:paraId="7CC4B06C">
      <w:pPr>
        <w:keepNext w:val="0"/>
        <w:spacing w:before="240" w:after="120" w:line="240" w:lineRule="auto"/>
        <w:jc w:val="center"/>
      </w:pPr>
      <w:r>
        <w:rPr>
          <w:rFonts w:ascii="Times New Roman" w:hAnsi="Times New Roman" w:eastAsia="Times New Roman"/>
          <w:b/>
          <w:i w:val="0"/>
          <w:sz w:val="28"/>
        </w:rPr>
        <w:t>Hypergraph Knowledge Modeling and Enhanced Retrieval for Higher-Order Relational Expression in Chemical Engineering Knowledge</w:t>
      </w:r>
    </w:p>
    <w:p w14:paraId="6EBEF151">
      <w:pPr>
        <w:pStyle w:val="19"/>
        <w:jc w:val="center"/>
      </w:pPr>
      <w:r>
        <w:rPr>
          <w:b/>
          <w:bCs/>
        </w:rPr>
        <w:t>Author Name1, Author Name2, Author Name3</w:t>
      </w:r>
    </w:p>
    <w:p w14:paraId="5BD668D4">
      <w:pPr>
        <w:pStyle w:val="19"/>
        <w:jc w:val="center"/>
      </w:pPr>
      <w:r>
        <w:t>(1 Organization, City Postcode, Province; 2 Organization, City Postcode, Province)</w:t>
      </w:r>
    </w:p>
    <w:p w14:paraId="51F3D8FD">
      <w:pPr>
        <w:spacing w:before="120" w:after="60" w:line="240" w:lineRule="auto"/>
        <w:ind w:firstLine="420"/>
        <w:jc w:val="both"/>
      </w:pPr>
      <w:r>
        <w:rPr>
          <w:rFonts w:ascii="Times New Roman" w:hAnsi="Times New Roman" w:eastAsia="宋体"/>
          <w:sz w:val="21"/>
        </w:rPr>
        <w:t>Abstract: Experimental knowledge in chemical engineering typically involves the coordinated action of multiple variables under specific conditions, which is difficult to fully express through conventional vector retrieval or binary knowledge graphs. Through analysis of literature in two representative chemical engineering domains—flow batteries and PFAS degradation—this study finds that variables such as conditions, materials, metrics, and mechanisms frequently appear in multi-entity coupled forms, making hypergraph structure a natural fit for modeling. To validate this observation, a domain-adaptive hypergraph-enhanced retrieval framework (Hyper-ChE) was developed, organizing experimental knowledge into "experimental fact units" and using hyperedges to preserve associations among multiple variables. Taking flow battery and PFAS degradation as two case studies, domain ontologies were designed respectively, and structured extraction combined with automated hypergraph construction based on large language models was implemented. A dual-path retrieval mechanism leveraging vector and hypergraph database collaboration was also developed. Test results indicate that Hyper-ChE achieves richer recall for complex conditional queries, and high-order hyperedges help maintain shared context among multiple experimental variables, thereby improving retrieval completeness and response interpretability.</w:t>
      </w:r>
    </w:p>
    <w:p w14:paraId="348030A0">
      <w:pPr>
        <w:spacing w:before="60" w:after="60" w:line="240" w:lineRule="auto"/>
        <w:ind w:firstLine="420"/>
        <w:jc w:val="both"/>
      </w:pPr>
      <w:r>
        <w:rPr>
          <w:rFonts w:ascii="Times New Roman" w:hAnsi="Times New Roman" w:eastAsia="Times New Roman"/>
          <w:b/>
          <w:i w:val="0"/>
          <w:sz w:val="21"/>
        </w:rPr>
        <w:t xml:space="preserve">Keywords: </w:t>
      </w:r>
      <w:r>
        <w:rPr>
          <w:rFonts w:ascii="Times New Roman" w:hAnsi="Times New Roman" w:eastAsia="Times New Roman"/>
          <w:b w:val="0"/>
          <w:i w:val="0"/>
          <w:sz w:val="21"/>
        </w:rPr>
        <w:t>hypergraph knowledge modeling; retrieval-augmented generation; knowledge graph; flow battery; PFAS degradation; domain adaptation</w:t>
      </w:r>
    </w:p>
    <w:p w14:paraId="7D9CA35E">
      <w:pPr>
        <w:keepNext w:val="0"/>
        <w:spacing w:before="0" w:after="60" w:line="240" w:lineRule="auto"/>
        <w:ind w:firstLine="420"/>
        <w:jc w:val="both"/>
      </w:pPr>
      <w:r>
        <w:rPr>
          <w:rFonts w:ascii="Times New Roman" w:hAnsi="Times New Roman" w:eastAsia="宋体"/>
          <w:sz w:val="21"/>
        </w:rPr>
        <w:t>化工领域学术文献的产出速度持续加快，液流电池、PFAS降解、电催化、反应工程等子方向均积累了规模可观的实验数据与工艺经验。不同反应体系、材料体系和操作体系之间的知识壁垒仍然显著，研究人员在解决具体问题时往往难以高效调用跨领域的已有结论。将分散于非结构化文献中的实验发现转化为可计算、可检索的结构化知识，已成为化工知识工程需要优先应对的基础问题。</w:t>
      </w:r>
    </w:p>
    <w:p>
      <w:pPr>
        <w:ind w:firstLine="420"/>
      </w:pPr>
      <w:r>
        <w:rPr>
          <w:rFonts w:ascii="Times New Roman" w:hAnsi="Times New Roman" w:eastAsia="宋体"/>
          <w:sz w:val="21"/>
        </w:rPr>
        <w:t>这一转化之所以困难，根源在于化工实验知识本身具有鲜明的多变量耦合特征。从"三传一反"的经典框架来看，动量传递、热量传递、质量传递与反应过程共同塑造了体系的整体行为；在分子与材料层面，组成、结构、官能团、缺陷、晶相、活性位点及电子结构等因素相互交织；在操作条件层面，温度、压力、pH、浓度、流速、电流密度、停留时间等参数同步施加影响；而在性能与机理层面，转化率、选择性、效率、寿命、降解率及衰减机制又需通过多种表征手段加以验证。由此形成的实验结论并非由单一实体或单一条件独立决定，而是材料结构、传递过程、反应路径、操作参数和评价指标共同约束下的产物。这类知识本质上更接近"多变量共同成立的实验事实单元"，而非若干可任意拆分的二元关系——液流电池中电解质组成与电极材料的协同优化、PFAS降解中催化剂结构与反应条件的匹配调控，均可视为这一结构的典型实例。</w:t>
      </w:r>
    </w:p>
    <w:p>
      <w:pPr>
        <w:ind w:firstLine="420"/>
      </w:pPr>
      <w:r>
        <w:rPr>
          <w:rFonts w:ascii="Times New Roman" w:hAnsi="Times New Roman" w:eastAsia="宋体"/>
          <w:sz w:val="21"/>
        </w:rPr>
        <w:t>传统的信息检索方法主要依赖关键词匹配或向量相似度计算，能够定位语义相近的文本片段，却无法确保同一实验事实所涉及的多变量组合被完整召回。当查询需要保持条件组合的内在一致性时，传统检索返回的内容往往呈现碎片化特征，难以还原完整的实验上下文。</w:t>
      </w:r>
    </w:p>
    <w:p>
      <w:pPr>
        <w:ind w:firstLine="420"/>
      </w:pPr>
      <w:r>
        <w:rPr>
          <w:rFonts w:ascii="Times New Roman" w:hAnsi="Times New Roman" w:eastAsia="宋体"/>
          <w:sz w:val="21"/>
        </w:rPr>
        <w:t>知识图谱通过实体-关系-实体的二元边对知识进行编码，在处理多变量耦合的实验事实时，不得不将高阶关系拆解为多条独立的二元边。经过这样的拆分，"多个条件共同作用于某一结果"的核心语义被分散到不同的边和节点之中，实验上下文的完整性随之损失。</w:t>
      </w:r>
    </w:p>
    <w:p>
      <w:pPr>
        <w:ind w:firstLine="420"/>
      </w:pPr>
      <w:r>
        <w:rPr>
          <w:rFonts w:ascii="Times New Roman" w:hAnsi="Times New Roman" w:eastAsia="宋体"/>
          <w:sz w:val="21"/>
        </w:rPr>
        <w:t>超图结构允许一条超边连接任意数量的顶点，为高阶关系提供了天然的数学表达。Feng等[11]提出的Hyper-RAG框架以超图替代二元图进行知识建模与检索，展现出处理复杂关联结构的潜力。在此基础上，面向化工文献的领域适配方法被进一步发展，形成Hyper-ChE方法体系，并通过液流电池与PFAS降解两个案例验证了超图对化工知识表达与检索的有效性。</w:t>
      </w:r>
    </w:p>
    <w:p w14:paraId="41DCEB7C">
      <w:pPr>
        <w:keepNext/>
        <w:spacing w:before="240" w:after="120" w:line="240" w:lineRule="auto"/>
        <w:jc w:val="left"/>
      </w:pPr>
      <w:r>
        <w:rPr>
          <w:rFonts w:ascii="Times New Roman" w:hAnsi="Times New Roman" w:eastAsia="黑体"/>
          <w:b/>
          <w:sz w:val="28"/>
        </w:rPr>
        <w:t>1  超图知识建模原理与领域适配方法</w:t>
      </w:r>
    </w:p>
    <w:p w14:paraId="54617A14">
      <w:pPr>
        <w:keepNext/>
        <w:spacing w:before="120" w:after="60" w:line="240" w:lineRule="auto"/>
        <w:jc w:val="left"/>
      </w:pPr>
      <w:r>
        <w:rPr>
          <w:rFonts w:ascii="Times New Roman" w:hAnsi="Times New Roman" w:eastAsia="黑体"/>
          <w:b/>
          <w:sz w:val="21"/>
        </w:rPr>
        <w:t>1.1  化工知识的多尺度耦合与高阶关系特征</w:t>
      </w:r>
    </w:p>
    <w:p w14:paraId="41A5962B">
      <w:pPr>
        <w:keepNext w:val="0"/>
        <w:spacing w:before="0" w:after="60" w:line="240" w:lineRule="auto"/>
        <w:ind w:firstLine="420"/>
        <w:jc w:val="both"/>
      </w:pPr>
      <w:r>
        <w:rPr>
          <w:rFonts w:ascii="Times New Roman" w:hAnsi="Times New Roman" w:eastAsia="宋体"/>
          <w:sz w:val="21"/>
        </w:rPr>
        <w:t>化工领域的实验知识呈现典型的多层级结构。在分子与材料尺度，组成、晶体结构、官能团、缺陷态、活性位点及电子结构等内在属性决定了材料的本征行为；在三传一反尺度，动量传递、热量传递、质量传递与化学反应过程相互耦合，反应器内的流场分布直接影响传质效率，温度梯度改变反应路径，宏观操作参数进一步调控产物分布；在操作条件尺度，温度、压力、pH、浓度、流速、电流密度、停留时间等外部约束共同框定了实验的边界条件。这些变量并非孤立存在——某催化材料在特定反应条件下的性能表现，同时依赖于活性位点的局部结构、反应物到达活性位点的传质速率、体系温度与压力等多个因素的协同。单独讨论一种材料或一组条件而不指明其组合语境，往往无法构成有效的知识单元。</w:t>
      </w:r>
    </w:p>
    <w:p w14:paraId="325B4ED1">
      <w:pPr>
        <w:spacing w:after="60" w:line="240" w:lineRule="auto"/>
        <w:ind w:firstLine="420"/>
        <w:jc w:val="left"/>
        <w:rPr>
          <w:rFonts w:ascii="Times New Roman" w:hAnsi="Times New Roman" w:eastAsia="宋体"/>
          <w:b w:val="0"/>
          <w:i w:val="0"/>
          <w:sz w:val="21"/>
        </w:rPr>
      </w:pPr>
      <w:r>
        <w:rPr>
          <w:rFonts w:ascii="Times New Roman" w:hAnsi="Times New Roman" w:eastAsia="宋体"/>
          <w:sz w:val="21"/>
        </w:rPr>
        <w:t>由此产生的实验结论天然带有高阶关联特征。它并非"材料A导致结果B"式的简单二元因果，而是更接近"体系S中，材料M在条件C下经由机理R产生性能P"的多变量联合断言，涉及五个及以上相互约束的要素。这种知识本质上是一个"多变量共同成立的实验事实单元"。传统的二元知识图谱必须将此类事实拆解为多条独立的二元边——如体系与材料、材料与条件、条件与性能之间的分离关系——而这恰恰丢失了"这些变量属于同一实验、同一事实"的关键语义。超图通过超边连接任意数量的顶点，恰好为表达此类高阶耦合关系提供了自然的数据结构。液流电池中的"体系—活性物种—膜/电极—操作条件—性能指标"、PFAS降解中的"目标污染物—催化材料—反应条件—脱氟率—机理证据"等，均可视为该通用结构在具体场景下的实例化。</w:t>
      </w:r>
    </w:p>
    <w:p w14:paraId="72032569">
      <w:pPr>
        <w:keepNext w:val="0"/>
        <w:spacing w:before="0" w:after="60" w:line="240" w:lineRule="auto"/>
        <w:ind w:firstLine="420"/>
        <w:jc w:val="both"/>
      </w:pPr>
    </w:p>
    <w:p w14:paraId="3B89D0B2">
      <w:pPr>
        <w:keepNext/>
        <w:spacing w:before="120" w:after="60" w:line="240" w:lineRule="auto"/>
        <w:jc w:val="left"/>
      </w:pPr>
      <w:r>
        <w:rPr>
          <w:rFonts w:ascii="Times New Roman" w:hAnsi="Times New Roman" w:eastAsia="黑体"/>
          <w:b/>
          <w:sz w:val="21"/>
        </w:rPr>
        <w:t>1.2  超图及其对高阶关系的表达能力</w:t>
      </w:r>
    </w:p>
    <w:p w14:paraId="4E8F309C">
      <w:pPr>
        <w:keepNext w:val="0"/>
        <w:spacing w:before="0" w:after="60" w:line="240" w:lineRule="auto"/>
        <w:ind w:firstLine="420"/>
        <w:jc w:val="both"/>
      </w:pPr>
      <w:r>
        <w:rPr>
          <w:rFonts w:ascii="Times New Roman" w:hAnsi="Times New Roman" w:eastAsia="宋体"/>
          <w:sz w:val="21"/>
        </w:rPr>
        <w:t>超图（Hypergraph）是普通图结构的一般化推广。在图中，一条边只能连接两个顶点，表达的是二元关系；超图打破了这一限制，一条超边（hyperedge）可以连接任意数量的顶点。形式化地，超图记作 $H = (V, E)$，其中 $V$ 为顶点集，$E$ 为超边集，每条超边 $e \in E$ 是 $V$ 的一个非空子集。当 $|e| = 2$ 时，超边退化为普通边；当 $|e| \geq 3$ 时，超边表达的就是高阶关系。超边包含的顶点数称为该超边的阶（order），也叫基数（cardinality）。</w:t>
      </w:r>
    </w:p>
    <w:p w14:paraId="76B72301">
      <w:pPr>
        <w:keepNext w:val="0"/>
        <w:spacing w:before="0" w:after="60" w:line="240" w:lineRule="auto"/>
        <w:ind w:firstLine="420"/>
        <w:jc w:val="both"/>
      </w:pPr>
      <w:r>
        <w:rPr>
          <w:rFonts w:ascii="Times New Roman" w:hAnsi="Times New Roman" w:eastAsia="宋体"/>
          <w:sz w:val="21"/>
        </w:rPr>
        <w:t>真实知识中的关系远不限于二元配对。Feng等[11]指出，领域知识中同时存在 pair-wise（低阶）和 beyond-pairwise（高阶）两种关联模式。传统图只能保留前者，高阶关系在图构建过程中必然被拆分和稀释。以一个实验事实为例：活性物质A在电极B表面于条件C下测得效率D。若用普通图建模，这条四元信息被迫拆解为 A-B、B-C、C-D 等二元边，原本"A-B-C-D属于同一实验"的整体语义随之散失。超图通过一条4阶超边将 A、B、C、D 同时纳入，无需拆分即可完整保留该实验事实的全部上下文——这是超图区别于普通图的核心能力所在。</w:t>
      </w:r>
    </w:p>
    <w:p w14:paraId="2C685449">
      <w:pPr>
        <w:keepNext w:val="0"/>
        <w:spacing w:before="0" w:after="60" w:line="240" w:lineRule="auto"/>
        <w:ind w:firstLine="420"/>
        <w:jc w:val="both"/>
      </w:pPr>
      <w:r>
        <w:rPr>
          <w:rFonts w:ascii="Times New Roman" w:hAnsi="Times New Roman" w:eastAsia="宋体"/>
          <w:sz w:val="21"/>
        </w:rPr>
        <w:t>在检索增强生成（RAG）中，超图可以作为知识库的结构化表示。检索时，查询不仅沿普通边扩散，还可沿超边扩散——命中超边内任意一个实体，即可召回该超边中的全部关联实体。这种一阶扩散机制能够恢复完整的实验上下文，而非碎片化的二元事实片段。Feng等[11]在其 Hyper-RAG 框架中利用了这一特性，在医疗等领域的检索任务中取得了优于 Graph-RAG 的效果。</w:t>
      </w:r>
    </w:p>
    <w:p w14:paraId="732E5F1D">
      <w:pPr>
        <w:keepNext w:val="0"/>
        <w:spacing w:before="0" w:after="60" w:line="240" w:lineRule="auto"/>
        <w:ind w:firstLine="420"/>
        <w:jc w:val="both"/>
        <w:rPr>
          <w:rFonts w:ascii="Times New Roman" w:hAnsi="Times New Roman" w:eastAsia="宋体"/>
          <w:b w:val="0"/>
          <w:i w:val="0"/>
          <w:sz w:val="21"/>
        </w:rPr>
      </w:pPr>
    </w:p>
    <w:p w14:paraId="359F2C9F">
      <w:pPr>
        <w:keepNext w:val="0"/>
        <w:spacing w:before="0" w:after="60" w:line="240" w:lineRule="auto"/>
        <w:jc w:val="both"/>
        <w:rPr>
          <w:rFonts w:ascii="Times New Roman" w:hAnsi="Times New Roman" w:eastAsia="宋体"/>
          <w:b w:val="0"/>
          <w:i w:val="0"/>
          <w:sz w:val="21"/>
        </w:rPr>
      </w:pPr>
    </w:p>
    <w:p w14:paraId="45F7CC2C">
      <w:pPr>
        <w:keepNext w:val="0"/>
        <w:spacing w:before="0" w:after="60" w:line="240" w:lineRule="auto"/>
        <w:jc w:val="center"/>
        <w:rPr>
          <w:rFonts w:hint="eastAsia" w:ascii="Times New Roman" w:hAnsi="Times New Roman" w:eastAsia="宋体"/>
          <w:b w:val="0"/>
          <w:i w:val="0"/>
          <w:sz w:val="21"/>
          <w:lang w:eastAsia="zh-CN"/>
        </w:rPr>
      </w:pPr>
    </w:p>
    <w:p>
      <w:pPr>
        <w:jc w:val="center"/>
      </w:pPr>
      <w:r>
        <w:drawing>
          <wp:inline xmlns:a="http://schemas.openxmlformats.org/drawingml/2006/main" xmlns:pic="http://schemas.openxmlformats.org/drawingml/2006/picture">
            <wp:extent cx="5303520" cy="3805546"/>
            <wp:docPr id="1" name="Picture 1"/>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5303520" cy="3805546"/>
                    </a:xfrm>
                    <a:prstGeom prst="rect"/>
                  </pic:spPr>
                </pic:pic>
              </a:graphicData>
            </a:graphic>
          </wp:inline>
        </w:drawing>
      </w:r>
    </w:p>
    <w:p>
      <w:pPr>
        <w:jc w:val="center"/>
      </w:pPr>
      <w:r/>
    </w:p>
    <w:p w14:paraId="313555A0">
      <w:pPr>
        <w:keepNext w:val="0"/>
        <w:spacing w:before="120" w:after="120" w:line="240" w:lineRule="auto"/>
        <w:jc w:val="center"/>
      </w:pPr>
      <w:r>
        <w:rPr>
          <w:rFonts w:ascii="Times New Roman" w:hAnsi="Times New Roman" w:eastAsia="宋体"/>
          <w:sz w:val="18"/>
        </w:rPr>
        <w:t>图1  Hyper-ChE领域适配超图增强检索框架：（左）四步流程（文献解析→结构化抽取→超图构建→双路径检索）；（右上）RAG/Graph-RAG/Hyper-ChE方法对比；（右下）Hyper-ChE三大优势</w:t>
      </w:r>
    </w:p>
    <w:p>
      <w:pPr>
        <w:spacing w:before="120" w:after="60"/>
      </w:pPr>
      <w:r>
        <w:rPr>
          <w:rFonts w:ascii="Times New Roman" w:hAnsi="Times New Roman" w:eastAsia="黑体"/>
          <w:b/>
          <w:sz w:val="21"/>
        </w:rPr>
        <w:t>1.4  领域适配抽取与增强检索框架</w:t>
      </w:r>
    </w:p>
    <w:p>
      <w:pPr>
        <w:ind w:firstLine="420"/>
      </w:pPr>
      <w:r>
        <w:rPr>
          <w:rFonts w:ascii="Times New Roman" w:hAnsi="Times New Roman" w:eastAsia="宋体"/>
          <w:sz w:val="21"/>
        </w:rPr>
        <w:t>在本文语境下，超图建模并不只是将实体放入一种新的图结构中，而是将化工文献中的实验事实重新组织为"顶点-超边-属性-来源"的结构化知识单元。具体而言，顶点用于表示化学物质、材料、结构特征、操作条件、传递过程、反应路径、性能指标和表征证据等知识要素；超边用于表示这些要素在同一实验事实中的共同出现关系；属性字段用于记录数值、单位、描述、关系类型和来源文本；来源信息则用于追踪该知识单元对应的原始文献片段。通过这种建模方式，化工文献中的自由文本被转化为可计算、可扩散、可追溯的领域超图知识库。</w:t>
      </w:r>
    </w:p>
    <w:p>
      <w:pPr>
        <w:spacing w:before="120" w:after="60"/>
      </w:pPr>
      <w:r>
        <w:rPr>
          <w:rFonts w:ascii="Times New Roman" w:hAnsi="Times New Roman" w:eastAsia="黑体"/>
          <w:b/>
          <w:sz w:val="21"/>
        </w:rPr>
        <w:t>1.3  面向化工文献的实验事实单元建模</w:t>
      </w:r>
    </w:p>
    <w:p>
      <w:pPr>
        <w:ind w:firstLine="420"/>
      </w:pPr>
      <w:r>
        <w:rPr>
          <w:rFonts w:ascii="Times New Roman" w:hAnsi="Times New Roman" w:eastAsia="宋体"/>
          <w:sz w:val="21"/>
        </w:rPr>
        <w:t>基于1.1节的分析，化工实验知识的核心组织单元并非孤立实体或二元关系，而是将同一实验中共同成立的多要素组合封装为一个整体。为此，将实验事实单元（Experimental Fact Unit, EFU）定义为超图中的一条超边，其内部包含参与该实验的全部相关实体。一个EFU的组成变量通常涵盖体系或材料、操作条件、性能指标以及机理证据四类，形式化表示为 EFU = {$v_1$, $v_2$, ..., $v_n$}，其中每个 $v_i$ 是一个具有特定类型和属性的实体节点。EFU的核心语义在于保留"这些变量在同一实验中共同成立"的完整性——例如，一条操作超边可同时连接某电池体系、某膜材料、某电极、某电流密度与某效率值，完整表达一个"体系—材料—条件—指标"的组合事实，而非割裂的片段。</w:t>
      </w:r>
    </w:p>
    <w:p>
      <w:pPr>
        <w:ind w:firstLine="420"/>
      </w:pPr>
      <w:r>
        <w:rPr>
          <w:rFonts w:ascii="Times New Roman" w:hAnsi="Times New Roman" w:eastAsia="宋体"/>
          <w:sz w:val="21"/>
        </w:rPr>
        <w:t>若将上述EFU用普通图建模，则需将其拆分为多条二元边（如体系—膜、膜—电极、电极—电流密度、电流密度—效率）。这种拆分导致三重问题：同一实验的关联信息被分散到图谱的不同位置；"多个条件共同作用于某一结果"的语义在二元拆分中丢失；检索时可能仅召回部分二元关系，无法恢复完整的实验上下文。超图的EFU建模恰好规避了这些缺陷——一条超边保留完整的实验事实，检索时沿超边的一阶扩散即可同时获取所有关联变量。这种建模方式使大语言模型在生成回答时能够一次性获得材料、条件、指标与机理之间的完整上下文，从而支撑更具依据的推理。</w:t>
      </w:r>
    </w:p>
    <w:p w14:paraId="6A044C15">
      <w:pPr>
        <w:keepNext/>
        <w:spacing w:before="120" w:after="60" w:line="240" w:lineRule="auto"/>
        <w:jc w:val="left"/>
      </w:pPr>
      <w:r>
        <w:rPr>
          <w:rFonts w:ascii="Times New Roman" w:hAnsi="Times New Roman" w:eastAsia="黑体"/>
          <w:b/>
          <w:sz w:val="21"/>
        </w:rPr>
        <w:t>1.4  领域适配抽取与增强检索框架（续）</w:t>
      </w:r>
    </w:p>
    <w:p>
      <w:pPr>
        <w:ind w:firstLine="420"/>
      </w:pPr>
      <w:r>
        <w:rPr>
          <w:rFonts w:ascii="Times New Roman" w:hAnsi="Times New Roman" w:eastAsia="宋体"/>
          <w:sz w:val="21"/>
        </w:rPr>
        <w:t>Feng等[11]提出Hyper-RAG框架，以超图结构替代传统的二元图进行知识检索与问答，在医疗领域验证了高阶关系对检索质量的显著提升。该框架的通用流程涵盖文献分块、实体与关系抽取、超图构建、向量索引和检索问答五个环节。本文在这一通用框架基础上，面向化工文献中"多变量共同约束实验事实"的频繁表达需求进行了领域适配：设计了覆盖化工实验场景的实体类型体系（如ACTIVE_SPECIES, CONDITION, METRIC等）、关系与超边类型体系（如OPERATION, COMPOSITION等），并配套了基于大语言模型的结构化抽取策略与输出规范。适配后的框架命名为Hyper-ChE（Hypergraph-enhanced Retrieval for Chemical Engineering），即在通用Hyper-RAG框架[11]基础上面向化工领域适配形成。</w:t>
      </w:r>
    </w:p>
    <w:p>
      <w:pPr>
        <w:ind w:firstLine="420"/>
      </w:pPr>
      <w:r>
        <w:rPr>
          <w:rFonts w:ascii="Times New Roman" w:hAnsi="Times New Roman" w:eastAsia="宋体"/>
          <w:sz w:val="21"/>
        </w:rPr>
        <w:t>Hyper-ChE框架包含四个核心步骤。第一步是文献解析与文本分块，将PDF或Markdown格式的文献切分为适合大语言模型处理的文本片段。第二步是结构化信息抽取，针对不同化工子领域预定义实体类型和关系/超边类型，通过大语言模型输出固定格式的结构化结果，包括实体列表、低阶关系列表和高阶超边列表；每个文本块通常需两次模型调用，先抽取实体，再基于已抽取的实体和原文抽取关系与超边。第三步是超图构建与索引，将抽取的实体写入顶点集合，二元关系与三元及以上关系统一写入超边集合，同时对实体、关系和原文片段分别建立向量索引，构建支持超图结构查询的数据库。第四步是双路径检索与回答生成，用户查询先经领域化提示词抽取关键词，随后并行执行两条检索路径：（a）实体路径，召回相关顶点并沿其邻接超边扩展；（b）关系路径，召回相关超边并反向展开其包含的实体；两条路径的结果融合后输入大语言模型生成回答。</w:t>
      </w:r>
    </w:p>
    <w:p>
      <w:pPr>
        <w:ind w:firstLine="420"/>
      </w:pPr>
      <w:r>
        <w:rPr>
          <w:rFonts w:ascii="Times New Roman" w:hAnsi="Times New Roman" w:eastAsia="宋体"/>
          <w:sz w:val="21"/>
        </w:rPr>
        <w:t>与现有方法相比，Hyper-ChE在多个维度展现出差异化特点。传统RAG仅依赖文本块相似度检索，丢失了实体间的结构化关联，导致复杂实验事实的上下文不完整。Graph-RAG虽引入二元图结构，但将高阶关系拆散为多条二元边，难以保持"多变量共同约束"这类实验上下文的完整性。Hyper-RAG[11]已证明超图结构在医疗领域的有效性，Hyper-ChE在此基础上进一步增加了化工领域的本体设计和结构化约束，使抽取结果具备领域语义可解释性。具体而言，Hyper-ChE的优势体现在三个方面：通过EFU超边保持实验事实的完整上下文，避免高阶关系被碎片化；双路径检索机制同时覆盖实体和关系两个维度，提升检索召回率与精度；领域适配的模块化设计使框架可迁移至不同化工子领域——如液流电池、PFAS降解等——仅需替换预定义的实体与关系类型体系即可快速部署。</w:t>
      </w:r>
    </w:p>
    <w:p w14:paraId="15BD97EB">
      <w:pPr>
        <w:keepNext w:val="0"/>
        <w:spacing w:before="0" w:after="60" w:line="240" w:lineRule="auto"/>
        <w:ind w:firstLine="420"/>
        <w:jc w:val="both"/>
      </w:pPr>
      <w:r>
        <w:rPr>
          <w:rFonts w:ascii="Times New Roman" w:hAnsi="Times New Roman" w:eastAsia="宋体"/>
          <w:b w:val="0"/>
          <w:i w:val="0"/>
          <w:sz w:val="21"/>
        </w:rPr>
        <w:t>结构化抽取是领域适配超图构建的关键步骤，其目标是将自然语言文献中的化工知识转化为可计算的实体节点和关系/超边。与通用信息抽取不同，化工文献抽取需要同时关注实验对象、材料组成、操作条件、性能指标和机理证据等多类信息，并保持它们在同一实验情境中的组合关系。因此，本文围绕液流电池领域设计了实体类型体系、关系/超边类型体系和结构化输出格式。</w:t>
      </w:r>
    </w:p>
    <w:p w14:paraId="3430EA96">
      <w:pPr>
        <w:keepNext w:val="0"/>
        <w:spacing w:before="0" w:after="60" w:line="240" w:lineRule="auto"/>
        <w:ind w:firstLine="420"/>
        <w:jc w:val="both"/>
      </w:pPr>
      <w:r>
        <w:rPr>
          <w:rFonts w:ascii="Times New Roman" w:hAnsi="Times New Roman" w:eastAsia="宋体"/>
          <w:b w:val="0"/>
          <w:i w:val="0"/>
          <w:sz w:val="21"/>
        </w:rPr>
        <w:t>在实体类型设计上，本文选取能够覆盖液流电池实验知识主要要素的7类实体，如表1所示。这些实体类型并非按照通用命名实体识别中的"人名、机构、地点"等类别划分，而是根据化工实验事实的组成方式进行定义。例如，ACTIVE_SPECIES（活性物质）用于表示电解液中的氧化还原活性物质，CONDITION（操作条件）用于表示电流密度、温度、流速等实验工况，METRIC（性能指标）用于表示能量效率、容量保持率、功率密度等评价指标。通过这种领域化实体类型设计，可以使抽取结果更贴近化工研究者实际关注的知识单元。</w:t>
      </w:r>
    </w:p>
    <w:p w14:paraId="261AF4B6">
      <w:pPr>
        <w:keepNext w:val="0"/>
        <w:spacing w:before="120" w:after="60" w:line="240" w:lineRule="auto"/>
        <w:jc w:val="center"/>
      </w:pPr>
      <w:r>
        <w:rPr>
          <w:rFonts w:ascii="Times New Roman" w:hAnsi="Times New Roman" w:eastAsia="宋体"/>
          <w:sz w:val="18"/>
        </w:rPr>
        <w:t>表1  化工文献通用知识实体类型体系</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814"/>
        <w:gridCol w:w="1190"/>
        <w:gridCol w:w="4422"/>
      </w:tblGrid>
      <w:tr w14:paraId="77FBD2F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Borders>
              <w:bottom w:val="single" w:color="000000" w:sz="8" w:space="0"/>
            </w:tcBorders>
            <w:shd w:val="clear" w:color="auto" w:fill="EDEDED"/>
            <w:tcMar>
              <w:top w:w="80" w:type="dxa"/>
              <w:left w:w="80" w:type="dxa"/>
              <w:bottom w:w="80" w:type="dxa"/>
              <w:right w:w="80" w:type="dxa"/>
            </w:tcMar>
            <w:vAlign w:val="center"/>
          </w:tcPr>
          <w:p w14:paraId="68E385B6">
            <w:pPr>
              <w:jc w:val="center"/>
            </w:pPr>
            <w:r>
              <w:rPr>
                <w:rFonts w:ascii="Times New Roman" w:hAnsi="Times New Roman" w:eastAsia="??"/>
                <w:b/>
                <w:i w:val="0"/>
                <w:sz w:val="19"/>
              </w:rPr>
              <w:t>实体类型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4B3FC387">
            <w:pPr>
              <w:jc w:val="center"/>
            </w:pPr>
            <w:r>
              <w:rPr>
                <w:rFonts w:ascii="Times New Roman" w:hAnsi="Times New Roman" w:eastAsia="??"/>
                <w:b/>
                <w:i w:val="0"/>
                <w:sz w:val="19"/>
              </w:rPr>
              <w:t>说明</w:t>
            </w:r>
          </w:p>
        </w:tc>
        <w:tc>
          <w:tcPr>
            <w:tcW w:w="4422" w:type="dxa"/>
            <w:tcBorders>
              <w:bottom w:val="single" w:color="000000" w:sz="8" w:space="0"/>
            </w:tcBorders>
            <w:shd w:val="clear" w:color="auto" w:fill="EDEDED"/>
            <w:tcMar>
              <w:top w:w="80" w:type="dxa"/>
              <w:left w:w="80" w:type="dxa"/>
              <w:bottom w:w="80" w:type="dxa"/>
              <w:right w:w="80" w:type="dxa"/>
            </w:tcMar>
            <w:vAlign w:val="center"/>
          </w:tcPr>
          <w:p w14:paraId="00B3C577">
            <w:pPr>
              <w:jc w:val="center"/>
            </w:pPr>
            <w:r>
              <w:rPr>
                <w:rFonts w:ascii="Times New Roman" w:hAnsi="Times New Roman" w:eastAsia="??"/>
                <w:b/>
                <w:i w:val="0"/>
                <w:sz w:val="19"/>
              </w:rPr>
              <w:t>描述</w:t>
            </w:r>
          </w:p>
        </w:tc>
      </w:tr>
      <w:tr w14:paraId="779DDE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4747D3E0">
            <w:pPr>
              <w:jc w:val="center"/>
            </w:pPr>
            <w:r>
              <w:rPr>
                <w:rFonts w:ascii="Times New Roman" w:hAnsi="Times New Roman" w:eastAsia="??"/>
                <w:b w:val="0"/>
                <w:i w:val="0"/>
                <w:sz w:val="18"/>
              </w:rPr>
              <w:t>ACTIVE_SPECIES</w:t>
            </w:r>
          </w:p>
        </w:tc>
        <w:tc>
          <w:tcPr>
            <w:tcW w:w="1190" w:type="dxa"/>
            <w:tcMar>
              <w:top w:w="80" w:type="dxa"/>
              <w:left w:w="80" w:type="dxa"/>
              <w:bottom w:w="80" w:type="dxa"/>
              <w:right w:w="80" w:type="dxa"/>
            </w:tcMar>
            <w:vAlign w:val="center"/>
          </w:tcPr>
          <w:p w14:paraId="373B3910">
            <w:pPr>
              <w:jc w:val="center"/>
            </w:pPr>
            <w:r>
              <w:rPr>
                <w:rFonts w:ascii="Times New Roman" w:hAnsi="Times New Roman" w:eastAsia="??"/>
                <w:b w:val="0"/>
                <w:i w:val="0"/>
                <w:sz w:val="18"/>
              </w:rPr>
              <w:t>活性物质</w:t>
            </w:r>
          </w:p>
        </w:tc>
        <w:tc>
          <w:tcPr>
            <w:tcW w:w="4422" w:type="dxa"/>
            <w:tcMar>
              <w:top w:w="80" w:type="dxa"/>
              <w:left w:w="80" w:type="dxa"/>
              <w:bottom w:w="80" w:type="dxa"/>
              <w:right w:w="80" w:type="dxa"/>
            </w:tcMar>
            <w:vAlign w:val="center"/>
          </w:tcPr>
          <w:p w14:paraId="27215E12">
            <w:pPr>
              <w:jc w:val="left"/>
            </w:pPr>
            <w:r>
              <w:rPr>
                <w:rFonts w:ascii="Times New Roman" w:hAnsi="Times New Roman" w:eastAsia="??"/>
                <w:b w:val="0"/>
                <w:i w:val="0"/>
                <w:sz w:val="18"/>
              </w:rPr>
              <w:t>电解液中的氧化还原活性物质，如全钒液流电池中的V²⁺/V³⁺电对</w:t>
            </w:r>
          </w:p>
        </w:tc>
      </w:tr>
      <w:tr w14:paraId="119F3CB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9786F06">
            <w:pPr>
              <w:jc w:val="center"/>
            </w:pPr>
            <w:r>
              <w:rPr>
                <w:rFonts w:ascii="Times New Roman" w:hAnsi="Times New Roman" w:eastAsia="??"/>
                <w:b w:val="0"/>
                <w:i w:val="0"/>
                <w:sz w:val="18"/>
              </w:rPr>
              <w:t>METRIC</w:t>
            </w:r>
          </w:p>
        </w:tc>
        <w:tc>
          <w:tcPr>
            <w:tcW w:w="1190" w:type="dxa"/>
            <w:tcMar>
              <w:top w:w="80" w:type="dxa"/>
              <w:left w:w="80" w:type="dxa"/>
              <w:bottom w:w="80" w:type="dxa"/>
              <w:right w:w="80" w:type="dxa"/>
            </w:tcMar>
            <w:vAlign w:val="center"/>
          </w:tcPr>
          <w:p w14:paraId="769CB1D0">
            <w:pPr>
              <w:jc w:val="center"/>
            </w:pPr>
            <w:r>
              <w:rPr>
                <w:rFonts w:ascii="Times New Roman" w:hAnsi="Times New Roman" w:eastAsia="??"/>
                <w:b w:val="0"/>
                <w:i w:val="0"/>
                <w:sz w:val="18"/>
              </w:rPr>
              <w:t>性能指标</w:t>
            </w:r>
          </w:p>
        </w:tc>
        <w:tc>
          <w:tcPr>
            <w:tcW w:w="4422" w:type="dxa"/>
            <w:tcMar>
              <w:top w:w="80" w:type="dxa"/>
              <w:left w:w="80" w:type="dxa"/>
              <w:bottom w:w="80" w:type="dxa"/>
              <w:right w:w="80" w:type="dxa"/>
            </w:tcMar>
            <w:vAlign w:val="center"/>
          </w:tcPr>
          <w:p w14:paraId="4A2FB81D">
            <w:pPr>
              <w:jc w:val="left"/>
            </w:pPr>
            <w:r>
              <w:rPr>
                <w:rFonts w:ascii="Times New Roman" w:hAnsi="Times New Roman" w:eastAsia="??"/>
                <w:b w:val="0"/>
                <w:i w:val="0"/>
                <w:sz w:val="18"/>
              </w:rPr>
              <w:t>量化评价指标，如能量效率、电压效率、容量衰减率、循环寿命等</w:t>
            </w:r>
          </w:p>
        </w:tc>
      </w:tr>
      <w:tr w14:paraId="7AC3F5E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0E6DFD15">
            <w:pPr>
              <w:jc w:val="center"/>
            </w:pPr>
            <w:r>
              <w:rPr>
                <w:rFonts w:ascii="Times New Roman" w:hAnsi="Times New Roman" w:eastAsia="??"/>
                <w:b w:val="0"/>
                <w:i w:val="0"/>
                <w:sz w:val="18"/>
              </w:rPr>
              <w:t>CONDITION</w:t>
            </w:r>
          </w:p>
        </w:tc>
        <w:tc>
          <w:tcPr>
            <w:tcW w:w="1190" w:type="dxa"/>
            <w:tcMar>
              <w:top w:w="80" w:type="dxa"/>
              <w:left w:w="80" w:type="dxa"/>
              <w:bottom w:w="80" w:type="dxa"/>
              <w:right w:w="80" w:type="dxa"/>
            </w:tcMar>
            <w:vAlign w:val="center"/>
          </w:tcPr>
          <w:p w14:paraId="2C4EA63E">
            <w:pPr>
              <w:jc w:val="center"/>
            </w:pPr>
            <w:r>
              <w:rPr>
                <w:rFonts w:ascii="Times New Roman" w:hAnsi="Times New Roman" w:eastAsia="??"/>
                <w:b w:val="0"/>
                <w:i w:val="0"/>
                <w:sz w:val="18"/>
              </w:rPr>
              <w:t>操作条件</w:t>
            </w:r>
          </w:p>
        </w:tc>
        <w:tc>
          <w:tcPr>
            <w:tcW w:w="4422" w:type="dxa"/>
            <w:tcMar>
              <w:top w:w="80" w:type="dxa"/>
              <w:left w:w="80" w:type="dxa"/>
              <w:bottom w:w="80" w:type="dxa"/>
              <w:right w:w="80" w:type="dxa"/>
            </w:tcMar>
            <w:vAlign w:val="center"/>
          </w:tcPr>
          <w:p w14:paraId="5589C60D">
            <w:pPr>
              <w:jc w:val="left"/>
            </w:pPr>
            <w:r>
              <w:rPr>
                <w:rFonts w:ascii="Times New Roman" w:hAnsi="Times New Roman" w:eastAsia="??"/>
                <w:b w:val="0"/>
                <w:i w:val="0"/>
                <w:sz w:val="18"/>
              </w:rPr>
              <w:t>实验工况参数，如温度、电流密度、流速、充放电制度等</w:t>
            </w:r>
          </w:p>
        </w:tc>
      </w:tr>
      <w:tr w14:paraId="6DD69F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FADDB9E">
            <w:pPr>
              <w:jc w:val="center"/>
            </w:pPr>
            <w:r>
              <w:rPr>
                <w:rFonts w:ascii="Times New Roman" w:hAnsi="Times New Roman" w:eastAsia="??"/>
                <w:b w:val="0"/>
                <w:i w:val="0"/>
                <w:sz w:val="18"/>
              </w:rPr>
              <w:t>SYSTEM</w:t>
            </w:r>
          </w:p>
        </w:tc>
        <w:tc>
          <w:tcPr>
            <w:tcW w:w="1190" w:type="dxa"/>
            <w:tcMar>
              <w:top w:w="80" w:type="dxa"/>
              <w:left w:w="80" w:type="dxa"/>
              <w:bottom w:w="80" w:type="dxa"/>
              <w:right w:w="80" w:type="dxa"/>
            </w:tcMar>
            <w:vAlign w:val="center"/>
          </w:tcPr>
          <w:p w14:paraId="4C3D704E">
            <w:pPr>
              <w:jc w:val="center"/>
            </w:pPr>
            <w:r>
              <w:rPr>
                <w:rFonts w:ascii="Times New Roman" w:hAnsi="Times New Roman" w:eastAsia="??"/>
                <w:b w:val="0"/>
                <w:i w:val="0"/>
                <w:sz w:val="18"/>
              </w:rPr>
              <w:t>系统类型</w:t>
            </w:r>
          </w:p>
        </w:tc>
        <w:tc>
          <w:tcPr>
            <w:tcW w:w="4422" w:type="dxa"/>
            <w:tcMar>
              <w:top w:w="80" w:type="dxa"/>
              <w:left w:w="80" w:type="dxa"/>
              <w:bottom w:w="80" w:type="dxa"/>
              <w:right w:w="80" w:type="dxa"/>
            </w:tcMar>
            <w:vAlign w:val="center"/>
          </w:tcPr>
          <w:p w14:paraId="7AC41B32">
            <w:pPr>
              <w:jc w:val="left"/>
            </w:pPr>
            <w:r>
              <w:rPr>
                <w:rFonts w:ascii="Times New Roman" w:hAnsi="Times New Roman" w:eastAsia="??"/>
                <w:b w:val="0"/>
                <w:i w:val="0"/>
                <w:sz w:val="18"/>
              </w:rPr>
              <w:t>液流电池系统构型，如全钒液流电池、锌溴液流电池等</w:t>
            </w:r>
          </w:p>
        </w:tc>
      </w:tr>
      <w:tr w14:paraId="3551C38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3A129BE6">
            <w:pPr>
              <w:jc w:val="center"/>
            </w:pPr>
            <w:r>
              <w:rPr>
                <w:rFonts w:ascii="Times New Roman" w:hAnsi="Times New Roman" w:eastAsia="??"/>
                <w:b w:val="0"/>
                <w:i w:val="0"/>
                <w:sz w:val="18"/>
              </w:rPr>
              <w:t>ELECTRODE</w:t>
            </w:r>
          </w:p>
        </w:tc>
        <w:tc>
          <w:tcPr>
            <w:tcW w:w="1190" w:type="dxa"/>
            <w:tcMar>
              <w:top w:w="80" w:type="dxa"/>
              <w:left w:w="80" w:type="dxa"/>
              <w:bottom w:w="80" w:type="dxa"/>
              <w:right w:w="80" w:type="dxa"/>
            </w:tcMar>
            <w:vAlign w:val="center"/>
          </w:tcPr>
          <w:p w14:paraId="6761A72D">
            <w:pPr>
              <w:jc w:val="center"/>
            </w:pPr>
            <w:r>
              <w:rPr>
                <w:rFonts w:ascii="Times New Roman" w:hAnsi="Times New Roman" w:eastAsia="??"/>
                <w:b w:val="0"/>
                <w:i w:val="0"/>
                <w:sz w:val="18"/>
              </w:rPr>
              <w:t>电极材料</w:t>
            </w:r>
          </w:p>
        </w:tc>
        <w:tc>
          <w:tcPr>
            <w:tcW w:w="4422" w:type="dxa"/>
            <w:tcMar>
              <w:top w:w="80" w:type="dxa"/>
              <w:left w:w="80" w:type="dxa"/>
              <w:bottom w:w="80" w:type="dxa"/>
              <w:right w:w="80" w:type="dxa"/>
            </w:tcMar>
            <w:vAlign w:val="center"/>
          </w:tcPr>
          <w:p w14:paraId="1BC4BDE0">
            <w:pPr>
              <w:jc w:val="left"/>
            </w:pPr>
            <w:r>
              <w:rPr>
                <w:rFonts w:ascii="Times New Roman" w:hAnsi="Times New Roman" w:eastAsia="??"/>
                <w:b w:val="0"/>
                <w:i w:val="0"/>
                <w:sz w:val="18"/>
              </w:rPr>
              <w:t>电极基体材料及改性，如石墨毡、碳毡、氮掺杂电极等</w:t>
            </w:r>
          </w:p>
        </w:tc>
      </w:tr>
      <w:tr w14:paraId="0022E70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6B1F6EAA">
            <w:pPr>
              <w:jc w:val="center"/>
            </w:pPr>
            <w:r>
              <w:rPr>
                <w:rFonts w:ascii="Times New Roman" w:hAnsi="Times New Roman" w:eastAsia="??"/>
                <w:b w:val="0"/>
                <w:i w:val="0"/>
                <w:sz w:val="18"/>
              </w:rPr>
              <w:t>DEGRADATION</w:t>
            </w:r>
          </w:p>
        </w:tc>
        <w:tc>
          <w:tcPr>
            <w:tcW w:w="1190" w:type="dxa"/>
            <w:tcMar>
              <w:top w:w="80" w:type="dxa"/>
              <w:left w:w="80" w:type="dxa"/>
              <w:bottom w:w="80" w:type="dxa"/>
              <w:right w:w="80" w:type="dxa"/>
            </w:tcMar>
            <w:vAlign w:val="center"/>
          </w:tcPr>
          <w:p w14:paraId="3DEF6363">
            <w:pPr>
              <w:jc w:val="center"/>
            </w:pPr>
            <w:r>
              <w:rPr>
                <w:rFonts w:ascii="Times New Roman" w:hAnsi="Times New Roman" w:eastAsia="??"/>
                <w:b w:val="0"/>
                <w:i w:val="0"/>
                <w:sz w:val="18"/>
              </w:rPr>
              <w:t>降解机制</w:t>
            </w:r>
          </w:p>
        </w:tc>
        <w:tc>
          <w:tcPr>
            <w:tcW w:w="4422" w:type="dxa"/>
            <w:tcMar>
              <w:top w:w="80" w:type="dxa"/>
              <w:left w:w="80" w:type="dxa"/>
              <w:bottom w:w="80" w:type="dxa"/>
              <w:right w:w="80" w:type="dxa"/>
            </w:tcMar>
            <w:vAlign w:val="center"/>
          </w:tcPr>
          <w:p w14:paraId="62578494">
            <w:pPr>
              <w:jc w:val="left"/>
            </w:pPr>
            <w:r>
              <w:rPr>
                <w:rFonts w:ascii="Times New Roman" w:hAnsi="Times New Roman" w:eastAsia="??"/>
                <w:b w:val="0"/>
                <w:i w:val="0"/>
                <w:sz w:val="18"/>
              </w:rPr>
              <w:t>性能衰减机理类型，如活性物质交叉污染、电极氧化降解等</w:t>
            </w:r>
          </w:p>
        </w:tc>
      </w:tr>
      <w:tr w14:paraId="2EECDFE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814" w:type="dxa"/>
            <w:tcMar>
              <w:top w:w="80" w:type="dxa"/>
              <w:left w:w="80" w:type="dxa"/>
              <w:bottom w:w="80" w:type="dxa"/>
              <w:right w:w="80" w:type="dxa"/>
            </w:tcMar>
            <w:vAlign w:val="center"/>
          </w:tcPr>
          <w:p w14:paraId="279E0AD4">
            <w:pPr>
              <w:jc w:val="center"/>
            </w:pPr>
            <w:r>
              <w:rPr>
                <w:rFonts w:ascii="Times New Roman" w:hAnsi="Times New Roman" w:eastAsia="??"/>
                <w:b w:val="0"/>
                <w:i w:val="0"/>
                <w:sz w:val="18"/>
              </w:rPr>
              <w:t>MEMBRANE</w:t>
            </w:r>
          </w:p>
        </w:tc>
        <w:tc>
          <w:tcPr>
            <w:tcW w:w="1190" w:type="dxa"/>
            <w:tcMar>
              <w:top w:w="80" w:type="dxa"/>
              <w:left w:w="80" w:type="dxa"/>
              <w:bottom w:w="80" w:type="dxa"/>
              <w:right w:w="80" w:type="dxa"/>
            </w:tcMar>
            <w:vAlign w:val="center"/>
          </w:tcPr>
          <w:p w14:paraId="3F6B1FE4">
            <w:pPr>
              <w:jc w:val="center"/>
            </w:pPr>
            <w:r>
              <w:rPr>
                <w:rFonts w:ascii="Times New Roman" w:hAnsi="Times New Roman" w:eastAsia="??"/>
                <w:b w:val="0"/>
                <w:i w:val="0"/>
                <w:sz w:val="18"/>
              </w:rPr>
              <w:t>膜材料</w:t>
            </w:r>
          </w:p>
        </w:tc>
        <w:tc>
          <w:tcPr>
            <w:tcW w:w="4422" w:type="dxa"/>
            <w:tcMar>
              <w:top w:w="80" w:type="dxa"/>
              <w:left w:w="80" w:type="dxa"/>
              <w:bottom w:w="80" w:type="dxa"/>
              <w:right w:w="80" w:type="dxa"/>
            </w:tcMar>
            <w:vAlign w:val="center"/>
          </w:tcPr>
          <w:p w14:paraId="32F3E344">
            <w:pPr>
              <w:jc w:val="left"/>
            </w:pPr>
            <w:r>
              <w:rPr>
                <w:rFonts w:ascii="Times New Roman" w:hAnsi="Times New Roman" w:eastAsia="??"/>
                <w:b w:val="0"/>
                <w:i w:val="0"/>
                <w:sz w:val="18"/>
              </w:rPr>
              <w:t>离子交换膜及多孔膜，如Nafion膜、多孔离子传导膜等</w:t>
            </w:r>
          </w:p>
        </w:tc>
      </w:tr>
    </w:tbl>
    <w:p w14:paraId="1338727F"/>
    <w:p w14:paraId="6DCD3755">
      <w:pPr>
        <w:keepNext w:val="0"/>
        <w:spacing w:before="0" w:after="60" w:line="240" w:lineRule="auto"/>
        <w:ind w:firstLine="420"/>
        <w:jc w:val="both"/>
      </w:pPr>
      <w:r>
        <w:rPr>
          <w:rFonts w:ascii="Times New Roman" w:hAnsi="Times New Roman" w:eastAsia="宋体"/>
          <w:b w:val="0"/>
          <w:i w:val="0"/>
          <w:sz w:val="21"/>
        </w:rPr>
        <w:t>在关系/超边类型设计上，本文根据液流电池文献中常见的知识组织方式，定义了4类核心关系类型。它们既可以表示二元关系，也可以表示连接多个实体的高阶超边，具体取决于同一实验事实中涉及的实体数量。</w:t>
      </w:r>
    </w:p>
    <w:p w14:paraId="3F9ECF70">
      <w:pPr>
        <w:keepNext w:val="0"/>
        <w:spacing w:before="0" w:after="60" w:line="240" w:lineRule="auto"/>
        <w:ind w:firstLine="420"/>
        <w:jc w:val="both"/>
      </w:pPr>
      <w:r>
        <w:rPr>
          <w:rFonts w:ascii="Times New Roman" w:hAnsi="Times New Roman" w:eastAsia="宋体"/>
          <w:b w:val="0"/>
          <w:i w:val="0"/>
          <w:sz w:val="21"/>
        </w:rPr>
        <w:t>（1）OPERATION（操作关系）：用于描述电池体系、活性物质、操作条件和性能指标之间的实验运行关系。例如，一条OPERATION超边可以同时连接"VRFB""VOSO₄""H₂SO₄""100 mA/cm²""EE 80%"等实体，用于表示特定电解液和工况下获得的性能结果。</w:t>
      </w:r>
    </w:p>
    <w:p w14:paraId="311A52B6">
      <w:pPr>
        <w:keepNext w:val="0"/>
        <w:spacing w:before="0" w:after="60" w:line="240" w:lineRule="auto"/>
        <w:ind w:firstLine="420"/>
        <w:jc w:val="both"/>
      </w:pPr>
      <w:r>
        <w:rPr>
          <w:rFonts w:ascii="Times New Roman" w:hAnsi="Times New Roman" w:eastAsia="宋体"/>
          <w:b w:val="0"/>
          <w:i w:val="0"/>
          <w:sz w:val="21"/>
        </w:rPr>
        <w:t>（2）COMPOSITION（组成关系）：用于描述材料、组件或体系的组成结构。例如，膜材料的基体、改性基团、掺杂组分和离子交换容量可以共同构成一条COMPOSITION超边，用于表示材料设计方案。</w:t>
      </w:r>
    </w:p>
    <w:p w14:paraId="7530FBC9">
      <w:pPr>
        <w:keepNext w:val="0"/>
        <w:spacing w:before="0" w:after="60" w:line="240" w:lineRule="auto"/>
        <w:ind w:firstLine="420"/>
        <w:jc w:val="both"/>
      </w:pPr>
      <w:r>
        <w:rPr>
          <w:rFonts w:ascii="Times New Roman" w:hAnsi="Times New Roman" w:eastAsia="宋体"/>
          <w:b w:val="0"/>
          <w:i w:val="0"/>
          <w:sz w:val="21"/>
        </w:rPr>
        <w:t>（3）DEGRADATION（衰减关系）：用于描述性能衰减或失效过程中的条件、机制和结果。例如，高温、活性物质交叉迁移、副反应和容量衰减可以被组织为一条DEGRADATION超边，用于表示从条件到机制再到性能变化的链式关系。</w:t>
      </w:r>
    </w:p>
    <w:p w14:paraId="48516343">
      <w:pPr>
        <w:keepNext w:val="0"/>
        <w:spacing w:before="0" w:after="60" w:line="240" w:lineRule="auto"/>
        <w:ind w:firstLine="420"/>
        <w:jc w:val="both"/>
      </w:pPr>
      <w:r>
        <w:rPr>
          <w:rFonts w:ascii="Times New Roman" w:hAnsi="Times New Roman" w:eastAsia="宋体"/>
          <w:b w:val="0"/>
          <w:i w:val="0"/>
          <w:sz w:val="21"/>
        </w:rPr>
        <w:t>（4）COMPARISON（对比关系）：用于描述不同材料、不同条件或不同体系之间的性能比较。例如，C-C、MC-C和BMC-C等电极材料在不同电流密度下的效率差异，可以通过COMPARISON超边表示，从而保留比较对象、比较条件和比较指标之间的共同约束。</w:t>
      </w:r>
    </w:p>
    <w:p w14:paraId="77D74055">
      <w:pPr>
        <w:keepNext w:val="0"/>
        <w:spacing w:before="0" w:after="60" w:line="240" w:lineRule="auto"/>
        <w:ind w:firstLine="420"/>
        <w:jc w:val="both"/>
      </w:pPr>
      <w:r>
        <w:rPr>
          <w:rFonts w:ascii="Times New Roman" w:hAnsi="Times New Roman" w:eastAsia="宋体"/>
          <w:b w:val="0"/>
          <w:i w:val="0"/>
          <w:sz w:val="21"/>
        </w:rPr>
        <w:t>每个文本块的抽取结果包含三部分：实体列表、低阶关系列表和高阶超边列表。其中，实体列表记录实体名称、类型、数值、单位和描述信息；低阶关系列表记录二元关系；高阶超边列表记录三个及以上实体共同构成的实验事实单元。通过强制结构化输出，可以减少自由文本生成带来的格式不稳定问题，并便于后续进行节点合并、超边构建和来源追踪。</w:t>
      </w:r>
    </w:p>
    <w:p w14:paraId="6BD0C934">
      <w:pPr>
        <w:keepNext w:val="0"/>
        <w:spacing w:before="0" w:after="60" w:line="240" w:lineRule="auto"/>
        <w:ind w:firstLine="420"/>
        <w:jc w:val="both"/>
      </w:pPr>
      <w:r>
        <w:rPr>
          <w:rFonts w:ascii="Times New Roman" w:hAnsi="Times New Roman" w:eastAsia="宋体"/>
          <w:b w:val="0"/>
          <w:i w:val="0"/>
          <w:sz w:val="21"/>
        </w:rPr>
        <w:t>需要指出的是，该结构化抽取设计具有领域可迁移性。对于不同化工子领域，框架本身无需改变，只需替换实体类型、关系类型和领域提示词。例如，在含氟污染物降解案例中，可将实体类型调整为PFAS_TARGET、CATALYST_MATERIAL、ACTIVE_SPECIES、MECHANISM_EVIDENCE等，并将</w:t>
      </w:r>
      <w:r>
        <w:rPr>
          <w:rFonts w:hint="eastAsia"/>
          <w:b w:val="0"/>
          <w:i w:val="0"/>
          <w:sz w:val="21"/>
          <w:lang w:val="en-US" w:eastAsia="zh-CN"/>
        </w:rPr>
        <w:t>关系类型调整为</w:t>
      </w:r>
      <w:r>
        <w:rPr>
          <w:rFonts w:ascii="Times New Roman" w:hAnsi="Times New Roman" w:eastAsia="宋体"/>
          <w:b w:val="0"/>
          <w:i w:val="0"/>
          <w:sz w:val="21"/>
        </w:rPr>
        <w:t>OPERATION_PERFORMANCE、MECHANISM_PATHWAY、ADSORPTION_ORIENTATION等。由此，本文方法能够在保持统一超图建模框架的同时，适配不同化工领域的知识结构特征。</w:t>
      </w:r>
    </w:p>
    <w:p w14:paraId="016D16C7">
      <w:pPr>
        <w:keepNext/>
        <w:spacing w:before="240" w:after="240" w:line="240" w:lineRule="auto"/>
        <w:jc w:val="left"/>
      </w:pPr>
      <w:r>
        <w:rPr>
          <w:rFonts w:ascii="Times New Roman" w:hAnsi="Times New Roman" w:eastAsia="黑体"/>
          <w:b/>
          <w:i w:val="0"/>
          <w:sz w:val="28"/>
        </w:rPr>
        <w:t>2 案例一：液流电池文献知识建模与检索分析</w:t>
      </w:r>
    </w:p>
    <w:p w14:paraId="4841A43A">
      <w:pPr>
        <w:keepNext/>
        <w:spacing w:before="120" w:after="60" w:line="240" w:lineRule="auto"/>
        <w:jc w:val="left"/>
      </w:pPr>
      <w:r>
        <w:rPr>
          <w:rFonts w:ascii="Times New Roman" w:hAnsi="Times New Roman" w:eastAsia="黑体"/>
          <w:b/>
          <w:i w:val="0"/>
          <w:sz w:val="21"/>
        </w:rPr>
        <w:t>2.1 数据来源与领域特点</w:t>
      </w:r>
    </w:p>
    <w:p w14:paraId="67B9C710">
      <w:pPr>
        <w:keepNext w:val="0"/>
        <w:spacing w:before="0" w:after="60" w:line="240" w:lineRule="auto"/>
        <w:ind w:firstLine="420"/>
        <w:jc w:val="both"/>
      </w:pPr>
      <w:r>
        <w:rPr>
          <w:rFonts w:ascii="Times New Roman" w:hAnsi="Times New Roman" w:eastAsia="宋体"/>
          <w:b w:val="0"/>
          <w:i w:val="0"/>
          <w:sz w:val="21"/>
        </w:rPr>
        <w:t>以液流电池（Redox Flow Battery, RFB）为应用背景，构建包含多体系、多维度的专业知识库。实验语料库来源于</w:t>
      </w:r>
      <w:r>
        <w:rPr>
          <w:rFonts w:hint="eastAsia"/>
          <w:b w:val="0"/>
          <w:i w:val="0"/>
          <w:sz w:val="21"/>
          <w:lang w:val="en-US" w:eastAsia="zh-CN"/>
        </w:rPr>
        <w:t>50</w:t>
      </w:r>
      <w:r>
        <w:rPr>
          <w:rFonts w:ascii="Times New Roman" w:hAnsi="Times New Roman" w:eastAsia="宋体"/>
          <w:b w:val="0"/>
          <w:i w:val="0"/>
          <w:sz w:val="21"/>
        </w:rPr>
        <w:t>篇领域学术文献，涵盖全钒液流电池（VRFB）、铁铬液流电池（ICRFB）、锌基液流电池、可溶铅酸液流电池、有机液流电池及多硫化物-溴液流电池等主流技术路线。经文本预处理后，共提取664个文本块作为知识抽取的基本单元。</w:t>
      </w:r>
    </w:p>
    <w:p w14:paraId="222AA05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sz w:val="21"/>
        </w:rPr>
        <w:t>液流电池实验知识具有强多变量耦合特征。如图2a所示，知识图谱围绕电池实验单元组织，涵盖系统、活性物种、膜、电极、实验条件、性能指标与降解机制7类核心实体。针对这一领域结构，抽取方案以领域本体为中介，将文本片段映射为包含实体类型、关系及超边类型的结构化输出，形成超图EFU（图2b）。</w:t>
      </w:r>
    </w:p>
    <w:p>
      <w:pPr>
        <w:jc w:val="center"/>
      </w:pPr>
      <w:r>
        <w:drawing>
          <wp:inline xmlns:a="http://schemas.openxmlformats.org/drawingml/2006/main" xmlns:pic="http://schemas.openxmlformats.org/drawingml/2006/picture">
            <wp:extent cx="5303520" cy="3367839"/>
            <wp:docPr id="2" name="Picture 2"/>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5303520" cy="3367839"/>
                    </a:xfrm>
                    <a:prstGeom prst="rect"/>
                  </pic:spPr>
                </pic:pic>
              </a:graphicData>
            </a:graphic>
          </wp:inline>
        </w:drawing>
      </w:r>
    </w:p>
    <w:p w14:paraId="744C7192">
      <w:pPr>
        <w:keepNext w:val="0"/>
        <w:spacing w:before="0" w:after="60" w:line="240" w:lineRule="auto"/>
        <w:ind w:firstLine="420"/>
        <w:jc w:val="both"/>
        <w:rPr>
          <w:rFonts w:hint="eastAsia" w:ascii="Times New Roman" w:hAnsi="Times New Roman" w:eastAsia="宋体"/>
          <w:b w:val="0"/>
          <w:i w:val="0"/>
          <w:sz w:val="21"/>
          <w:lang w:eastAsia="zh-CN"/>
        </w:rPr>
      </w:pPr>
      <w:r>
        <w:rPr>
          <w:rFonts w:ascii="Times New Roman" w:hAnsi="Times New Roman" w:eastAsia="宋体"/>
          <w:b w:val="0"/>
          <w:sz w:val="21"/>
        </w:rPr>
        <w:t>基于上述流程处理50篇文献，得到664个文本块、9970个实体节点和12987条关系/超边，其中高阶结构占20.9%，超边最大阶数为20（图2c）。检索实验中，Hyper-ChE在12个问题上平均召回约103条相关超边，Graph-RAG仅约46条边（图2d），表明超图结构在覆盖复杂领域关联时具有明显优势。</w:t>
      </w:r>
    </w:p>
    <w:p w14:paraId="40F9B238">
      <w:pPr>
        <w:keepNext w:val="0"/>
        <w:spacing w:before="120" w:after="60" w:line="240" w:lineRule="auto"/>
        <w:jc w:val="center"/>
        <w:rPr>
          <w:rFonts w:ascii="Times New Roman" w:hAnsi="Times New Roman" w:eastAsia="宋体"/>
          <w:b w:val="0"/>
          <w:i w:val="0"/>
          <w:sz w:val="18"/>
        </w:rPr>
      </w:pPr>
    </w:p>
    <w:p w14:paraId="47002EFC">
      <w:pPr>
        <w:keepNext w:val="0"/>
        <w:spacing w:before="120" w:after="60" w:line="240" w:lineRule="auto"/>
        <w:jc w:val="center"/>
      </w:pPr>
      <w:r>
        <w:rPr>
          <w:rFonts w:ascii="Times New Roman" w:hAnsi="Times New Roman" w:eastAsia="宋体"/>
          <w:sz w:val="18"/>
        </w:rPr>
        <w:t>图2  液流电池案例：（a）实验知识图谱（7实体类型）；（b）领域适配结构化抽取方案；（c）知识库统计（50篇/664块/9970实体/12987关系/20.9%高阶）；（d）Q1-Q12检索召回对比</w:t>
      </w:r>
    </w:p>
    <w:p w14:paraId="659249E8">
      <w:pPr>
        <w:keepNext w:val="0"/>
        <w:spacing w:before="120" w:after="60" w:line="240" w:lineRule="auto"/>
        <w:jc w:val="center"/>
      </w:pPr>
      <w:r>
        <w:rPr>
          <w:rFonts w:ascii="Times New Roman" w:hAnsi="Times New Roman" w:eastAsia="宋体"/>
          <w:b w:val="0"/>
          <w:i w:val="0"/>
          <w:sz w:val="18"/>
        </w:rPr>
        <w:t>表2 液流电池知识库构建统计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3989340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6411E16F">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A514C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04939CA2">
            <w:pPr>
              <w:jc w:val="center"/>
            </w:pPr>
            <w:r>
              <w:rPr>
                <w:rFonts w:ascii="Times New Roman" w:hAnsi="Times New Roman" w:eastAsia="??"/>
                <w:b/>
                <w:i w:val="0"/>
                <w:sz w:val="19"/>
              </w:rPr>
              <w:t>说明</w:t>
            </w:r>
          </w:p>
        </w:tc>
      </w:tr>
      <w:tr w14:paraId="268DD1A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19287587">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3959C743">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44ADFBB9">
            <w:pPr>
              <w:jc w:val="left"/>
              <w:rPr>
                <w:rFonts w:hint="eastAsia" w:eastAsia="宋体"/>
                <w:lang w:val="en-US" w:eastAsia="zh-CN"/>
              </w:rPr>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w:t>
            </w:r>
            <w:r>
              <w:rPr>
                <w:rFonts w:hint="eastAsia" w:ascii="Times New Roman" w:hAnsi="Times New Roman" w:eastAsia="??"/>
                <w:b w:val="0"/>
                <w:i w:val="0"/>
                <w:sz w:val="18"/>
                <w:lang w:val="en-US" w:eastAsia="zh-CN"/>
              </w:rPr>
              <w:t>液流电池</w:t>
            </w:r>
            <w:r>
              <w:rPr>
                <w:rFonts w:ascii="Times New Roman" w:hAnsi="Times New Roman" w:eastAsia="??"/>
                <w:b w:val="0"/>
                <w:i w:val="0"/>
                <w:sz w:val="18"/>
              </w:rPr>
              <w:t>领域</w:t>
            </w:r>
            <w:r>
              <w:rPr>
                <w:rFonts w:hint="eastAsia" w:ascii="Times New Roman" w:hAnsi="Times New Roman" w:eastAsia="??"/>
                <w:b w:val="0"/>
                <w:i w:val="0"/>
                <w:sz w:val="18"/>
                <w:lang w:val="en-US" w:eastAsia="zh-CN"/>
              </w:rPr>
              <w:t>文献</w:t>
            </w:r>
          </w:p>
        </w:tc>
      </w:tr>
      <w:tr w14:paraId="36E6D3C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2AC0B1D0">
            <w:pPr>
              <w:jc w:val="center"/>
            </w:pPr>
            <w:r>
              <w:rPr>
                <w:rFonts w:ascii="Times New Roman" w:hAnsi="Times New Roman" w:eastAsia="??"/>
                <w:b w:val="0"/>
                <w:i w:val="0"/>
                <w:sz w:val="18"/>
              </w:rPr>
              <w:t xml:space="preserve">文本块 </w:t>
            </w:r>
          </w:p>
        </w:tc>
        <w:tc>
          <w:tcPr>
            <w:tcW w:w="1134" w:type="dxa"/>
            <w:tcMar>
              <w:top w:w="80" w:type="dxa"/>
              <w:left w:w="80" w:type="dxa"/>
              <w:bottom w:w="80" w:type="dxa"/>
              <w:right w:w="80" w:type="dxa"/>
            </w:tcMar>
            <w:vAlign w:val="center"/>
          </w:tcPr>
          <w:p w14:paraId="7787F21F">
            <w:pPr>
              <w:jc w:val="center"/>
            </w:pPr>
            <w:r>
              <w:rPr>
                <w:rFonts w:ascii="Times New Roman" w:hAnsi="Times New Roman" w:eastAsia="??"/>
                <w:b w:val="0"/>
                <w:i w:val="0"/>
                <w:sz w:val="18"/>
              </w:rPr>
              <w:t>664</w:t>
            </w:r>
          </w:p>
        </w:tc>
        <w:tc>
          <w:tcPr>
            <w:tcW w:w="4592" w:type="dxa"/>
            <w:tcMar>
              <w:top w:w="80" w:type="dxa"/>
              <w:left w:w="80" w:type="dxa"/>
              <w:bottom w:w="80" w:type="dxa"/>
              <w:right w:w="80" w:type="dxa"/>
            </w:tcMar>
            <w:vAlign w:val="center"/>
          </w:tcPr>
          <w:p w14:paraId="23DD001E">
            <w:pPr>
              <w:jc w:val="left"/>
            </w:pPr>
            <w:r>
              <w:rPr>
                <w:rFonts w:ascii="Times New Roman" w:hAnsi="Times New Roman" w:eastAsia="??"/>
                <w:b w:val="0"/>
                <w:i w:val="0"/>
                <w:sz w:val="18"/>
              </w:rPr>
              <w:t>文献解析与分块后的基本抽取单元</w:t>
            </w:r>
          </w:p>
        </w:tc>
      </w:tr>
      <w:tr w14:paraId="5BB3CC4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4A2D75">
            <w:pPr>
              <w:jc w:val="center"/>
            </w:pPr>
            <w:r>
              <w:rPr>
                <w:rFonts w:ascii="Times New Roman" w:hAnsi="Times New Roman" w:eastAsia="??"/>
                <w:b w:val="0"/>
                <w:i w:val="0"/>
                <w:sz w:val="18"/>
              </w:rPr>
              <w:t xml:space="preserve">实体节点 </w:t>
            </w:r>
          </w:p>
        </w:tc>
        <w:tc>
          <w:tcPr>
            <w:tcW w:w="1134" w:type="dxa"/>
            <w:tcMar>
              <w:top w:w="80" w:type="dxa"/>
              <w:left w:w="80" w:type="dxa"/>
              <w:bottom w:w="80" w:type="dxa"/>
              <w:right w:w="80" w:type="dxa"/>
            </w:tcMar>
            <w:vAlign w:val="center"/>
          </w:tcPr>
          <w:p w14:paraId="012717DC">
            <w:pPr>
              <w:jc w:val="center"/>
            </w:pPr>
            <w:r>
              <w:rPr>
                <w:rFonts w:ascii="Times New Roman" w:hAnsi="Times New Roman" w:eastAsia="??"/>
                <w:b w:val="0"/>
                <w:i w:val="0"/>
                <w:sz w:val="18"/>
              </w:rPr>
              <w:t>9970</w:t>
            </w:r>
          </w:p>
        </w:tc>
        <w:tc>
          <w:tcPr>
            <w:tcW w:w="4592" w:type="dxa"/>
            <w:tcMar>
              <w:top w:w="80" w:type="dxa"/>
              <w:left w:w="80" w:type="dxa"/>
              <w:bottom w:w="80" w:type="dxa"/>
              <w:right w:w="80" w:type="dxa"/>
            </w:tcMar>
            <w:vAlign w:val="center"/>
          </w:tcPr>
          <w:p w14:paraId="09E9EB72">
            <w:pPr>
              <w:jc w:val="left"/>
            </w:pPr>
            <w:r>
              <w:rPr>
                <w:rFonts w:ascii="Times New Roman" w:hAnsi="Times New Roman" w:eastAsia="??"/>
                <w:b w:val="0"/>
                <w:i w:val="0"/>
                <w:sz w:val="18"/>
              </w:rPr>
              <w:t>活性物质、性能指标、条件、体系、电极、膜等</w:t>
            </w:r>
          </w:p>
        </w:tc>
      </w:tr>
      <w:tr w14:paraId="74F5DB1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AF7C9A3">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C12D04B">
            <w:pPr>
              <w:jc w:val="center"/>
            </w:pPr>
            <w:r>
              <w:rPr>
                <w:rFonts w:ascii="Times New Roman" w:hAnsi="Times New Roman" w:eastAsia="??"/>
                <w:b w:val="0"/>
                <w:i w:val="0"/>
                <w:sz w:val="18"/>
              </w:rPr>
              <w:t>12987</w:t>
            </w:r>
          </w:p>
        </w:tc>
        <w:tc>
          <w:tcPr>
            <w:tcW w:w="4592" w:type="dxa"/>
            <w:tcMar>
              <w:top w:w="80" w:type="dxa"/>
              <w:left w:w="80" w:type="dxa"/>
              <w:bottom w:w="80" w:type="dxa"/>
              <w:right w:w="80" w:type="dxa"/>
            </w:tcMar>
            <w:vAlign w:val="center"/>
          </w:tcPr>
          <w:p w14:paraId="0AC44140">
            <w:pPr>
              <w:jc w:val="left"/>
            </w:pPr>
            <w:r>
              <w:rPr>
                <w:rFonts w:ascii="Times New Roman" w:hAnsi="Times New Roman" w:eastAsia="??"/>
                <w:b w:val="0"/>
                <w:i w:val="0"/>
                <w:sz w:val="18"/>
              </w:rPr>
              <w:t>包括低阶关系、高阶超边及少量单节点/自关系</w:t>
            </w:r>
          </w:p>
        </w:tc>
      </w:tr>
      <w:tr w14:paraId="3D74D6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1C40DE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238CAE9A">
            <w:pPr>
              <w:jc w:val="center"/>
            </w:pPr>
            <w:r>
              <w:rPr>
                <w:rFonts w:ascii="Times New Roman" w:hAnsi="Times New Roman" w:eastAsia="??"/>
                <w:b w:val="0"/>
                <w:i w:val="0"/>
                <w:sz w:val="18"/>
              </w:rPr>
              <w:t>10262</w:t>
            </w:r>
          </w:p>
        </w:tc>
        <w:tc>
          <w:tcPr>
            <w:tcW w:w="4592" w:type="dxa"/>
            <w:tcMar>
              <w:top w:w="80" w:type="dxa"/>
              <w:left w:w="80" w:type="dxa"/>
              <w:bottom w:w="80" w:type="dxa"/>
              <w:right w:w="80" w:type="dxa"/>
            </w:tcMar>
            <w:vAlign w:val="center"/>
          </w:tcPr>
          <w:p w14:paraId="770A8655">
            <w:pPr>
              <w:jc w:val="left"/>
            </w:pPr>
            <w:r>
              <w:rPr>
                <w:rFonts w:ascii="Times New Roman" w:hAnsi="Times New Roman" w:eastAsia="??"/>
                <w:b w:val="0"/>
                <w:i w:val="0"/>
                <w:sz w:val="18"/>
              </w:rPr>
              <w:t>二元关系，cardinality = 2</w:t>
            </w:r>
          </w:p>
        </w:tc>
      </w:tr>
      <w:tr w14:paraId="4EE046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F35A61D">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7E8D97D7">
            <w:pPr>
              <w:jc w:val="center"/>
            </w:pPr>
            <w:r>
              <w:rPr>
                <w:rFonts w:ascii="Times New Roman" w:hAnsi="Times New Roman" w:eastAsia="??"/>
                <w:b w:val="0"/>
                <w:i w:val="0"/>
                <w:sz w:val="18"/>
              </w:rPr>
              <w:t>2715</w:t>
            </w:r>
          </w:p>
        </w:tc>
        <w:tc>
          <w:tcPr>
            <w:tcW w:w="4592" w:type="dxa"/>
            <w:tcMar>
              <w:top w:w="80" w:type="dxa"/>
              <w:left w:w="80" w:type="dxa"/>
              <w:bottom w:w="80" w:type="dxa"/>
              <w:right w:w="80" w:type="dxa"/>
            </w:tcMar>
            <w:vAlign w:val="center"/>
          </w:tcPr>
          <w:p w14:paraId="7451934C">
            <w:pPr>
              <w:jc w:val="left"/>
            </w:pPr>
            <w:r>
              <w:rPr>
                <w:rFonts w:ascii="Times New Roman" w:hAnsi="Times New Roman" w:eastAsia="??"/>
                <w:b w:val="0"/>
                <w:i w:val="0"/>
                <w:sz w:val="18"/>
              </w:rPr>
              <w:t>三元及以上关系，cardinality ≥ 3</w:t>
            </w:r>
          </w:p>
        </w:tc>
      </w:tr>
    </w:tbl>
    <w:p w14:paraId="24D6D7F3"/>
    <w:p w14:paraId="290CCF9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从领域知识特点来看，液流电池文献中的知识组织并非围绕抽象"材料"概念展开，而是围绕"体系—活性物种/电解液—膜/电极—操作条件—性能指标—衰减机制"等实验事实单元展开。液流电池研究表现出"多变量组合驱动"特征：电池性能（库仑效率CE、电压效率VE、能量效率EE）取决于电解液组成、电极材料、膜材料、电流密度、温度等多个实验条件的协同作用。单一材料或工艺参数只有在特定体系-条件组合下才有意义，这为检验超图结构对"条件-结果"信息的保留能力提供了测试场景。而超图能够将这些实体组织到同一高阶关系中，从而更完整地保留化工实验条件共同成立的语义，这也是二元关系难以表达的部分。</w:t>
      </w:r>
    </w:p>
    <w:p w14:paraId="58022DBB">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需要指出的是，当前</w:t>
      </w:r>
      <w:r>
        <w:rPr>
          <w:rFonts w:hint="eastAsia"/>
          <w:b w:val="0"/>
          <w:i w:val="0"/>
          <w:sz w:val="21"/>
          <w:lang w:val="en-US" w:eastAsia="zh-CN"/>
        </w:rPr>
        <w:t>液流电池</w:t>
      </w:r>
      <w:r>
        <w:rPr>
          <w:rFonts w:ascii="Times New Roman" w:hAnsi="Times New Roman" w:eastAsia="宋体"/>
          <w:b w:val="0"/>
          <w:i w:val="0"/>
          <w:sz w:val="21"/>
        </w:rPr>
        <w:t>案例仅基于已完成嵌入的</w:t>
      </w:r>
      <w:r>
        <w:rPr>
          <w:rFonts w:hint="eastAsia"/>
          <w:b w:val="0"/>
          <w:i w:val="0"/>
          <w:sz w:val="21"/>
          <w:lang w:val="en-US" w:eastAsia="zh-CN"/>
        </w:rPr>
        <w:t>50</w:t>
      </w:r>
      <w:r>
        <w:rPr>
          <w:rFonts w:ascii="Times New Roman" w:hAnsi="Times New Roman" w:eastAsia="宋体"/>
          <w:b w:val="0"/>
          <w:i w:val="0"/>
          <w:sz w:val="21"/>
        </w:rPr>
        <w:t>篇文献。因此，本节不将后续问答结果解释为对</w:t>
      </w:r>
      <w:r>
        <w:rPr>
          <w:rFonts w:hint="eastAsia"/>
          <w:b w:val="0"/>
          <w:i w:val="0"/>
          <w:sz w:val="21"/>
          <w:lang w:val="en-US" w:eastAsia="zh-CN"/>
        </w:rPr>
        <w:t>液流电池</w:t>
      </w:r>
      <w:r>
        <w:rPr>
          <w:rFonts w:ascii="Times New Roman" w:hAnsi="Times New Roman" w:eastAsia="宋体"/>
          <w:b w:val="0"/>
          <w:i w:val="0"/>
          <w:sz w:val="21"/>
        </w:rPr>
        <w:t>领域的全面综述结论，而将其作为知识结构对检索增强效果影响的子集验证。</w:t>
      </w:r>
    </w:p>
    <w:p w14:paraId="438B8B48">
      <w:pPr>
        <w:keepNext w:val="0"/>
        <w:spacing w:before="0" w:after="60" w:line="240" w:lineRule="auto"/>
        <w:ind w:firstLine="420"/>
        <w:jc w:val="both"/>
      </w:pPr>
      <w:r>
        <w:rPr>
          <w:rFonts w:ascii="Times New Roman" w:hAnsi="Times New Roman" w:eastAsia="宋体"/>
          <w:sz w:val="21"/>
        </w:rPr>
        <w:t>为后续对比实验的开展，两套RAG系统共享相同的实体节点集，但关系表示方式存在本质差异：Hyper-ChE保留了一条超边同时关联多个实体的能力，而Graph-RAG将高阶关系投影为若干二元边。这一差异将在后续问答实验中导致检索质量分化。</w:t>
      </w:r>
    </w:p>
    <w:p w14:paraId="7503AA75">
      <w:pPr>
        <w:keepNext/>
        <w:spacing w:before="120" w:after="60" w:line="240" w:lineRule="auto"/>
        <w:jc w:val="left"/>
      </w:pPr>
      <w:r>
        <w:rPr>
          <w:rFonts w:ascii="Times New Roman" w:hAnsi="Times New Roman" w:eastAsia="黑体"/>
          <w:b/>
          <w:i w:val="0"/>
          <w:sz w:val="21"/>
        </w:rPr>
        <w:t>2.2 问答检索结果对比分析</w:t>
      </w:r>
    </w:p>
    <w:p w14:paraId="5260A55D">
      <w:pPr>
        <w:keepNext/>
        <w:spacing w:before="120" w:after="60" w:line="240" w:lineRule="auto"/>
        <w:jc w:val="left"/>
      </w:pPr>
      <w:r>
        <w:rPr>
          <w:rFonts w:ascii="Times New Roman" w:hAnsi="Times New Roman" w:eastAsia="楷体"/>
          <w:b w:val="0"/>
          <w:i w:val="0"/>
          <w:sz w:val="21"/>
        </w:rPr>
        <w:t>2.2.1 数量差异概述</w:t>
      </w:r>
    </w:p>
    <w:p w14:paraId="5447F184">
      <w:pPr>
        <w:keepNext w:val="0"/>
        <w:spacing w:before="0" w:after="60" w:line="240" w:lineRule="auto"/>
        <w:ind w:firstLine="420"/>
        <w:jc w:val="both"/>
      </w:pPr>
      <w:r>
        <w:rPr>
          <w:rFonts w:ascii="Times New Roman" w:hAnsi="Times New Roman" w:eastAsia="宋体"/>
          <w:b w:val="0"/>
          <w:sz w:val="21"/>
        </w:rPr>
        <w:t>为系统评估超图结构在专业知识检索中的优势，设计了覆盖6个难度层次的12个代表性问题（编号Q1~Q12），分别使用Hyper-ChE和Graph-RAG进行检索与回答。表3汇总了两套系统在各问题上的召回数量。</w:t>
      </w:r>
    </w:p>
    <w:p w14:paraId="7F6C5223">
      <w:pPr>
        <w:keepNext w:val="0"/>
        <w:spacing w:before="120" w:after="60" w:line="240" w:lineRule="auto"/>
        <w:jc w:val="center"/>
      </w:pPr>
      <w:r>
        <w:rPr>
          <w:rFonts w:ascii="Times New Roman" w:hAnsi="Times New Roman" w:eastAsia="宋体"/>
          <w:sz w:val="19"/>
        </w:rPr>
        <w:t>表3 液流电池案例中Graph-RAG与Hyper-ChE检索数量对比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2EF3F88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5E3D7799">
            <w:pPr>
              <w:jc w:val="center"/>
            </w:pPr>
            <w:r>
              <w:rPr>
                <w:rFonts w:ascii="Times New Roman" w:hAnsi="Times New Roman" w:eastAsia="??"/>
                <w:b/>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1FDC34BF">
            <w:pPr>
              <w:jc w:val="center"/>
            </w:pPr>
            <w:r>
              <w:rPr>
                <w:rFonts w:ascii="Times New Roman" w:hAnsi="Times New Roman" w:eastAsia="??"/>
                <w:b/>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1712FBD7">
            <w:pPr>
              <w:jc w:val="center"/>
            </w:pPr>
            <w:r>
              <w:rPr>
                <w:rFonts w:ascii="Times New Roman" w:hAnsi="Times New Roman" w:eastAsia="??"/>
                <w:b/>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E44CF84">
            <w:pPr>
              <w:jc w:val="center"/>
            </w:pPr>
            <w:r>
              <w:rPr>
                <w:rFonts w:ascii="Times New Roman" w:hAnsi="Times New Roman" w:eastAsia="??"/>
                <w:b/>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B60F68F">
            <w:pPr>
              <w:jc w:val="center"/>
            </w:pPr>
            <w:r>
              <w:rPr>
                <w:rFonts w:ascii="Times New Roman" w:hAnsi="Times New Roman" w:eastAsia="??"/>
                <w:b/>
                <w:sz w:val="19"/>
              </w:rPr>
              <w:t>主要差异</w:t>
            </w:r>
          </w:p>
        </w:tc>
      </w:tr>
      <w:tr w14:paraId="6EC56C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B409836">
            <w:pPr>
              <w:jc w:val="center"/>
            </w:pPr>
            <w:r>
              <w:rPr>
                <w:rFonts w:ascii="Times New Roman" w:hAnsi="Times New Roman" w:eastAsia="??"/>
                <w:b w:val="0"/>
                <w:sz w:val="18"/>
              </w:rPr>
              <w:t>Q1</w:t>
            </w:r>
          </w:p>
        </w:tc>
        <w:tc>
          <w:tcPr>
            <w:tcW w:w="1247" w:type="dxa"/>
            <w:tcMar>
              <w:top w:w="80" w:type="dxa"/>
              <w:left w:w="80" w:type="dxa"/>
              <w:bottom w:w="80" w:type="dxa"/>
              <w:right w:w="80" w:type="dxa"/>
            </w:tcMar>
            <w:vAlign w:val="center"/>
          </w:tcPr>
          <w:p w14:paraId="2EEC21E7">
            <w:pPr>
              <w:jc w:val="center"/>
            </w:pPr>
            <w:r>
              <w:rPr>
                <w:rFonts w:ascii="Times New Roman" w:hAnsi="Times New Roman" w:eastAsia="??"/>
                <w:b w:val="0"/>
                <w:sz w:val="18"/>
              </w:rPr>
              <w:t>语料总览</w:t>
            </w:r>
          </w:p>
        </w:tc>
        <w:tc>
          <w:tcPr>
            <w:tcW w:w="1474" w:type="dxa"/>
            <w:tcMar>
              <w:top w:w="80" w:type="dxa"/>
              <w:left w:w="80" w:type="dxa"/>
              <w:bottom w:w="80" w:type="dxa"/>
              <w:right w:w="80" w:type="dxa"/>
            </w:tcMar>
            <w:vAlign w:val="center"/>
          </w:tcPr>
          <w:p w14:paraId="47CF5DB9">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4228C676">
            <w:pPr>
              <w:jc w:val="center"/>
            </w:pPr>
            <w:r>
              <w:rPr>
                <w:rFonts w:ascii="Times New Roman" w:hAnsi="Times New Roman" w:eastAsia="??"/>
                <w:b w:val="0"/>
                <w:sz w:val="18"/>
              </w:rPr>
              <w:t>50边/1实体</w:t>
            </w:r>
          </w:p>
        </w:tc>
        <w:tc>
          <w:tcPr>
            <w:tcW w:w="2891" w:type="dxa"/>
            <w:tcMar>
              <w:top w:w="80" w:type="dxa"/>
              <w:left w:w="80" w:type="dxa"/>
              <w:bottom w:w="80" w:type="dxa"/>
              <w:right w:w="80" w:type="dxa"/>
            </w:tcMar>
            <w:vAlign w:val="center"/>
          </w:tcPr>
          <w:p w14:paraId="293BB106">
            <w:pPr>
              <w:jc w:val="left"/>
            </w:pPr>
            <w:r>
              <w:rPr>
                <w:rFonts w:ascii="Times New Roman" w:hAnsi="Times New Roman" w:eastAsia="??"/>
                <w:b w:val="0"/>
                <w:sz w:val="18"/>
              </w:rPr>
              <w:t>Hyper-RAG覆盖体系、材料和条件组合更完整</w:t>
            </w:r>
          </w:p>
        </w:tc>
      </w:tr>
      <w:tr w14:paraId="4CFB2A4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F77F562">
            <w:pPr>
              <w:jc w:val="center"/>
            </w:pPr>
            <w:r>
              <w:rPr>
                <w:rFonts w:ascii="Times New Roman" w:hAnsi="Times New Roman" w:eastAsia="??"/>
                <w:b w:val="0"/>
                <w:sz w:val="18"/>
              </w:rPr>
              <w:t>Q2</w:t>
            </w:r>
          </w:p>
        </w:tc>
        <w:tc>
          <w:tcPr>
            <w:tcW w:w="1247" w:type="dxa"/>
            <w:tcMar>
              <w:top w:w="80" w:type="dxa"/>
              <w:left w:w="80" w:type="dxa"/>
              <w:bottom w:w="80" w:type="dxa"/>
              <w:right w:w="80" w:type="dxa"/>
            </w:tcMar>
            <w:vAlign w:val="center"/>
          </w:tcPr>
          <w:p w14:paraId="6AA9541E">
            <w:pPr>
              <w:jc w:val="center"/>
            </w:pPr>
            <w:r>
              <w:rPr>
                <w:rFonts w:ascii="Times New Roman" w:hAnsi="Times New Roman" w:eastAsia="??"/>
                <w:b w:val="0"/>
                <w:sz w:val="18"/>
              </w:rPr>
              <w:t>电极改性</w:t>
            </w:r>
          </w:p>
        </w:tc>
        <w:tc>
          <w:tcPr>
            <w:tcW w:w="1474" w:type="dxa"/>
            <w:tcMar>
              <w:top w:w="80" w:type="dxa"/>
              <w:left w:w="80" w:type="dxa"/>
              <w:bottom w:w="80" w:type="dxa"/>
              <w:right w:w="80" w:type="dxa"/>
            </w:tcMar>
            <w:vAlign w:val="center"/>
          </w:tcPr>
          <w:p w14:paraId="0920A40A">
            <w:pPr>
              <w:jc w:val="center"/>
            </w:pPr>
            <w:r>
              <w:rPr>
                <w:rFonts w:ascii="Times New Roman" w:hAnsi="Times New Roman" w:eastAsia="??"/>
                <w:b w:val="0"/>
                <w:sz w:val="18"/>
              </w:rPr>
              <w:t>100超边/60实体</w:t>
            </w:r>
          </w:p>
        </w:tc>
        <w:tc>
          <w:tcPr>
            <w:tcW w:w="1304" w:type="dxa"/>
            <w:tcMar>
              <w:top w:w="80" w:type="dxa"/>
              <w:left w:w="80" w:type="dxa"/>
              <w:bottom w:w="80" w:type="dxa"/>
              <w:right w:w="80" w:type="dxa"/>
            </w:tcMar>
            <w:vAlign w:val="center"/>
          </w:tcPr>
          <w:p w14:paraId="736854D6">
            <w:pPr>
              <w:jc w:val="center"/>
            </w:pPr>
            <w:r>
              <w:rPr>
                <w:rFonts w:ascii="Times New Roman" w:hAnsi="Times New Roman" w:eastAsia="??"/>
                <w:b w:val="0"/>
                <w:sz w:val="18"/>
              </w:rPr>
              <w:t>41边/—</w:t>
            </w:r>
          </w:p>
        </w:tc>
        <w:tc>
          <w:tcPr>
            <w:tcW w:w="2891" w:type="dxa"/>
            <w:tcMar>
              <w:top w:w="80" w:type="dxa"/>
              <w:left w:w="80" w:type="dxa"/>
              <w:bottom w:w="80" w:type="dxa"/>
              <w:right w:w="80" w:type="dxa"/>
            </w:tcMar>
            <w:vAlign w:val="center"/>
          </w:tcPr>
          <w:p w14:paraId="440D90F3">
            <w:pPr>
              <w:jc w:val="left"/>
            </w:pPr>
            <w:r>
              <w:rPr>
                <w:rFonts w:ascii="Times New Roman" w:hAnsi="Times New Roman" w:eastAsia="??"/>
                <w:b w:val="0"/>
                <w:sz w:val="18"/>
              </w:rPr>
              <w:t>Hyper-RAG更能组织改性方式与性能指标</w:t>
            </w:r>
          </w:p>
        </w:tc>
      </w:tr>
      <w:tr w14:paraId="7D3889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D176C64">
            <w:pPr>
              <w:jc w:val="center"/>
            </w:pPr>
            <w:r>
              <w:rPr>
                <w:rFonts w:ascii="Times New Roman" w:hAnsi="Times New Roman" w:eastAsia="??"/>
                <w:b w:val="0"/>
                <w:sz w:val="18"/>
              </w:rPr>
              <w:t>Q3</w:t>
            </w:r>
          </w:p>
        </w:tc>
        <w:tc>
          <w:tcPr>
            <w:tcW w:w="1247" w:type="dxa"/>
            <w:tcMar>
              <w:top w:w="80" w:type="dxa"/>
              <w:left w:w="80" w:type="dxa"/>
              <w:bottom w:w="80" w:type="dxa"/>
              <w:right w:w="80" w:type="dxa"/>
            </w:tcMar>
            <w:vAlign w:val="center"/>
          </w:tcPr>
          <w:p w14:paraId="7F8D31D9">
            <w:pPr>
              <w:jc w:val="center"/>
            </w:pPr>
            <w:r>
              <w:rPr>
                <w:rFonts w:ascii="Times New Roman" w:hAnsi="Times New Roman" w:eastAsia="??"/>
                <w:b w:val="0"/>
                <w:sz w:val="18"/>
              </w:rPr>
              <w:t>电解液角色</w:t>
            </w:r>
          </w:p>
        </w:tc>
        <w:tc>
          <w:tcPr>
            <w:tcW w:w="1474" w:type="dxa"/>
            <w:tcMar>
              <w:top w:w="80" w:type="dxa"/>
              <w:left w:w="80" w:type="dxa"/>
              <w:bottom w:w="80" w:type="dxa"/>
              <w:right w:w="80" w:type="dxa"/>
            </w:tcMar>
            <w:vAlign w:val="center"/>
          </w:tcPr>
          <w:p w14:paraId="33D70164">
            <w:pPr>
              <w:jc w:val="center"/>
            </w:pPr>
            <w:r>
              <w:rPr>
                <w:rFonts w:ascii="Times New Roman" w:hAnsi="Times New Roman" w:eastAsia="??"/>
                <w:b w:val="0"/>
                <w:sz w:val="18"/>
              </w:rPr>
              <w:t>92超边/61实体</w:t>
            </w:r>
          </w:p>
        </w:tc>
        <w:tc>
          <w:tcPr>
            <w:tcW w:w="1304" w:type="dxa"/>
            <w:tcMar>
              <w:top w:w="80" w:type="dxa"/>
              <w:left w:w="80" w:type="dxa"/>
              <w:bottom w:w="80" w:type="dxa"/>
              <w:right w:w="80" w:type="dxa"/>
            </w:tcMar>
            <w:vAlign w:val="center"/>
          </w:tcPr>
          <w:p w14:paraId="2E81B6A3">
            <w:pPr>
              <w:jc w:val="center"/>
            </w:pPr>
            <w:r>
              <w:rPr>
                <w:rFonts w:ascii="Times New Roman" w:hAnsi="Times New Roman" w:eastAsia="??"/>
                <w:b w:val="0"/>
                <w:sz w:val="18"/>
              </w:rPr>
              <w:t>43边/1实体</w:t>
            </w:r>
          </w:p>
        </w:tc>
        <w:tc>
          <w:tcPr>
            <w:tcW w:w="2891" w:type="dxa"/>
            <w:tcMar>
              <w:top w:w="80" w:type="dxa"/>
              <w:left w:w="80" w:type="dxa"/>
              <w:bottom w:w="80" w:type="dxa"/>
              <w:right w:w="80" w:type="dxa"/>
            </w:tcMar>
            <w:vAlign w:val="center"/>
          </w:tcPr>
          <w:p w14:paraId="5FC3A4D5">
            <w:pPr>
              <w:jc w:val="left"/>
            </w:pPr>
            <w:r>
              <w:rPr>
                <w:rFonts w:ascii="Times New Roman" w:hAnsi="Times New Roman" w:eastAsia="??"/>
                <w:b w:val="0"/>
                <w:sz w:val="18"/>
              </w:rPr>
              <w:t>Hyper-RAG更能区分活性物种、支持电解质和添加剂环境</w:t>
            </w:r>
          </w:p>
        </w:tc>
      </w:tr>
      <w:tr w14:paraId="5E0DDFE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57931FD">
            <w:pPr>
              <w:jc w:val="center"/>
            </w:pPr>
            <w:r>
              <w:rPr>
                <w:rFonts w:ascii="Times New Roman" w:hAnsi="Times New Roman" w:eastAsia="??"/>
                <w:b w:val="0"/>
                <w:sz w:val="18"/>
              </w:rPr>
              <w:t>Q4</w:t>
            </w:r>
          </w:p>
        </w:tc>
        <w:tc>
          <w:tcPr>
            <w:tcW w:w="1247" w:type="dxa"/>
            <w:tcMar>
              <w:top w:w="80" w:type="dxa"/>
              <w:left w:w="80" w:type="dxa"/>
              <w:bottom w:w="80" w:type="dxa"/>
              <w:right w:w="80" w:type="dxa"/>
            </w:tcMar>
            <w:vAlign w:val="center"/>
          </w:tcPr>
          <w:p w14:paraId="03763DD5">
            <w:pPr>
              <w:jc w:val="center"/>
            </w:pPr>
            <w:r>
              <w:rPr>
                <w:rFonts w:ascii="Times New Roman" w:hAnsi="Times New Roman" w:eastAsia="??"/>
                <w:b w:val="0"/>
                <w:sz w:val="18"/>
              </w:rPr>
              <w:t>高电流密度条件</w:t>
            </w:r>
          </w:p>
        </w:tc>
        <w:tc>
          <w:tcPr>
            <w:tcW w:w="1474" w:type="dxa"/>
            <w:tcMar>
              <w:top w:w="80" w:type="dxa"/>
              <w:left w:w="80" w:type="dxa"/>
              <w:bottom w:w="80" w:type="dxa"/>
              <w:right w:w="80" w:type="dxa"/>
            </w:tcMar>
            <w:vAlign w:val="center"/>
          </w:tcPr>
          <w:p w14:paraId="7C832586">
            <w:pPr>
              <w:jc w:val="center"/>
            </w:pPr>
            <w:r>
              <w:rPr>
                <w:rFonts w:ascii="Times New Roman" w:hAnsi="Times New Roman" w:eastAsia="??"/>
                <w:b w:val="0"/>
                <w:sz w:val="18"/>
              </w:rPr>
              <w:t>88超边/61实体</w:t>
            </w:r>
          </w:p>
        </w:tc>
        <w:tc>
          <w:tcPr>
            <w:tcW w:w="1304" w:type="dxa"/>
            <w:tcMar>
              <w:top w:w="80" w:type="dxa"/>
              <w:left w:w="80" w:type="dxa"/>
              <w:bottom w:w="80" w:type="dxa"/>
              <w:right w:w="80" w:type="dxa"/>
            </w:tcMar>
            <w:vAlign w:val="center"/>
          </w:tcPr>
          <w:p w14:paraId="68DCAA68">
            <w:pPr>
              <w:jc w:val="center"/>
            </w:pPr>
            <w:r>
              <w:rPr>
                <w:rFonts w:ascii="Times New Roman" w:hAnsi="Times New Roman" w:eastAsia="??"/>
                <w:b w:val="0"/>
                <w:sz w:val="18"/>
              </w:rPr>
              <w:t>48边/1实体</w:t>
            </w:r>
          </w:p>
        </w:tc>
        <w:tc>
          <w:tcPr>
            <w:tcW w:w="2891" w:type="dxa"/>
            <w:tcMar>
              <w:top w:w="80" w:type="dxa"/>
              <w:left w:w="80" w:type="dxa"/>
              <w:bottom w:w="80" w:type="dxa"/>
              <w:right w:w="80" w:type="dxa"/>
            </w:tcMar>
            <w:vAlign w:val="center"/>
          </w:tcPr>
          <w:p w14:paraId="01BC7854">
            <w:pPr>
              <w:jc w:val="left"/>
            </w:pPr>
            <w:r>
              <w:rPr>
                <w:rFonts w:ascii="Times New Roman" w:hAnsi="Times New Roman" w:eastAsia="??"/>
                <w:b w:val="0"/>
                <w:sz w:val="18"/>
              </w:rPr>
              <w:t>Hyper-RAG保留体系-材料-电流密度-效率组合</w:t>
            </w:r>
          </w:p>
        </w:tc>
      </w:tr>
      <w:tr w14:paraId="0566482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0B6A6A2">
            <w:pPr>
              <w:jc w:val="center"/>
            </w:pPr>
            <w:r>
              <w:rPr>
                <w:rFonts w:ascii="Times New Roman" w:hAnsi="Times New Roman" w:eastAsia="??"/>
                <w:b w:val="0"/>
                <w:sz w:val="18"/>
              </w:rPr>
              <w:t>Q5</w:t>
            </w:r>
          </w:p>
        </w:tc>
        <w:tc>
          <w:tcPr>
            <w:tcW w:w="1247" w:type="dxa"/>
            <w:tcMar>
              <w:top w:w="80" w:type="dxa"/>
              <w:left w:w="80" w:type="dxa"/>
              <w:bottom w:w="80" w:type="dxa"/>
              <w:right w:w="80" w:type="dxa"/>
            </w:tcMar>
            <w:vAlign w:val="center"/>
          </w:tcPr>
          <w:p w14:paraId="669160F7">
            <w:pPr>
              <w:jc w:val="center"/>
            </w:pPr>
            <w:r>
              <w:rPr>
                <w:rFonts w:ascii="Times New Roman" w:hAnsi="Times New Roman" w:eastAsia="??"/>
                <w:b w:val="0"/>
                <w:sz w:val="18"/>
              </w:rPr>
              <w:t>VRFB变量影响</w:t>
            </w:r>
          </w:p>
        </w:tc>
        <w:tc>
          <w:tcPr>
            <w:tcW w:w="1474" w:type="dxa"/>
            <w:tcMar>
              <w:top w:w="80" w:type="dxa"/>
              <w:left w:w="80" w:type="dxa"/>
              <w:bottom w:w="80" w:type="dxa"/>
              <w:right w:w="80" w:type="dxa"/>
            </w:tcMar>
            <w:vAlign w:val="center"/>
          </w:tcPr>
          <w:p w14:paraId="610F4941">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323E4BD9">
            <w:pPr>
              <w:jc w:val="center"/>
            </w:pPr>
            <w:r>
              <w:rPr>
                <w:rFonts w:ascii="Times New Roman" w:hAnsi="Times New Roman" w:eastAsia="??"/>
                <w:b w:val="0"/>
                <w:sz w:val="18"/>
              </w:rPr>
              <w:t>48边/7实体</w:t>
            </w:r>
          </w:p>
        </w:tc>
        <w:tc>
          <w:tcPr>
            <w:tcW w:w="2891" w:type="dxa"/>
            <w:tcMar>
              <w:top w:w="80" w:type="dxa"/>
              <w:left w:w="80" w:type="dxa"/>
              <w:bottom w:w="80" w:type="dxa"/>
              <w:right w:w="80" w:type="dxa"/>
            </w:tcMar>
            <w:vAlign w:val="center"/>
          </w:tcPr>
          <w:p w14:paraId="7C0C1BB4">
            <w:pPr>
              <w:jc w:val="left"/>
            </w:pPr>
            <w:r>
              <w:rPr>
                <w:rFonts w:ascii="Times New Roman" w:hAnsi="Times New Roman" w:eastAsia="??"/>
                <w:b w:val="0"/>
                <w:sz w:val="18"/>
              </w:rPr>
              <w:t>Hyper-RAG更能连接浓度、温度、电流密度与性能结果</w:t>
            </w:r>
          </w:p>
        </w:tc>
      </w:tr>
      <w:tr w14:paraId="608D34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69D59D4">
            <w:pPr>
              <w:jc w:val="center"/>
            </w:pPr>
            <w:r>
              <w:rPr>
                <w:rFonts w:ascii="Times New Roman" w:hAnsi="Times New Roman" w:eastAsia="??"/>
                <w:b w:val="0"/>
                <w:sz w:val="18"/>
              </w:rPr>
              <w:t>Q6</w:t>
            </w:r>
          </w:p>
        </w:tc>
        <w:tc>
          <w:tcPr>
            <w:tcW w:w="1247" w:type="dxa"/>
            <w:tcMar>
              <w:top w:w="80" w:type="dxa"/>
              <w:left w:w="80" w:type="dxa"/>
              <w:bottom w:w="80" w:type="dxa"/>
              <w:right w:w="80" w:type="dxa"/>
            </w:tcMar>
            <w:vAlign w:val="center"/>
          </w:tcPr>
          <w:p w14:paraId="29458C91">
            <w:pPr>
              <w:jc w:val="center"/>
            </w:pPr>
            <w:r>
              <w:rPr>
                <w:rFonts w:ascii="Times New Roman" w:hAnsi="Times New Roman" w:eastAsia="??"/>
                <w:b w:val="0"/>
                <w:sz w:val="18"/>
              </w:rPr>
              <w:t>ICRFB添加剂机制</w:t>
            </w:r>
          </w:p>
        </w:tc>
        <w:tc>
          <w:tcPr>
            <w:tcW w:w="1474" w:type="dxa"/>
            <w:tcMar>
              <w:top w:w="80" w:type="dxa"/>
              <w:left w:w="80" w:type="dxa"/>
              <w:bottom w:w="80" w:type="dxa"/>
              <w:right w:w="80" w:type="dxa"/>
            </w:tcMar>
            <w:vAlign w:val="center"/>
          </w:tcPr>
          <w:p w14:paraId="10F20B6A">
            <w:pPr>
              <w:jc w:val="center"/>
            </w:pPr>
            <w:r>
              <w:rPr>
                <w:rFonts w:ascii="Times New Roman" w:hAnsi="Times New Roman" w:eastAsia="??"/>
                <w:b w:val="0"/>
                <w:sz w:val="18"/>
              </w:rPr>
              <w:t>99超边/62实体</w:t>
            </w:r>
          </w:p>
        </w:tc>
        <w:tc>
          <w:tcPr>
            <w:tcW w:w="1304" w:type="dxa"/>
            <w:tcMar>
              <w:top w:w="80" w:type="dxa"/>
              <w:left w:w="80" w:type="dxa"/>
              <w:bottom w:w="80" w:type="dxa"/>
              <w:right w:w="80" w:type="dxa"/>
            </w:tcMar>
            <w:vAlign w:val="center"/>
          </w:tcPr>
          <w:p w14:paraId="232477BF">
            <w:pPr>
              <w:jc w:val="center"/>
            </w:pPr>
            <w:r>
              <w:rPr>
                <w:rFonts w:ascii="Times New Roman" w:hAnsi="Times New Roman" w:eastAsia="??"/>
                <w:b w:val="0"/>
                <w:sz w:val="18"/>
              </w:rPr>
              <w:t>50边/4实体</w:t>
            </w:r>
          </w:p>
        </w:tc>
        <w:tc>
          <w:tcPr>
            <w:tcW w:w="2891" w:type="dxa"/>
            <w:tcMar>
              <w:top w:w="80" w:type="dxa"/>
              <w:left w:w="80" w:type="dxa"/>
              <w:bottom w:w="80" w:type="dxa"/>
              <w:right w:w="80" w:type="dxa"/>
            </w:tcMar>
            <w:vAlign w:val="center"/>
          </w:tcPr>
          <w:p w14:paraId="20E27A1F">
            <w:pPr>
              <w:jc w:val="left"/>
            </w:pPr>
            <w:r>
              <w:rPr>
                <w:rFonts w:ascii="Times New Roman" w:hAnsi="Times New Roman" w:eastAsia="??"/>
                <w:b w:val="0"/>
                <w:sz w:val="18"/>
              </w:rPr>
              <w:t>Hyper-RAG更能组织添加剂、活性物种、HER和Cr动力学</w:t>
            </w:r>
          </w:p>
        </w:tc>
      </w:tr>
      <w:tr w14:paraId="5124DBE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75DEE57">
            <w:pPr>
              <w:jc w:val="center"/>
            </w:pPr>
            <w:r>
              <w:rPr>
                <w:rFonts w:ascii="Times New Roman" w:hAnsi="Times New Roman" w:eastAsia="??"/>
                <w:b w:val="0"/>
                <w:sz w:val="18"/>
              </w:rPr>
              <w:t>Q7</w:t>
            </w:r>
          </w:p>
        </w:tc>
        <w:tc>
          <w:tcPr>
            <w:tcW w:w="1247" w:type="dxa"/>
            <w:tcMar>
              <w:top w:w="80" w:type="dxa"/>
              <w:left w:w="80" w:type="dxa"/>
              <w:bottom w:w="80" w:type="dxa"/>
              <w:right w:w="80" w:type="dxa"/>
            </w:tcMar>
            <w:vAlign w:val="center"/>
          </w:tcPr>
          <w:p w14:paraId="33B1E88E">
            <w:pPr>
              <w:jc w:val="center"/>
            </w:pPr>
            <w:r>
              <w:rPr>
                <w:rFonts w:ascii="Times New Roman" w:hAnsi="Times New Roman" w:eastAsia="??"/>
                <w:b w:val="0"/>
                <w:sz w:val="18"/>
              </w:rPr>
              <w:t>膜材料对比</w:t>
            </w:r>
          </w:p>
        </w:tc>
        <w:tc>
          <w:tcPr>
            <w:tcW w:w="1474" w:type="dxa"/>
            <w:tcMar>
              <w:top w:w="80" w:type="dxa"/>
              <w:left w:w="80" w:type="dxa"/>
              <w:bottom w:w="80" w:type="dxa"/>
              <w:right w:w="80" w:type="dxa"/>
            </w:tcMar>
            <w:vAlign w:val="center"/>
          </w:tcPr>
          <w:p w14:paraId="4AD62FB5">
            <w:pPr>
              <w:jc w:val="center"/>
            </w:pPr>
            <w:r>
              <w:rPr>
                <w:rFonts w:ascii="Times New Roman" w:hAnsi="Times New Roman" w:eastAsia="??"/>
                <w:b w:val="0"/>
                <w:sz w:val="18"/>
              </w:rPr>
              <w:t>114超边/62实体</w:t>
            </w:r>
          </w:p>
        </w:tc>
        <w:tc>
          <w:tcPr>
            <w:tcW w:w="1304" w:type="dxa"/>
            <w:tcMar>
              <w:top w:w="80" w:type="dxa"/>
              <w:left w:w="80" w:type="dxa"/>
              <w:bottom w:w="80" w:type="dxa"/>
              <w:right w:w="80" w:type="dxa"/>
            </w:tcMar>
            <w:vAlign w:val="center"/>
          </w:tcPr>
          <w:p w14:paraId="65F37BD5">
            <w:pPr>
              <w:jc w:val="center"/>
            </w:pPr>
            <w:r>
              <w:rPr>
                <w:rFonts w:ascii="Times New Roman" w:hAnsi="Times New Roman" w:eastAsia="??"/>
                <w:b w:val="0"/>
                <w:sz w:val="18"/>
              </w:rPr>
              <w:t>51边/2实体</w:t>
            </w:r>
          </w:p>
        </w:tc>
        <w:tc>
          <w:tcPr>
            <w:tcW w:w="2891" w:type="dxa"/>
            <w:tcMar>
              <w:top w:w="80" w:type="dxa"/>
              <w:left w:w="80" w:type="dxa"/>
              <w:bottom w:w="80" w:type="dxa"/>
              <w:right w:w="80" w:type="dxa"/>
            </w:tcMar>
            <w:vAlign w:val="center"/>
          </w:tcPr>
          <w:p w14:paraId="17EB70AA">
            <w:pPr>
              <w:jc w:val="left"/>
            </w:pPr>
            <w:r>
              <w:rPr>
                <w:rFonts w:ascii="Times New Roman" w:hAnsi="Times New Roman" w:eastAsia="??"/>
                <w:b w:val="0"/>
                <w:sz w:val="18"/>
              </w:rPr>
              <w:t>Hyper-RAG更能保留crossover、传导率和效率的权衡关系</w:t>
            </w:r>
          </w:p>
        </w:tc>
      </w:tr>
      <w:tr w14:paraId="3380D24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2FC008A">
            <w:pPr>
              <w:jc w:val="center"/>
            </w:pPr>
            <w:r>
              <w:rPr>
                <w:rFonts w:ascii="Times New Roman" w:hAnsi="Times New Roman" w:eastAsia="??"/>
                <w:b w:val="0"/>
                <w:sz w:val="18"/>
              </w:rPr>
              <w:t>Q8</w:t>
            </w:r>
          </w:p>
        </w:tc>
        <w:tc>
          <w:tcPr>
            <w:tcW w:w="1247" w:type="dxa"/>
            <w:tcMar>
              <w:top w:w="80" w:type="dxa"/>
              <w:left w:w="80" w:type="dxa"/>
              <w:bottom w:w="80" w:type="dxa"/>
              <w:right w:w="80" w:type="dxa"/>
            </w:tcMar>
            <w:vAlign w:val="center"/>
          </w:tcPr>
          <w:p w14:paraId="2EBC0166">
            <w:pPr>
              <w:jc w:val="center"/>
            </w:pPr>
            <w:r>
              <w:rPr>
                <w:rFonts w:ascii="Times New Roman" w:hAnsi="Times New Roman" w:eastAsia="??"/>
                <w:b w:val="0"/>
                <w:sz w:val="18"/>
              </w:rPr>
              <w:t>碳电极对比</w:t>
            </w:r>
          </w:p>
        </w:tc>
        <w:tc>
          <w:tcPr>
            <w:tcW w:w="1474" w:type="dxa"/>
            <w:tcMar>
              <w:top w:w="80" w:type="dxa"/>
              <w:left w:w="80" w:type="dxa"/>
              <w:bottom w:w="80" w:type="dxa"/>
              <w:right w:w="80" w:type="dxa"/>
            </w:tcMar>
            <w:vAlign w:val="center"/>
          </w:tcPr>
          <w:p w14:paraId="04A1C8E0">
            <w:pPr>
              <w:jc w:val="center"/>
            </w:pPr>
            <w:r>
              <w:rPr>
                <w:rFonts w:ascii="Times New Roman" w:hAnsi="Times New Roman" w:eastAsia="??"/>
                <w:b w:val="0"/>
                <w:sz w:val="18"/>
              </w:rPr>
              <w:t>101超边/63实体</w:t>
            </w:r>
          </w:p>
        </w:tc>
        <w:tc>
          <w:tcPr>
            <w:tcW w:w="1304" w:type="dxa"/>
            <w:tcMar>
              <w:top w:w="80" w:type="dxa"/>
              <w:left w:w="80" w:type="dxa"/>
              <w:bottom w:w="80" w:type="dxa"/>
              <w:right w:w="80" w:type="dxa"/>
            </w:tcMar>
            <w:vAlign w:val="center"/>
          </w:tcPr>
          <w:p w14:paraId="369B5E26">
            <w:pPr>
              <w:jc w:val="center"/>
            </w:pPr>
            <w:r>
              <w:rPr>
                <w:rFonts w:ascii="Times New Roman" w:hAnsi="Times New Roman" w:eastAsia="??"/>
                <w:b w:val="0"/>
                <w:sz w:val="18"/>
              </w:rPr>
              <w:t>47边/5实体</w:t>
            </w:r>
          </w:p>
        </w:tc>
        <w:tc>
          <w:tcPr>
            <w:tcW w:w="2891" w:type="dxa"/>
            <w:tcMar>
              <w:top w:w="80" w:type="dxa"/>
              <w:left w:w="80" w:type="dxa"/>
              <w:bottom w:w="80" w:type="dxa"/>
              <w:right w:w="80" w:type="dxa"/>
            </w:tcMar>
            <w:vAlign w:val="center"/>
          </w:tcPr>
          <w:p w14:paraId="37D6824A">
            <w:pPr>
              <w:jc w:val="left"/>
            </w:pPr>
            <w:r>
              <w:rPr>
                <w:rFonts w:ascii="Times New Roman" w:hAnsi="Times New Roman" w:eastAsia="??"/>
                <w:b w:val="0"/>
                <w:sz w:val="18"/>
              </w:rPr>
              <w:t>Hyper-RAG更能关联电极结构、润湿性和倍率性能</w:t>
            </w:r>
          </w:p>
        </w:tc>
      </w:tr>
      <w:tr w14:paraId="31706CF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6DA644C8">
            <w:pPr>
              <w:jc w:val="center"/>
            </w:pPr>
            <w:r>
              <w:rPr>
                <w:rFonts w:ascii="Times New Roman" w:hAnsi="Times New Roman" w:eastAsia="??"/>
                <w:b w:val="0"/>
                <w:sz w:val="18"/>
              </w:rPr>
              <w:t>Q9</w:t>
            </w:r>
          </w:p>
        </w:tc>
        <w:tc>
          <w:tcPr>
            <w:tcW w:w="1247" w:type="dxa"/>
            <w:tcMar>
              <w:top w:w="80" w:type="dxa"/>
              <w:left w:w="80" w:type="dxa"/>
              <w:bottom w:w="80" w:type="dxa"/>
              <w:right w:w="80" w:type="dxa"/>
            </w:tcMar>
            <w:vAlign w:val="center"/>
          </w:tcPr>
          <w:p w14:paraId="10B20A0C">
            <w:pPr>
              <w:jc w:val="center"/>
            </w:pPr>
            <w:r>
              <w:rPr>
                <w:rFonts w:ascii="Times New Roman" w:hAnsi="Times New Roman" w:eastAsia="??"/>
                <w:b w:val="0"/>
                <w:sz w:val="18"/>
              </w:rPr>
              <w:t>锌基枝晶机制</w:t>
            </w:r>
          </w:p>
        </w:tc>
        <w:tc>
          <w:tcPr>
            <w:tcW w:w="1474" w:type="dxa"/>
            <w:tcMar>
              <w:top w:w="80" w:type="dxa"/>
              <w:left w:w="80" w:type="dxa"/>
              <w:bottom w:w="80" w:type="dxa"/>
              <w:right w:w="80" w:type="dxa"/>
            </w:tcMar>
            <w:vAlign w:val="center"/>
          </w:tcPr>
          <w:p w14:paraId="725F2A75">
            <w:pPr>
              <w:jc w:val="center"/>
            </w:pPr>
            <w:r>
              <w:rPr>
                <w:rFonts w:ascii="Times New Roman" w:hAnsi="Times New Roman" w:eastAsia="??"/>
                <w:b w:val="0"/>
                <w:sz w:val="18"/>
              </w:rPr>
              <w:t>≥99超边/66实体</w:t>
            </w:r>
          </w:p>
        </w:tc>
        <w:tc>
          <w:tcPr>
            <w:tcW w:w="1304" w:type="dxa"/>
            <w:tcMar>
              <w:top w:w="80" w:type="dxa"/>
              <w:left w:w="80" w:type="dxa"/>
              <w:bottom w:w="80" w:type="dxa"/>
              <w:right w:w="80" w:type="dxa"/>
            </w:tcMar>
            <w:vAlign w:val="center"/>
          </w:tcPr>
          <w:p w14:paraId="256CAE52">
            <w:pPr>
              <w:jc w:val="center"/>
            </w:pPr>
            <w:r>
              <w:rPr>
                <w:rFonts w:ascii="Times New Roman" w:hAnsi="Times New Roman" w:eastAsia="??"/>
                <w:b w:val="0"/>
                <w:sz w:val="18"/>
              </w:rPr>
              <w:t>39边/—</w:t>
            </w:r>
          </w:p>
        </w:tc>
        <w:tc>
          <w:tcPr>
            <w:tcW w:w="2891" w:type="dxa"/>
            <w:tcMar>
              <w:top w:w="80" w:type="dxa"/>
              <w:left w:w="80" w:type="dxa"/>
              <w:bottom w:w="80" w:type="dxa"/>
              <w:right w:w="80" w:type="dxa"/>
            </w:tcMar>
            <w:vAlign w:val="center"/>
          </w:tcPr>
          <w:p w14:paraId="5D1F02A6">
            <w:pPr>
              <w:jc w:val="left"/>
            </w:pPr>
            <w:r>
              <w:rPr>
                <w:rFonts w:ascii="Times New Roman" w:hAnsi="Times New Roman" w:eastAsia="??"/>
                <w:b w:val="0"/>
                <w:sz w:val="18"/>
              </w:rPr>
              <w:t>Hyper-RAG对枝晶、形貌、添加剂和循环稳定性覆盖更完整</w:t>
            </w:r>
          </w:p>
        </w:tc>
      </w:tr>
      <w:tr w14:paraId="4F8BB1C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EA3DE6F">
            <w:pPr>
              <w:jc w:val="center"/>
            </w:pPr>
            <w:r>
              <w:rPr>
                <w:rFonts w:ascii="Times New Roman" w:hAnsi="Times New Roman" w:eastAsia="??"/>
                <w:b w:val="0"/>
                <w:sz w:val="18"/>
              </w:rPr>
              <w:t>Q10</w:t>
            </w:r>
          </w:p>
        </w:tc>
        <w:tc>
          <w:tcPr>
            <w:tcW w:w="1247" w:type="dxa"/>
            <w:tcMar>
              <w:top w:w="80" w:type="dxa"/>
              <w:left w:w="80" w:type="dxa"/>
              <w:bottom w:w="80" w:type="dxa"/>
              <w:right w:w="80" w:type="dxa"/>
            </w:tcMar>
            <w:vAlign w:val="center"/>
          </w:tcPr>
          <w:p w14:paraId="274A392D">
            <w:pPr>
              <w:jc w:val="center"/>
            </w:pPr>
            <w:r>
              <w:rPr>
                <w:rFonts w:ascii="Times New Roman" w:hAnsi="Times New Roman" w:eastAsia="??"/>
                <w:b w:val="0"/>
                <w:sz w:val="18"/>
              </w:rPr>
              <w:t>可溶铅衰减</w:t>
            </w:r>
          </w:p>
        </w:tc>
        <w:tc>
          <w:tcPr>
            <w:tcW w:w="1474" w:type="dxa"/>
            <w:tcMar>
              <w:top w:w="80" w:type="dxa"/>
              <w:left w:w="80" w:type="dxa"/>
              <w:bottom w:w="80" w:type="dxa"/>
              <w:right w:w="80" w:type="dxa"/>
            </w:tcMar>
            <w:vAlign w:val="center"/>
          </w:tcPr>
          <w:p w14:paraId="24446962">
            <w:pPr>
              <w:jc w:val="center"/>
            </w:pPr>
            <w:r>
              <w:rPr>
                <w:rFonts w:ascii="Times New Roman" w:hAnsi="Times New Roman" w:eastAsia="??"/>
                <w:b w:val="0"/>
                <w:sz w:val="18"/>
              </w:rPr>
              <w:t>105超边/63实体</w:t>
            </w:r>
          </w:p>
        </w:tc>
        <w:tc>
          <w:tcPr>
            <w:tcW w:w="1304" w:type="dxa"/>
            <w:tcMar>
              <w:top w:w="80" w:type="dxa"/>
              <w:left w:w="80" w:type="dxa"/>
              <w:bottom w:w="80" w:type="dxa"/>
              <w:right w:w="80" w:type="dxa"/>
            </w:tcMar>
            <w:vAlign w:val="center"/>
          </w:tcPr>
          <w:p w14:paraId="13576B88">
            <w:pPr>
              <w:jc w:val="center"/>
            </w:pPr>
            <w:r>
              <w:rPr>
                <w:rFonts w:ascii="Times New Roman" w:hAnsi="Times New Roman" w:eastAsia="??"/>
                <w:b w:val="0"/>
                <w:sz w:val="18"/>
              </w:rPr>
              <w:t>47边/1实体</w:t>
            </w:r>
          </w:p>
        </w:tc>
        <w:tc>
          <w:tcPr>
            <w:tcW w:w="2891" w:type="dxa"/>
            <w:tcMar>
              <w:top w:w="80" w:type="dxa"/>
              <w:left w:w="80" w:type="dxa"/>
              <w:bottom w:w="80" w:type="dxa"/>
              <w:right w:w="80" w:type="dxa"/>
            </w:tcMar>
            <w:vAlign w:val="center"/>
          </w:tcPr>
          <w:p w14:paraId="40D8BC62">
            <w:pPr>
              <w:jc w:val="left"/>
            </w:pPr>
            <w:r>
              <w:rPr>
                <w:rFonts w:ascii="Times New Roman" w:hAnsi="Times New Roman" w:eastAsia="??"/>
                <w:b w:val="0"/>
                <w:sz w:val="18"/>
              </w:rPr>
              <w:t>Hyper-RAG更能组织PbO₂钝化、副反应和寿命指标</w:t>
            </w:r>
          </w:p>
        </w:tc>
      </w:tr>
      <w:tr w14:paraId="37AAA97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5FE448">
            <w:pPr>
              <w:jc w:val="center"/>
            </w:pPr>
            <w:r>
              <w:rPr>
                <w:rFonts w:ascii="Times New Roman" w:hAnsi="Times New Roman" w:eastAsia="??"/>
                <w:b w:val="0"/>
                <w:sz w:val="18"/>
              </w:rPr>
              <w:t>Q11</w:t>
            </w:r>
          </w:p>
        </w:tc>
        <w:tc>
          <w:tcPr>
            <w:tcW w:w="1247" w:type="dxa"/>
            <w:tcMar>
              <w:top w:w="80" w:type="dxa"/>
              <w:left w:w="80" w:type="dxa"/>
              <w:bottom w:w="80" w:type="dxa"/>
              <w:right w:w="80" w:type="dxa"/>
            </w:tcMar>
            <w:vAlign w:val="center"/>
          </w:tcPr>
          <w:p w14:paraId="5F4339E5">
            <w:pPr>
              <w:jc w:val="center"/>
            </w:pPr>
            <w:r>
              <w:rPr>
                <w:rFonts w:ascii="Times New Roman" w:hAnsi="Times New Roman" w:eastAsia="??"/>
                <w:b w:val="0"/>
                <w:sz w:val="18"/>
              </w:rPr>
              <w:t>高EE策略</w:t>
            </w:r>
          </w:p>
        </w:tc>
        <w:tc>
          <w:tcPr>
            <w:tcW w:w="1474" w:type="dxa"/>
            <w:tcMar>
              <w:top w:w="80" w:type="dxa"/>
              <w:left w:w="80" w:type="dxa"/>
              <w:bottom w:w="80" w:type="dxa"/>
              <w:right w:w="80" w:type="dxa"/>
            </w:tcMar>
            <w:vAlign w:val="center"/>
          </w:tcPr>
          <w:p w14:paraId="6BAC2A82">
            <w:pPr>
              <w:jc w:val="center"/>
            </w:pPr>
            <w:r>
              <w:rPr>
                <w:rFonts w:ascii="Times New Roman" w:hAnsi="Times New Roman" w:eastAsia="??"/>
                <w:b w:val="0"/>
                <w:sz w:val="18"/>
              </w:rPr>
              <w:t>124超边/65实体</w:t>
            </w:r>
          </w:p>
        </w:tc>
        <w:tc>
          <w:tcPr>
            <w:tcW w:w="1304" w:type="dxa"/>
            <w:tcMar>
              <w:top w:w="80" w:type="dxa"/>
              <w:left w:w="80" w:type="dxa"/>
              <w:bottom w:w="80" w:type="dxa"/>
              <w:right w:w="80" w:type="dxa"/>
            </w:tcMar>
            <w:vAlign w:val="center"/>
          </w:tcPr>
          <w:p w14:paraId="50EBE33E">
            <w:pPr>
              <w:jc w:val="center"/>
            </w:pPr>
            <w:r>
              <w:rPr>
                <w:rFonts w:ascii="Times New Roman" w:hAnsi="Times New Roman" w:eastAsia="??"/>
                <w:b w:val="0"/>
                <w:sz w:val="18"/>
              </w:rPr>
              <w:t>41边/6实体</w:t>
            </w:r>
          </w:p>
        </w:tc>
        <w:tc>
          <w:tcPr>
            <w:tcW w:w="2891" w:type="dxa"/>
            <w:tcMar>
              <w:top w:w="80" w:type="dxa"/>
              <w:left w:w="80" w:type="dxa"/>
              <w:bottom w:w="80" w:type="dxa"/>
              <w:right w:w="80" w:type="dxa"/>
            </w:tcMar>
            <w:vAlign w:val="center"/>
          </w:tcPr>
          <w:p w14:paraId="572617B7">
            <w:pPr>
              <w:jc w:val="left"/>
            </w:pPr>
            <w:r>
              <w:rPr>
                <w:rFonts w:ascii="Times New Roman" w:hAnsi="Times New Roman" w:eastAsia="??"/>
                <w:b w:val="0"/>
                <w:sz w:val="18"/>
              </w:rPr>
              <w:t>Hyper-RAG更适合跨体系归纳膜、电极、电解液和工况策略</w:t>
            </w:r>
          </w:p>
        </w:tc>
      </w:tr>
      <w:tr w14:paraId="5E33F77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43F1069">
            <w:pPr>
              <w:jc w:val="center"/>
            </w:pPr>
            <w:r>
              <w:rPr>
                <w:rFonts w:ascii="Times New Roman" w:hAnsi="Times New Roman" w:eastAsia="??"/>
                <w:b w:val="0"/>
                <w:sz w:val="18"/>
              </w:rPr>
              <w:t>Q12</w:t>
            </w:r>
          </w:p>
        </w:tc>
        <w:tc>
          <w:tcPr>
            <w:tcW w:w="1247" w:type="dxa"/>
            <w:tcMar>
              <w:top w:w="80" w:type="dxa"/>
              <w:left w:w="80" w:type="dxa"/>
              <w:bottom w:w="80" w:type="dxa"/>
              <w:right w:w="80" w:type="dxa"/>
            </w:tcMar>
            <w:vAlign w:val="center"/>
          </w:tcPr>
          <w:p w14:paraId="46BEC31D">
            <w:pPr>
              <w:jc w:val="center"/>
            </w:pPr>
            <w:r>
              <w:rPr>
                <w:rFonts w:ascii="Times New Roman" w:hAnsi="Times New Roman" w:eastAsia="??"/>
                <w:b w:val="0"/>
                <w:sz w:val="18"/>
              </w:rPr>
              <w:t>实验方向推荐</w:t>
            </w:r>
          </w:p>
        </w:tc>
        <w:tc>
          <w:tcPr>
            <w:tcW w:w="1474" w:type="dxa"/>
            <w:tcMar>
              <w:top w:w="80" w:type="dxa"/>
              <w:left w:w="80" w:type="dxa"/>
              <w:bottom w:w="80" w:type="dxa"/>
              <w:right w:w="80" w:type="dxa"/>
            </w:tcMar>
            <w:vAlign w:val="center"/>
          </w:tcPr>
          <w:p w14:paraId="292C3B40">
            <w:pPr>
              <w:jc w:val="center"/>
            </w:pPr>
            <w:r>
              <w:rPr>
                <w:rFonts w:ascii="Times New Roman" w:hAnsi="Times New Roman" w:eastAsia="??"/>
                <w:b w:val="0"/>
                <w:sz w:val="18"/>
              </w:rPr>
              <w:t>115超边/61实体</w:t>
            </w:r>
          </w:p>
        </w:tc>
        <w:tc>
          <w:tcPr>
            <w:tcW w:w="1304" w:type="dxa"/>
            <w:tcMar>
              <w:top w:w="80" w:type="dxa"/>
              <w:left w:w="80" w:type="dxa"/>
              <w:bottom w:w="80" w:type="dxa"/>
              <w:right w:w="80" w:type="dxa"/>
            </w:tcMar>
            <w:vAlign w:val="center"/>
          </w:tcPr>
          <w:p w14:paraId="27BF3621">
            <w:pPr>
              <w:jc w:val="center"/>
            </w:pPr>
            <w:r>
              <w:rPr>
                <w:rFonts w:ascii="Times New Roman" w:hAnsi="Times New Roman" w:eastAsia="??"/>
                <w:b w:val="0"/>
                <w:sz w:val="18"/>
              </w:rPr>
              <w:t>53边/—</w:t>
            </w:r>
          </w:p>
        </w:tc>
        <w:tc>
          <w:tcPr>
            <w:tcW w:w="2891" w:type="dxa"/>
            <w:tcMar>
              <w:top w:w="80" w:type="dxa"/>
              <w:left w:w="80" w:type="dxa"/>
              <w:bottom w:w="80" w:type="dxa"/>
              <w:right w:w="80" w:type="dxa"/>
            </w:tcMar>
            <w:vAlign w:val="center"/>
          </w:tcPr>
          <w:p w14:paraId="020E346F">
            <w:pPr>
              <w:jc w:val="left"/>
            </w:pPr>
            <w:r>
              <w:rPr>
                <w:rFonts w:ascii="Times New Roman" w:hAnsi="Times New Roman" w:eastAsia="??"/>
                <w:b w:val="0"/>
                <w:sz w:val="18"/>
              </w:rPr>
              <w:t>Hyper-RAG推荐方案的变量组合和对照实验更完整</w:t>
            </w:r>
          </w:p>
        </w:tc>
      </w:tr>
    </w:tbl>
    <w:p w14:paraId="1E805C32"/>
    <w:p w14:paraId="53B5341C">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sz w:val="21"/>
        </w:rPr>
        <w:t>从数量来看，Hyper-ChE平均召回约103条超边和63个实体，而Graph-RAG仅召回约46条边，且在多个问题中仅返回1个实体（Q1、Q3、Q4、Q10）或实体数"未显示"（Q2、Q9、Q12）。</w:t>
      </w:r>
    </w:p>
    <w:p w14:paraId="0A302E60">
      <w:pPr>
        <w:keepNext w:val="0"/>
        <w:spacing w:before="0" w:after="60" w:line="240" w:lineRule="auto"/>
        <w:ind w:firstLine="420"/>
        <w:jc w:val="both"/>
        <w:rPr>
          <w:rFonts w:ascii="Times New Roman" w:hAnsi="Times New Roman" w:eastAsia="宋体"/>
          <w:b w:val="0"/>
          <w:i w:val="0"/>
          <w:sz w:val="21"/>
        </w:rPr>
      </w:pPr>
      <w:r>
        <w:rPr>
          <w:rFonts w:hint="eastAsia"/>
          <w:b w:val="0"/>
          <w:i w:val="0"/>
          <w:sz w:val="21"/>
          <w:lang w:val="en-US" w:eastAsia="zh-CN"/>
        </w:rPr>
        <w:t>需要说明的是：</w:t>
      </w:r>
      <w:r>
        <w:rPr>
          <w:rFonts w:ascii="Times New Roman" w:hAnsi="Times New Roman" w:eastAsia="宋体"/>
          <w:b w:val="0"/>
          <w:i w:val="0"/>
          <w:sz w:val="21"/>
        </w:rPr>
        <w:t>在当前 Graph-RAG 基线实现中，系统主要通过关系向量检索获得二元边，再由二元边反查实体。因此，当与问题最相关的知识主要存储在高阶超边中时，这些高阶关系会在二元边过滤阶段被移除，导致最终返回上下文中的实体数量较少。</w:t>
      </w:r>
    </w:p>
    <w:p w14:paraId="32A75E8B">
      <w:pPr>
        <w:keepNext w:val="0"/>
        <w:spacing w:before="0" w:after="60" w:line="240" w:lineRule="auto"/>
        <w:ind w:firstLine="420"/>
        <w:jc w:val="both"/>
        <w:rPr>
          <w:rFonts w:hint="eastAsia"/>
          <w:b w:val="0"/>
          <w:i w:val="0"/>
          <w:sz w:val="21"/>
          <w:lang w:val="en-US" w:eastAsia="zh-CN"/>
        </w:rPr>
      </w:pPr>
      <w:r>
        <w:rPr>
          <w:rFonts w:ascii="Times New Roman" w:hAnsi="Times New Roman" w:eastAsia="宋体"/>
          <w:b w:val="0"/>
          <w:i w:val="0"/>
          <w:sz w:val="21"/>
        </w:rPr>
        <w:t>值得注意的是，数量差异只是表象——更重要的是Graph-RAG召回的实体分布呈现出极端的稀疏性：在12个问题中，有6个问题的召回实体数不超过2个，说明普通图检索在多变量共现问题上存在局限。</w:t>
      </w:r>
      <w:r>
        <w:rPr>
          <w:rFonts w:hint="eastAsia"/>
          <w:b w:val="0"/>
          <w:i w:val="0"/>
          <w:sz w:val="21"/>
          <w:lang w:val="en-US" w:eastAsia="zh-CN"/>
        </w:rPr>
        <w:t xml:space="preserve">           </w:t>
      </w:r>
    </w:p>
    <w:p w14:paraId="5E0F8156">
      <w:pPr>
        <w:keepNext w:val="0"/>
        <w:spacing w:before="0" w:after="60" w:line="240" w:lineRule="auto"/>
        <w:jc w:val="both"/>
        <w:rPr>
          <w:rFonts w:hint="eastAsia"/>
          <w:b w:val="0"/>
          <w:i w:val="0"/>
          <w:sz w:val="21"/>
          <w:lang w:val="en-US" w:eastAsia="zh-CN"/>
        </w:rPr>
      </w:pPr>
      <w:r>
        <w:rPr>
          <w:rFonts w:hint="eastAsia"/>
          <w:b w:val="0"/>
          <w:i w:val="0"/>
          <w:sz w:val="21"/>
          <w:lang w:val="en-US" w:eastAsia="zh-CN"/>
        </w:rPr>
        <w:t xml:space="preserve">              </w:t>
      </w:r>
    </w:p>
    <w:p w14:paraId="2F17E360">
      <w:pPr>
        <w:keepNext w:val="0"/>
        <w:spacing w:before="0" w:after="60" w:line="240" w:lineRule="auto"/>
        <w:ind w:firstLine="420"/>
        <w:jc w:val="center"/>
        <w:rPr>
          <w:rFonts w:hint="default" w:eastAsia="宋体"/>
          <w:lang w:val="en-US" w:eastAsia="zh-CN"/>
        </w:rPr>
      </w:pPr>
    </w:p>
    <w:p w14:paraId="4B3E5711">
      <w:pPr>
        <w:keepNext w:val="0"/>
        <w:spacing w:before="120" w:after="60" w:line="240" w:lineRule="auto"/>
        <w:jc w:val="center"/>
      </w:pPr>
      <w:r>
        <w:rPr>
          <w:rFonts w:ascii="Times New Roman" w:hAnsi="Times New Roman" w:eastAsia="宋体"/>
          <w:sz w:val="18"/>
        </w:rPr>
        <w:t>图3  液流电池案例12个问题检索召回数量对比</w:t>
      </w:r>
    </w:p>
    <w:p w14:paraId="521F8A11">
      <w:pPr>
        <w:keepNext/>
        <w:spacing w:before="120" w:after="60" w:line="240" w:lineRule="auto"/>
        <w:jc w:val="left"/>
      </w:pPr>
      <w:r>
        <w:rPr>
          <w:rFonts w:ascii="Times New Roman" w:hAnsi="Times New Roman" w:eastAsia="楷体"/>
          <w:b w:val="0"/>
          <w:i w:val="0"/>
          <w:sz w:val="21"/>
        </w:rPr>
        <w:t>2.2.2 问题难度分层设计</w:t>
      </w:r>
    </w:p>
    <w:p w14:paraId="342A4987">
      <w:pPr>
        <w:keepNext w:val="0"/>
        <w:spacing w:before="0" w:after="60" w:line="240" w:lineRule="auto"/>
        <w:ind w:firstLine="420"/>
        <w:jc w:val="both"/>
      </w:pPr>
      <w:r>
        <w:rPr>
          <w:rFonts w:ascii="Times New Roman" w:hAnsi="Times New Roman" w:eastAsia="宋体"/>
          <w:b w:val="0"/>
          <w:i w:val="0"/>
          <w:sz w:val="21"/>
        </w:rPr>
        <w:t>为建立系统化的分析框架，将12个问题按照认知复杂度划分为6个层级。各层级的问题特征和预期对超图结构的需求程度如表4所示。</w:t>
      </w:r>
    </w:p>
    <w:p w14:paraId="598D006A">
      <w:pPr>
        <w:keepNext w:val="0"/>
        <w:spacing w:before="120" w:after="60" w:line="240" w:lineRule="auto"/>
        <w:jc w:val="center"/>
      </w:pPr>
      <w:r>
        <w:rPr>
          <w:rFonts w:ascii="Times New Roman" w:hAnsi="Times New Roman" w:eastAsia="??"/>
          <w:sz w:val="19"/>
        </w:rPr>
        <w:t>表4 液流电池案例问题难度分层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6085F1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416BF420">
            <w:pPr>
              <w:jc w:val="center"/>
            </w:pPr>
            <w:r>
              <w:rPr>
                <w:rFonts w:ascii="Times New Roman" w:hAnsi="Times New Roman" w:eastAsia="??"/>
                <w:b/>
                <w:i w:val="0"/>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6D188373">
            <w:pPr>
              <w:jc w:val="center"/>
            </w:pPr>
            <w:r>
              <w:rPr>
                <w:rFonts w:ascii="Times New Roman" w:hAnsi="Times New Roman" w:eastAsia="??"/>
                <w:b/>
                <w:i w:val="0"/>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5F0BB24">
            <w:pPr>
              <w:jc w:val="center"/>
            </w:pPr>
            <w:r>
              <w:rPr>
                <w:rFonts w:ascii="Times New Roman" w:hAnsi="Times New Roman" w:eastAsia="??"/>
                <w:b/>
                <w:i w:val="0"/>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05E7CDB6">
            <w:pPr>
              <w:jc w:val="center"/>
            </w:pPr>
            <w:r>
              <w:rPr>
                <w:rFonts w:ascii="Times New Roman" w:hAnsi="Times New Roman" w:eastAsia="??"/>
                <w:b/>
                <w:i w:val="0"/>
                <w:sz w:val="19"/>
              </w:rPr>
              <w:t>核心认知要求</w:t>
            </w:r>
          </w:p>
        </w:tc>
      </w:tr>
      <w:tr w14:paraId="15B78F0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2A9D057">
            <w:pPr>
              <w:jc w:val="center"/>
            </w:pPr>
            <w:r>
              <w:rPr>
                <w:rFonts w:ascii="Times New Roman" w:hAnsi="Times New Roman" w:eastAsia="??"/>
                <w:b w:val="0"/>
                <w:i w:val="0"/>
                <w:sz w:val="18"/>
              </w:rPr>
              <w:t>Level 1</w:t>
            </w:r>
          </w:p>
        </w:tc>
        <w:tc>
          <w:tcPr>
            <w:tcW w:w="1530" w:type="dxa"/>
            <w:tcMar>
              <w:top w:w="80" w:type="dxa"/>
              <w:left w:w="80" w:type="dxa"/>
              <w:bottom w:w="80" w:type="dxa"/>
              <w:right w:w="80" w:type="dxa"/>
            </w:tcMar>
            <w:vAlign w:val="center"/>
          </w:tcPr>
          <w:p w14:paraId="13A8A581">
            <w:pPr>
              <w:jc w:val="center"/>
            </w:pPr>
            <w:r>
              <w:rPr>
                <w:rFonts w:ascii="Times New Roman" w:hAnsi="Times New Roman" w:eastAsia="??"/>
                <w:b w:val="0"/>
                <w:i w:val="0"/>
                <w:sz w:val="18"/>
              </w:rPr>
              <w:t>语料覆盖总览</w:t>
            </w:r>
          </w:p>
        </w:tc>
        <w:tc>
          <w:tcPr>
            <w:tcW w:w="1190" w:type="dxa"/>
            <w:tcMar>
              <w:top w:w="80" w:type="dxa"/>
              <w:left w:w="80" w:type="dxa"/>
              <w:bottom w:w="80" w:type="dxa"/>
              <w:right w:w="80" w:type="dxa"/>
            </w:tcMar>
            <w:vAlign w:val="center"/>
          </w:tcPr>
          <w:p w14:paraId="11BB0E77">
            <w:pPr>
              <w:jc w:val="center"/>
            </w:pPr>
            <w:r>
              <w:rPr>
                <w:rFonts w:ascii="Times New Roman" w:hAnsi="Times New Roman" w:eastAsia="??"/>
                <w:b w:val="0"/>
                <w:i w:val="0"/>
                <w:sz w:val="18"/>
              </w:rPr>
              <w:t>Q1</w:t>
            </w:r>
          </w:p>
        </w:tc>
        <w:tc>
          <w:tcPr>
            <w:tcW w:w="3628" w:type="dxa"/>
            <w:tcMar>
              <w:top w:w="80" w:type="dxa"/>
              <w:left w:w="80" w:type="dxa"/>
              <w:bottom w:w="80" w:type="dxa"/>
              <w:right w:w="80" w:type="dxa"/>
            </w:tcMar>
            <w:vAlign w:val="center"/>
          </w:tcPr>
          <w:p w14:paraId="20D8B47E">
            <w:pPr>
              <w:jc w:val="left"/>
            </w:pPr>
            <w:r>
              <w:rPr>
                <w:rFonts w:ascii="Times New Roman" w:hAnsi="Times New Roman" w:eastAsia="??"/>
                <w:b w:val="0"/>
                <w:i w:val="0"/>
                <w:sz w:val="18"/>
              </w:rPr>
              <w:t>单维度枚举</w:t>
            </w:r>
          </w:p>
        </w:tc>
      </w:tr>
      <w:tr w14:paraId="7445E47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531B70E9">
            <w:pPr>
              <w:jc w:val="center"/>
            </w:pPr>
            <w:r>
              <w:rPr>
                <w:rFonts w:ascii="Times New Roman" w:hAnsi="Times New Roman" w:eastAsia="??"/>
                <w:b w:val="0"/>
                <w:i w:val="0"/>
                <w:sz w:val="18"/>
              </w:rPr>
              <w:t>Level 2</w:t>
            </w:r>
          </w:p>
        </w:tc>
        <w:tc>
          <w:tcPr>
            <w:tcW w:w="1530" w:type="dxa"/>
            <w:tcMar>
              <w:top w:w="80" w:type="dxa"/>
              <w:left w:w="80" w:type="dxa"/>
              <w:bottom w:w="80" w:type="dxa"/>
              <w:right w:w="80" w:type="dxa"/>
            </w:tcMar>
            <w:vAlign w:val="center"/>
          </w:tcPr>
          <w:p w14:paraId="315626ED">
            <w:pPr>
              <w:jc w:val="center"/>
            </w:pPr>
            <w:r>
              <w:rPr>
                <w:rFonts w:ascii="Times New Roman" w:hAnsi="Times New Roman" w:eastAsia="??"/>
                <w:b w:val="0"/>
                <w:i w:val="0"/>
                <w:sz w:val="18"/>
              </w:rPr>
              <w:t>局部关系检索</w:t>
            </w:r>
          </w:p>
        </w:tc>
        <w:tc>
          <w:tcPr>
            <w:tcW w:w="1190" w:type="dxa"/>
            <w:tcMar>
              <w:top w:w="80" w:type="dxa"/>
              <w:left w:w="80" w:type="dxa"/>
              <w:bottom w:w="80" w:type="dxa"/>
              <w:right w:w="80" w:type="dxa"/>
            </w:tcMar>
            <w:vAlign w:val="center"/>
          </w:tcPr>
          <w:p w14:paraId="0F5986A5">
            <w:pPr>
              <w:jc w:val="center"/>
            </w:pPr>
            <w:r>
              <w:rPr>
                <w:rFonts w:ascii="Times New Roman" w:hAnsi="Times New Roman" w:eastAsia="??"/>
                <w:b w:val="0"/>
                <w:i w:val="0"/>
                <w:sz w:val="18"/>
              </w:rPr>
              <w:t>Q2, Q3</w:t>
            </w:r>
          </w:p>
        </w:tc>
        <w:tc>
          <w:tcPr>
            <w:tcW w:w="3628" w:type="dxa"/>
            <w:tcMar>
              <w:top w:w="80" w:type="dxa"/>
              <w:left w:w="80" w:type="dxa"/>
              <w:bottom w:w="80" w:type="dxa"/>
              <w:right w:w="80" w:type="dxa"/>
            </w:tcMar>
            <w:vAlign w:val="center"/>
          </w:tcPr>
          <w:p w14:paraId="6F2AEAE9">
            <w:pPr>
              <w:jc w:val="left"/>
            </w:pPr>
            <w:r>
              <w:rPr>
                <w:rFonts w:ascii="Times New Roman" w:hAnsi="Times New Roman" w:eastAsia="??"/>
                <w:b w:val="0"/>
                <w:i w:val="0"/>
                <w:sz w:val="18"/>
              </w:rPr>
              <w:t>二元关系识别</w:t>
            </w:r>
          </w:p>
        </w:tc>
      </w:tr>
      <w:tr w14:paraId="20E3D9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7DAD938D">
            <w:pPr>
              <w:jc w:val="center"/>
            </w:pPr>
            <w:r>
              <w:rPr>
                <w:rFonts w:ascii="Times New Roman" w:hAnsi="Times New Roman" w:eastAsia="??"/>
                <w:b w:val="0"/>
                <w:i w:val="0"/>
                <w:sz w:val="18"/>
              </w:rPr>
              <w:t>Level 3</w:t>
            </w:r>
          </w:p>
        </w:tc>
        <w:tc>
          <w:tcPr>
            <w:tcW w:w="1530" w:type="dxa"/>
            <w:tcMar>
              <w:top w:w="80" w:type="dxa"/>
              <w:left w:w="80" w:type="dxa"/>
              <w:bottom w:w="80" w:type="dxa"/>
              <w:right w:w="80" w:type="dxa"/>
            </w:tcMar>
            <w:vAlign w:val="center"/>
          </w:tcPr>
          <w:p w14:paraId="73472313">
            <w:pPr>
              <w:jc w:val="center"/>
            </w:pPr>
            <w:r>
              <w:rPr>
                <w:rFonts w:ascii="Times New Roman" w:hAnsi="Times New Roman" w:eastAsia="??"/>
                <w:b w:val="0"/>
                <w:i w:val="0"/>
                <w:sz w:val="18"/>
              </w:rPr>
              <w:t>高阶条件组合</w:t>
            </w:r>
          </w:p>
        </w:tc>
        <w:tc>
          <w:tcPr>
            <w:tcW w:w="1190" w:type="dxa"/>
            <w:tcMar>
              <w:top w:w="80" w:type="dxa"/>
              <w:left w:w="80" w:type="dxa"/>
              <w:bottom w:w="80" w:type="dxa"/>
              <w:right w:w="80" w:type="dxa"/>
            </w:tcMar>
            <w:vAlign w:val="center"/>
          </w:tcPr>
          <w:p w14:paraId="702A3401">
            <w:pPr>
              <w:jc w:val="center"/>
            </w:pPr>
            <w:r>
              <w:rPr>
                <w:rFonts w:ascii="Times New Roman" w:hAnsi="Times New Roman" w:eastAsia="??"/>
                <w:b w:val="0"/>
                <w:i w:val="0"/>
                <w:sz w:val="18"/>
              </w:rPr>
              <w:t>Q4, Q5, Q6</w:t>
            </w:r>
          </w:p>
        </w:tc>
        <w:tc>
          <w:tcPr>
            <w:tcW w:w="3628" w:type="dxa"/>
            <w:tcMar>
              <w:top w:w="80" w:type="dxa"/>
              <w:left w:w="80" w:type="dxa"/>
              <w:bottom w:w="80" w:type="dxa"/>
              <w:right w:w="80" w:type="dxa"/>
            </w:tcMar>
            <w:vAlign w:val="center"/>
          </w:tcPr>
          <w:p w14:paraId="2FBACD40">
            <w:pPr>
              <w:jc w:val="left"/>
            </w:pPr>
            <w:r>
              <w:rPr>
                <w:rFonts w:ascii="Times New Roman" w:hAnsi="Times New Roman" w:eastAsia="??"/>
                <w:b w:val="0"/>
                <w:i w:val="0"/>
                <w:sz w:val="18"/>
              </w:rPr>
              <w:t>多元条件×性能匹配</w:t>
            </w:r>
          </w:p>
        </w:tc>
      </w:tr>
      <w:tr w14:paraId="68B7BD7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33" w:hRule="atLeast"/>
          <w:jc w:val="center"/>
        </w:trPr>
        <w:tc>
          <w:tcPr>
            <w:tcW w:w="1077" w:type="dxa"/>
            <w:tcMar>
              <w:top w:w="80" w:type="dxa"/>
              <w:left w:w="80" w:type="dxa"/>
              <w:bottom w:w="80" w:type="dxa"/>
              <w:right w:w="80" w:type="dxa"/>
            </w:tcMar>
            <w:vAlign w:val="center"/>
          </w:tcPr>
          <w:p w14:paraId="24C5214E">
            <w:pPr>
              <w:jc w:val="center"/>
            </w:pPr>
            <w:r>
              <w:rPr>
                <w:rFonts w:ascii="Times New Roman" w:hAnsi="Times New Roman" w:eastAsia="??"/>
                <w:b w:val="0"/>
                <w:i w:val="0"/>
                <w:sz w:val="18"/>
              </w:rPr>
              <w:t>Level 4</w:t>
            </w:r>
          </w:p>
        </w:tc>
        <w:tc>
          <w:tcPr>
            <w:tcW w:w="1530" w:type="dxa"/>
            <w:tcMar>
              <w:top w:w="80" w:type="dxa"/>
              <w:left w:w="80" w:type="dxa"/>
              <w:bottom w:w="80" w:type="dxa"/>
              <w:right w:w="80" w:type="dxa"/>
            </w:tcMar>
            <w:vAlign w:val="center"/>
          </w:tcPr>
          <w:p w14:paraId="7CD23554">
            <w:pPr>
              <w:jc w:val="center"/>
            </w:pPr>
            <w:r>
              <w:rPr>
                <w:rFonts w:ascii="Times New Roman" w:hAnsi="Times New Roman" w:eastAsia="??"/>
                <w:b w:val="0"/>
                <w:i w:val="0"/>
                <w:sz w:val="18"/>
              </w:rPr>
              <w:t>多材料横向对比</w:t>
            </w:r>
          </w:p>
        </w:tc>
        <w:tc>
          <w:tcPr>
            <w:tcW w:w="1190" w:type="dxa"/>
            <w:tcMar>
              <w:top w:w="80" w:type="dxa"/>
              <w:left w:w="80" w:type="dxa"/>
              <w:bottom w:w="80" w:type="dxa"/>
              <w:right w:w="80" w:type="dxa"/>
            </w:tcMar>
            <w:vAlign w:val="center"/>
          </w:tcPr>
          <w:p w14:paraId="40C720DC">
            <w:pPr>
              <w:jc w:val="center"/>
            </w:pPr>
            <w:r>
              <w:rPr>
                <w:rFonts w:ascii="Times New Roman" w:hAnsi="Times New Roman" w:eastAsia="??"/>
                <w:b w:val="0"/>
                <w:i w:val="0"/>
                <w:sz w:val="18"/>
              </w:rPr>
              <w:t>Q7, Q8</w:t>
            </w:r>
          </w:p>
        </w:tc>
        <w:tc>
          <w:tcPr>
            <w:tcW w:w="3628" w:type="dxa"/>
            <w:tcMar>
              <w:top w:w="80" w:type="dxa"/>
              <w:left w:w="80" w:type="dxa"/>
              <w:bottom w:w="80" w:type="dxa"/>
              <w:right w:w="80" w:type="dxa"/>
            </w:tcMar>
            <w:vAlign w:val="center"/>
          </w:tcPr>
          <w:p w14:paraId="6881FD5B">
            <w:pPr>
              <w:jc w:val="left"/>
            </w:pPr>
            <w:r>
              <w:rPr>
                <w:rFonts w:ascii="Times New Roman" w:hAnsi="Times New Roman" w:eastAsia="??"/>
                <w:b w:val="0"/>
                <w:i w:val="0"/>
                <w:sz w:val="18"/>
              </w:rPr>
              <w:t>多实体×多指标矩阵对比</w:t>
            </w:r>
          </w:p>
        </w:tc>
      </w:tr>
      <w:tr w14:paraId="68B699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171" w:hRule="atLeast"/>
          <w:jc w:val="center"/>
        </w:trPr>
        <w:tc>
          <w:tcPr>
            <w:tcW w:w="1077" w:type="dxa"/>
            <w:tcMar>
              <w:top w:w="80" w:type="dxa"/>
              <w:left w:w="80" w:type="dxa"/>
              <w:bottom w:w="80" w:type="dxa"/>
              <w:right w:w="80" w:type="dxa"/>
            </w:tcMar>
            <w:vAlign w:val="center"/>
          </w:tcPr>
          <w:p w14:paraId="1079AE2B">
            <w:pPr>
              <w:jc w:val="center"/>
            </w:pPr>
            <w:r>
              <w:rPr>
                <w:rFonts w:ascii="Times New Roman" w:hAnsi="Times New Roman" w:eastAsia="??"/>
                <w:b w:val="0"/>
                <w:i w:val="0"/>
                <w:sz w:val="18"/>
              </w:rPr>
              <w:t>Level 5</w:t>
            </w:r>
          </w:p>
        </w:tc>
        <w:tc>
          <w:tcPr>
            <w:tcW w:w="1530" w:type="dxa"/>
            <w:tcMar>
              <w:top w:w="80" w:type="dxa"/>
              <w:left w:w="80" w:type="dxa"/>
              <w:bottom w:w="80" w:type="dxa"/>
              <w:right w:w="80" w:type="dxa"/>
            </w:tcMar>
            <w:vAlign w:val="center"/>
          </w:tcPr>
          <w:p w14:paraId="7DB686C1">
            <w:pPr>
              <w:jc w:val="center"/>
            </w:pPr>
            <w:r>
              <w:rPr>
                <w:rFonts w:ascii="Times New Roman" w:hAnsi="Times New Roman" w:eastAsia="??"/>
                <w:b w:val="0"/>
                <w:i w:val="0"/>
                <w:sz w:val="18"/>
              </w:rPr>
              <w:t>机理解释链条</w:t>
            </w:r>
          </w:p>
        </w:tc>
        <w:tc>
          <w:tcPr>
            <w:tcW w:w="1190" w:type="dxa"/>
            <w:tcMar>
              <w:top w:w="80" w:type="dxa"/>
              <w:left w:w="80" w:type="dxa"/>
              <w:bottom w:w="80" w:type="dxa"/>
              <w:right w:w="80" w:type="dxa"/>
            </w:tcMar>
            <w:vAlign w:val="center"/>
          </w:tcPr>
          <w:p w14:paraId="4618CAEF">
            <w:pPr>
              <w:jc w:val="center"/>
            </w:pPr>
            <w:r>
              <w:rPr>
                <w:rFonts w:ascii="Times New Roman" w:hAnsi="Times New Roman" w:eastAsia="??"/>
                <w:b w:val="0"/>
                <w:i w:val="0"/>
                <w:sz w:val="18"/>
              </w:rPr>
              <w:t>Q9, Q10</w:t>
            </w:r>
          </w:p>
        </w:tc>
        <w:tc>
          <w:tcPr>
            <w:tcW w:w="3628" w:type="dxa"/>
            <w:tcMar>
              <w:top w:w="80" w:type="dxa"/>
              <w:left w:w="80" w:type="dxa"/>
              <w:bottom w:w="80" w:type="dxa"/>
              <w:right w:w="80" w:type="dxa"/>
            </w:tcMar>
            <w:vAlign w:val="center"/>
          </w:tcPr>
          <w:p w14:paraId="68BA6145">
            <w:pPr>
              <w:jc w:val="left"/>
            </w:pPr>
            <w:r>
              <w:rPr>
                <w:rFonts w:ascii="Times New Roman" w:hAnsi="Times New Roman" w:eastAsia="??"/>
                <w:b w:val="0"/>
                <w:i w:val="0"/>
                <w:sz w:val="18"/>
              </w:rPr>
              <w:t>因果链传导与归因</w:t>
            </w:r>
          </w:p>
        </w:tc>
      </w:tr>
      <w:tr w14:paraId="2E0D4A5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trHeight w:val="274" w:hRule="atLeast"/>
          <w:jc w:val="center"/>
        </w:trPr>
        <w:tc>
          <w:tcPr>
            <w:tcW w:w="1077" w:type="dxa"/>
            <w:tcMar>
              <w:top w:w="80" w:type="dxa"/>
              <w:left w:w="80" w:type="dxa"/>
              <w:bottom w:w="80" w:type="dxa"/>
              <w:right w:w="80" w:type="dxa"/>
            </w:tcMar>
            <w:vAlign w:val="center"/>
          </w:tcPr>
          <w:p w14:paraId="50D01CC2">
            <w:pPr>
              <w:jc w:val="center"/>
            </w:pPr>
            <w:r>
              <w:rPr>
                <w:rFonts w:ascii="Times New Roman" w:hAnsi="Times New Roman" w:eastAsia="??"/>
                <w:b w:val="0"/>
                <w:i w:val="0"/>
                <w:sz w:val="18"/>
              </w:rPr>
              <w:t>Level 6</w:t>
            </w:r>
          </w:p>
        </w:tc>
        <w:tc>
          <w:tcPr>
            <w:tcW w:w="1530" w:type="dxa"/>
            <w:tcMar>
              <w:top w:w="80" w:type="dxa"/>
              <w:left w:w="80" w:type="dxa"/>
              <w:bottom w:w="80" w:type="dxa"/>
              <w:right w:w="80" w:type="dxa"/>
            </w:tcMar>
            <w:vAlign w:val="center"/>
          </w:tcPr>
          <w:p w14:paraId="5ABA90EA">
            <w:pPr>
              <w:jc w:val="center"/>
            </w:pPr>
            <w:r>
              <w:rPr>
                <w:rFonts w:ascii="Times New Roman" w:hAnsi="Times New Roman" w:eastAsia="??"/>
                <w:b w:val="0"/>
                <w:i w:val="0"/>
                <w:sz w:val="18"/>
              </w:rPr>
              <w:t>策略推荐与创新</w:t>
            </w:r>
          </w:p>
        </w:tc>
        <w:tc>
          <w:tcPr>
            <w:tcW w:w="1190" w:type="dxa"/>
            <w:tcMar>
              <w:top w:w="80" w:type="dxa"/>
              <w:left w:w="80" w:type="dxa"/>
              <w:bottom w:w="80" w:type="dxa"/>
              <w:right w:w="80" w:type="dxa"/>
            </w:tcMar>
            <w:vAlign w:val="center"/>
          </w:tcPr>
          <w:p w14:paraId="2158EE8B">
            <w:pPr>
              <w:jc w:val="center"/>
            </w:pPr>
            <w:r>
              <w:rPr>
                <w:rFonts w:ascii="Times New Roman" w:hAnsi="Times New Roman" w:eastAsia="??"/>
                <w:b w:val="0"/>
                <w:i w:val="0"/>
                <w:sz w:val="18"/>
              </w:rPr>
              <w:t>Q11, Q12</w:t>
            </w:r>
          </w:p>
        </w:tc>
        <w:tc>
          <w:tcPr>
            <w:tcW w:w="3628" w:type="dxa"/>
            <w:tcMar>
              <w:top w:w="80" w:type="dxa"/>
              <w:left w:w="80" w:type="dxa"/>
              <w:bottom w:w="80" w:type="dxa"/>
              <w:right w:w="80" w:type="dxa"/>
            </w:tcMar>
            <w:vAlign w:val="center"/>
          </w:tcPr>
          <w:p w14:paraId="60D2155B">
            <w:pPr>
              <w:jc w:val="left"/>
            </w:pPr>
            <w:r>
              <w:rPr>
                <w:rFonts w:ascii="Times New Roman" w:hAnsi="Times New Roman" w:eastAsia="??"/>
                <w:b w:val="0"/>
                <w:i w:val="0"/>
                <w:sz w:val="18"/>
              </w:rPr>
              <w:t>跨体系归纳与知识迁移</w:t>
            </w:r>
          </w:p>
        </w:tc>
      </w:tr>
    </w:tbl>
    <w:p w14:paraId="01F87BFC"/>
    <w:p w14:paraId="3C278557">
      <w:pPr>
        <w:keepNext w:val="0"/>
        <w:spacing w:before="0" w:after="60" w:line="240" w:lineRule="auto"/>
        <w:ind w:firstLine="420"/>
        <w:jc w:val="both"/>
      </w:pPr>
      <w:r>
        <w:rPr>
          <w:rFonts w:ascii="Times New Roman" w:hAnsi="Times New Roman" w:eastAsia="宋体"/>
          <w:b w:val="0"/>
          <w:i w:val="0"/>
          <w:sz w:val="21"/>
        </w:rPr>
        <w:t>分层逻辑在于：随着问题从"事实查询"向"条件推理"和"跨域综合"演进，对"多实体在同一关系结构中协同出现"的需求急剧增加。Level 1~2的问题主要依赖单点或二元信息，Graph-RAG的碎片化表示尚能应对；而Level 3~6的问题本质上要求检索系统具备"多元组协同召回"的能力——这对应超图结构在多元组协同召回方面的优势。</w:t>
      </w:r>
    </w:p>
    <w:p w14:paraId="3377F396">
      <w:pPr>
        <w:keepNext/>
        <w:spacing w:before="120" w:after="60" w:line="240" w:lineRule="auto"/>
        <w:jc w:val="left"/>
      </w:pPr>
      <w:r>
        <w:rPr>
          <w:rFonts w:ascii="Times New Roman" w:hAnsi="Times New Roman" w:eastAsia="楷体"/>
          <w:b w:val="0"/>
          <w:i w:val="0"/>
          <w:sz w:val="21"/>
        </w:rPr>
        <w:t>2.2.3 典型问题深度定性分析</w:t>
      </w:r>
    </w:p>
    <w:p w14:paraId="05A1A00B">
      <w:pPr>
        <w:keepNext w:val="0"/>
        <w:spacing w:before="0" w:after="60" w:line="240" w:lineRule="auto"/>
        <w:ind w:firstLine="420"/>
        <w:jc w:val="both"/>
      </w:pPr>
      <w:r>
        <w:rPr>
          <w:rFonts w:ascii="Times New Roman" w:hAnsi="Times New Roman" w:eastAsia="宋体"/>
          <w:b w:val="0"/>
          <w:i w:val="0"/>
          <w:sz w:val="21"/>
        </w:rPr>
        <w:t>以下选取5个代表性问题进行深度定性对比分析，涵盖Level 3至Level 6的难度梯度。</w:t>
      </w:r>
    </w:p>
    <w:p w14:paraId="327BD138">
      <w:pPr>
        <w:keepNext w:val="0"/>
        <w:spacing w:before="120" w:after="60" w:line="240" w:lineRule="auto"/>
        <w:jc w:val="left"/>
      </w:pPr>
      <w:r>
        <w:rPr>
          <w:rFonts w:ascii="Times New Roman" w:hAnsi="Times New Roman" w:eastAsia="黑体"/>
          <w:b/>
          <w:i w:val="0"/>
          <w:sz w:val="21"/>
        </w:rPr>
        <w:t>Q4：高电流密度下同时实现高CE/VE/EE的实验条件（Level 3）</w:t>
      </w:r>
    </w:p>
    <w:p w14:paraId="57AAE5C7">
      <w:pPr>
        <w:keepNext w:val="0"/>
        <w:spacing w:before="0" w:after="60" w:line="240" w:lineRule="auto"/>
        <w:ind w:firstLine="420"/>
        <w:jc w:val="both"/>
      </w:pPr>
      <w:r>
        <w:rPr>
          <w:rFonts w:ascii="Times New Roman" w:hAnsi="Times New Roman" w:eastAsia="宋体"/>
          <w:b w:val="0"/>
          <w:i w:val="0"/>
          <w:sz w:val="21"/>
        </w:rPr>
        <w:t>Q4要求识别在≥100 mA/cm²条件下同时实现高库仑效率、电压效率和能量效率的完整实验配置。该问题涉及四个变量维度——体系类型、膜材料、电流密度档位、效率数值——需要检索系统能够精准匹配"高电流密度×高效率"的条件组合。</w:t>
      </w:r>
    </w:p>
    <w:p w14:paraId="1980DDF9">
      <w:pPr>
        <w:keepNext w:val="0"/>
        <w:spacing w:before="0" w:after="60" w:line="240" w:lineRule="auto"/>
        <w:ind w:firstLine="420"/>
        <w:jc w:val="both"/>
      </w:pPr>
      <w:r>
        <w:rPr>
          <w:rFonts w:ascii="Times New Roman" w:hAnsi="Times New Roman" w:eastAsia="宋体"/>
          <w:b w:val="0"/>
          <w:sz w:val="21"/>
        </w:rPr>
        <w:t>Hyper-ChE的回答以"体系-膜-电流密度-效率"四元组形式组织：在VRFB体系中，SPI@100 mA/cm²（CE 96.83%, EE 79.47%）、SNPBI-1.42@100 mA/cm²、SPEEK/APK@100 mA/cm²（EE 81.3%）、S/MWCNT-NH₂-2@100 mA/cm²（EE 82.04%）、SPTPC-2.59@280 mA/cm²（EE 80%）等具体组合被完整保留。</w:t>
      </w:r>
    </w:p>
    <w:p w14:paraId="70F8F813">
      <w:pPr>
        <w:keepNext w:val="0"/>
        <w:spacing w:before="0" w:after="60" w:line="240" w:lineRule="auto"/>
        <w:ind w:firstLine="420"/>
        <w:jc w:val="both"/>
      </w:pPr>
      <w:r>
        <w:rPr>
          <w:rFonts w:ascii="Times New Roman" w:hAnsi="Times New Roman" w:eastAsia="宋体"/>
          <w:b w:val="0"/>
          <w:i w:val="0"/>
          <w:sz w:val="21"/>
        </w:rPr>
        <w:t>Graph-RAG的回答在多元条件匹配方面存在不足。尽管召回了48条边，但仅触及1个实体节点，最终回答仅能确认SPTPC@280 mA/cm²和SPI@100 mA/cm²两个具体组合，其余部分较为笼统。</w:t>
      </w:r>
    </w:p>
    <w:p w14:paraId="4F8EEFE1">
      <w:pPr>
        <w:keepNext w:val="0"/>
        <w:spacing w:before="120" w:after="60" w:line="240" w:lineRule="auto"/>
        <w:jc w:val="left"/>
      </w:pPr>
      <w:r>
        <w:rPr>
          <w:rFonts w:ascii="Times New Roman" w:hAnsi="Times New Roman" w:eastAsia="黑体"/>
          <w:b/>
          <w:i w:val="0"/>
          <w:sz w:val="21"/>
        </w:rPr>
        <w:t>Q6：ICRFB中Bi基添加剂对HER和Cr动力学的影响（Level 3）</w:t>
      </w:r>
    </w:p>
    <w:p w14:paraId="05BDF280">
      <w:pPr>
        <w:keepNext w:val="0"/>
        <w:spacing w:before="0" w:after="60" w:line="240" w:lineRule="auto"/>
        <w:ind w:firstLine="420"/>
        <w:jc w:val="both"/>
      </w:pPr>
      <w:r>
        <w:rPr>
          <w:rFonts w:ascii="Times New Roman" w:hAnsi="Times New Roman" w:eastAsia="宋体"/>
          <w:b w:val="0"/>
          <w:sz w:val="21"/>
        </w:rPr>
        <w:t>Q6是一个典型的高阶条件组合问题，涉及添加剂形态、电极基底、电解液环境、催化效应和效率表现五个变量维度，且要求区分不同Bi形态的功能差异。Hyper-ChE的回答展现出对复杂知识结构的精细组织能力，系统分类了五种铋形态及其对应的电极-电解液配置，对于每一类都给出了具体的效率数值作为证据。该问题中Graph-RAG回答深度受限，其回答指出"数据不足以生成详细回答"。</w:t>
      </w:r>
    </w:p>
    <w:p w14:paraId="7F617CFE">
      <w:pPr>
        <w:keepNext w:val="0"/>
        <w:spacing w:before="120" w:after="60" w:line="240" w:lineRule="auto"/>
        <w:jc w:val="left"/>
      </w:pPr>
      <w:r>
        <w:rPr>
          <w:rFonts w:ascii="Times New Roman" w:hAnsi="Times New Roman" w:eastAsia="黑体"/>
          <w:b/>
          <w:i w:val="0"/>
          <w:sz w:val="21"/>
        </w:rPr>
        <w:t>Q7：Nafion、PBI、SpNPBI、SNPBI四类膜的横向对比（Level 4）</w:t>
      </w:r>
    </w:p>
    <w:p w14:paraId="3EE80843">
      <w:pPr>
        <w:keepNext w:val="0"/>
        <w:spacing w:before="0" w:after="60" w:line="240" w:lineRule="auto"/>
        <w:ind w:firstLine="420"/>
        <w:jc w:val="both"/>
      </w:pPr>
      <w:r>
        <w:rPr>
          <w:rFonts w:ascii="Times New Roman" w:hAnsi="Times New Roman" w:eastAsia="宋体"/>
          <w:b w:val="0"/>
          <w:sz w:val="21"/>
        </w:rPr>
        <w:t>Q7是一个多材料×多指标的综合对比问题。Hyper-ChE的回答围绕五个关键指标展开了一个完整的对比框架，更提供了交叉迁移抑制与质子传导率之间平衡关系的分析——这是膜材料设计的核心矛盾。Graph-RAG在该问题中同样表现出结构性不足，回答指出"无法进行直接对比"。</w:t>
      </w:r>
    </w:p>
    <w:p w14:paraId="6994492A">
      <w:pPr>
        <w:keepNext w:val="0"/>
        <w:spacing w:before="120" w:after="60" w:line="240" w:lineRule="auto"/>
        <w:jc w:val="left"/>
      </w:pPr>
      <w:r>
        <w:rPr>
          <w:rFonts w:ascii="Times New Roman" w:hAnsi="Times New Roman" w:eastAsia="黑体"/>
          <w:b/>
          <w:i w:val="0"/>
          <w:sz w:val="21"/>
        </w:rPr>
        <w:t>Q8：C-C、MC-C、BMC-C三种电极的横向对比（Level 4）</w:t>
      </w:r>
    </w:p>
    <w:p w14:paraId="544AC301">
      <w:pPr>
        <w:keepNext w:val="0"/>
        <w:spacing w:before="0" w:after="60" w:line="240" w:lineRule="auto"/>
        <w:ind w:firstLine="420"/>
        <w:jc w:val="both"/>
      </w:pPr>
      <w:r>
        <w:rPr>
          <w:rFonts w:ascii="Times New Roman" w:hAnsi="Times New Roman" w:eastAsia="宋体"/>
          <w:b w:val="0"/>
          <w:sz w:val="21"/>
        </w:rPr>
        <w:t>Hyper-ChE给出了50-500 mA/cm²范围内的系统性对比：BMC-C@200 mA/cm²的极化电压分别比MC-C低0.14 V、比C-C低0.43 V；BMC-C@500 mA/cm²实现了VE 70.2%和EE 69.4%。此外还从润湿性（接触角：BMC-C 92.8° vs MC-C 102° vs C-C 130.4°）、ECSA和kinetics等结构因素解释了性能差异的根源。Graph-RAG在该问题中召回内容有限，指出"数据中未提及具体电极类型"。</w:t>
      </w:r>
    </w:p>
    <w:p w14:paraId="05D3D88D">
      <w:pPr>
        <w:keepNext w:val="0"/>
        <w:spacing w:before="120" w:after="60" w:line="240" w:lineRule="auto"/>
        <w:jc w:val="left"/>
      </w:pPr>
      <w:r>
        <w:rPr>
          <w:rFonts w:ascii="Times New Roman" w:hAnsi="Times New Roman" w:eastAsia="黑体"/>
          <w:b/>
          <w:i w:val="0"/>
          <w:sz w:val="21"/>
        </w:rPr>
        <w:t>Q11：在高电流密度下保持高EE的综合策略（Level 6）</w:t>
      </w:r>
    </w:p>
    <w:p w14:paraId="03CBE9A3">
      <w:pPr>
        <w:keepNext w:val="0"/>
        <w:spacing w:before="0" w:after="60" w:line="240" w:lineRule="auto"/>
        <w:ind w:firstLine="420"/>
        <w:jc w:val="both"/>
      </w:pPr>
      <w:r>
        <w:rPr>
          <w:rFonts w:ascii="Times New Roman" w:hAnsi="Times New Roman" w:eastAsia="宋体"/>
          <w:b w:val="0"/>
          <w:sz w:val="21"/>
        </w:rPr>
        <w:t>Q11是案例集中难度最高的策略推荐型问题，要求跨越不同液流电池体系（VRFB、ICRFB、锌基），综合归纳多种技术路径的有效性证据。Hyper-ChE的回答能够从多个方向组织策略，体现出一定的跨体系归纳能力，从四个维度组织策略：（1）膜优化策略；（2）电极改性策略；（3）电解液优化策略；（4）跨体系归纳。Graph-RAG的回答主要聚焦于单一膜材料，主要涉及单一膜材料和效率随电流密度变化的趋势。</w:t>
      </w:r>
    </w:p>
    <w:p w14:paraId="3CAA6FCB">
      <w:pPr>
        <w:keepNext/>
        <w:spacing w:before="120" w:after="60" w:line="240" w:lineRule="auto"/>
        <w:jc w:val="left"/>
      </w:pPr>
      <w:r>
        <w:rPr>
          <w:rFonts w:ascii="Times New Roman" w:hAnsi="Times New Roman" w:eastAsia="楷体"/>
          <w:b w:val="0"/>
          <w:i w:val="0"/>
          <w:sz w:val="21"/>
        </w:rPr>
        <w:t>2.2.4 综合结论</w:t>
      </w:r>
    </w:p>
    <w:p w14:paraId="6FEE9C6E">
      <w:pPr>
        <w:keepNext w:val="0"/>
        <w:spacing w:before="0" w:after="60" w:line="240" w:lineRule="auto"/>
        <w:ind w:firstLine="420"/>
        <w:jc w:val="both"/>
      </w:pPr>
      <w:r>
        <w:rPr>
          <w:rFonts w:ascii="Times New Roman" w:hAnsi="Times New Roman" w:eastAsia="宋体"/>
          <w:b w:val="0"/>
          <w:i w:val="0"/>
          <w:sz w:val="21"/>
        </w:rPr>
        <w:t>上述5个典型问题的深度分析揭示了超图知识表示在科学文献检索中的潜在优势，其价值主要体现在以下三个方面：</w:t>
      </w:r>
    </w:p>
    <w:p w14:paraId="14E02BE9">
      <w:pPr>
        <w:keepNext w:val="0"/>
        <w:spacing w:before="0" w:after="60" w:line="240" w:lineRule="auto"/>
        <w:ind w:firstLine="420"/>
        <w:jc w:val="both"/>
      </w:pPr>
      <w:r>
        <w:rPr>
          <w:rFonts w:ascii="Times New Roman" w:hAnsi="Times New Roman" w:eastAsia="宋体"/>
          <w:b w:val="0"/>
          <w:sz w:val="21"/>
        </w:rPr>
        <w:t>条件完整性（Condition Integrity）。在Level 3及以上的问题中，答案质量高度依赖于"多个实验条件参数是否被作为整体召回"。Hyper-ChE的OPERATION和COMPOSITION超边将体系类型、材料名称、电流密度、效率数值等多元信息保存在同一关系结构中，有助于保持条件组合的连贯性。</w:t>
      </w:r>
    </w:p>
    <w:p w14:paraId="0A1FA4DF">
      <w:pPr>
        <w:keepNext w:val="0"/>
        <w:spacing w:before="0" w:after="60" w:line="240" w:lineRule="auto"/>
        <w:ind w:firstLine="420"/>
        <w:jc w:val="both"/>
      </w:pPr>
      <w:r>
        <w:rPr>
          <w:rFonts w:ascii="Times New Roman" w:hAnsi="Times New Roman" w:eastAsia="宋体"/>
          <w:b w:val="0"/>
          <w:sz w:val="21"/>
        </w:rPr>
        <w:t>上下文可解释性（Contextual Explainability）。Hyper-ChE不仅能够召回事实数据，还能通过DEGRADATION和COMPARISON超边召回"为什么有效"的机理解释，形成"数据+机理"的双层回答结构。</w:t>
      </w:r>
    </w:p>
    <w:p w14:paraId="39902581">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sz w:val="21"/>
        </w:rPr>
        <w:t>跨域关联能力（Cross-domain Association）。在Level 6的策略推荐型问题中，Hyper-ChE的高阶超边充当了不同体系之间的"语义桥梁"，为跨体系知识迁移提供了支持。</w:t>
      </w:r>
    </w:p>
    <w:p w14:paraId="54818727">
      <w:pPr>
        <w:keepNext w:val="0"/>
        <w:spacing w:before="0" w:after="60" w:line="240" w:lineRule="auto"/>
        <w:ind w:firstLine="420" w:firstLineChars="200"/>
        <w:jc w:val="both"/>
      </w:pPr>
      <w:r>
        <w:rPr>
          <w:rFonts w:ascii="Times New Roman" w:hAnsi="Times New Roman" w:eastAsia="宋体"/>
          <w:b w:val="0"/>
          <w:sz w:val="21"/>
        </w:rPr>
        <w:t>值得补充的是，Graph-RAG的局限主要源于其表示方式：二元边难以还原多变量实验事实的完整结构。在本案例集的全部12个问题中，Graph-RAG有9个问题中Hyper-ChE表现更好，其中3个问题出现"数据不足"的明确失败信号。</w:t>
      </w:r>
    </w:p>
    <w:p w14:paraId="4406E853">
      <w:pPr>
        <w:keepNext/>
        <w:spacing w:before="240" w:after="240" w:line="240" w:lineRule="auto"/>
        <w:jc w:val="left"/>
      </w:pPr>
      <w:r>
        <w:rPr>
          <w:rFonts w:ascii="Times New Roman" w:hAnsi="Times New Roman" w:eastAsia="黑体"/>
          <w:b/>
          <w:i w:val="0"/>
          <w:sz w:val="28"/>
        </w:rPr>
        <w:t>3 案例二：PFAS去除与降解文献中的高阶关系检索验证</w:t>
      </w:r>
    </w:p>
    <w:p w14:paraId="32B5FD94">
      <w:pPr>
        <w:keepNext/>
        <w:spacing w:before="120" w:after="60" w:line="240" w:lineRule="auto"/>
        <w:jc w:val="left"/>
      </w:pPr>
      <w:r>
        <w:rPr>
          <w:rFonts w:ascii="Times New Roman" w:hAnsi="Times New Roman" w:eastAsia="黑体"/>
          <w:b/>
          <w:i w:val="0"/>
          <w:sz w:val="21"/>
        </w:rPr>
        <w:t>3.1 数据来源与知识库构建</w:t>
      </w:r>
    </w:p>
    <w:p w14:paraId="74D26149">
      <w:pPr>
        <w:keepNext w:val="0"/>
        <w:spacing w:before="0" w:after="60" w:line="240" w:lineRule="auto"/>
        <w:ind w:firstLine="420"/>
        <w:jc w:val="both"/>
      </w:pPr>
      <w:r>
        <w:rPr>
          <w:rFonts w:ascii="Times New Roman" w:hAnsi="Times New Roman" w:eastAsia="宋体"/>
          <w:b w:val="0"/>
          <w:sz w:val="21"/>
        </w:rPr>
        <w:t>PFAS降解知识体系围绕核心反应器展开，实体类型替换为PFAS目标物、催化剂材料、活性物种、反应条件、性能指标等10类节点（图3a）。领域适配仅修改实体与关系类型，知识超图构建框架保持不变（图3b），说明该方法具备跨体系迁移能力。</w:t>
      </w:r>
    </w:p>
    <w:p w14:paraId="62051F5D">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b w:val="0"/>
          <w:i w:val="0"/>
          <w:sz w:val="21"/>
        </w:rPr>
        <w:t>基于上述语料构建的PFAS降解案例知识库统计如表5所示。</w:t>
      </w:r>
      <w:bookmarkStart w:id="0" w:name="_GoBack"/>
      <w:bookmarkEnd w:id="0"/>
    </w:p>
    <w:p w14:paraId="5E23EFD9">
      <w:pPr>
        <w:keepNext w:val="0"/>
        <w:spacing w:before="0" w:after="60" w:line="240" w:lineRule="auto"/>
        <w:ind w:firstLine="420"/>
        <w:jc w:val="both"/>
        <w:rPr>
          <w:rFonts w:hint="eastAsia" w:ascii="Times New Roman" w:hAnsi="Times New Roman" w:eastAsia="宋体"/>
          <w:b w:val="0"/>
          <w:i w:val="0"/>
          <w:sz w:val="21"/>
          <w:lang w:eastAsia="zh-CN"/>
        </w:rPr>
      </w:pPr>
    </w:p>
    <w:p w14:paraId="2B3BE22F">
      <w:pPr>
        <w:keepNext w:val="0"/>
        <w:spacing w:before="120" w:after="60" w:line="240" w:lineRule="auto"/>
        <w:jc w:val="center"/>
      </w:pPr>
      <w:r>
        <w:rPr>
          <w:rFonts w:ascii="Times New Roman" w:hAnsi="Times New Roman" w:eastAsia="宋体"/>
          <w:b w:val="0"/>
          <w:i w:val="0"/>
          <w:sz w:val="18"/>
        </w:rPr>
        <w:t>表5 PFAS去除与降解知识库构建统计</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701"/>
        <w:gridCol w:w="1134"/>
        <w:gridCol w:w="4592"/>
      </w:tblGrid>
      <w:tr w14:paraId="1B180BB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PrEx>
        <w:trPr>
          <w:jc w:val="center"/>
        </w:trPr>
        <w:tc>
          <w:tcPr>
            <w:tcW w:w="1701" w:type="dxa"/>
            <w:tcBorders>
              <w:bottom w:val="single" w:color="000000" w:sz="8" w:space="0"/>
            </w:tcBorders>
            <w:shd w:val="clear" w:color="auto" w:fill="EDEDED"/>
            <w:tcMar>
              <w:top w:w="80" w:type="dxa"/>
              <w:left w:w="80" w:type="dxa"/>
              <w:bottom w:w="80" w:type="dxa"/>
              <w:right w:w="80" w:type="dxa"/>
            </w:tcMar>
            <w:vAlign w:val="center"/>
          </w:tcPr>
          <w:p w14:paraId="79F1D24A">
            <w:pPr>
              <w:jc w:val="center"/>
            </w:pPr>
            <w:r>
              <w:rPr>
                <w:rFonts w:ascii="Times New Roman" w:hAnsi="Times New Roman" w:eastAsia="??"/>
                <w:b/>
                <w:i w:val="0"/>
                <w:sz w:val="19"/>
              </w:rPr>
              <w:t>项目</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3E260AE6">
            <w:pPr>
              <w:jc w:val="center"/>
            </w:pPr>
            <w:r>
              <w:rPr>
                <w:rFonts w:ascii="Times New Roman" w:hAnsi="Times New Roman" w:eastAsia="??"/>
                <w:b/>
                <w:i w:val="0"/>
                <w:sz w:val="19"/>
              </w:rPr>
              <w:t>数量</w:t>
            </w:r>
          </w:p>
        </w:tc>
        <w:tc>
          <w:tcPr>
            <w:tcW w:w="4592" w:type="dxa"/>
            <w:tcBorders>
              <w:bottom w:val="single" w:color="000000" w:sz="8" w:space="0"/>
            </w:tcBorders>
            <w:shd w:val="clear" w:color="auto" w:fill="EDEDED"/>
            <w:tcMar>
              <w:top w:w="80" w:type="dxa"/>
              <w:left w:w="80" w:type="dxa"/>
              <w:bottom w:w="80" w:type="dxa"/>
              <w:right w:w="80" w:type="dxa"/>
            </w:tcMar>
            <w:vAlign w:val="center"/>
          </w:tcPr>
          <w:p w14:paraId="1855965C">
            <w:pPr>
              <w:jc w:val="center"/>
            </w:pPr>
            <w:r>
              <w:rPr>
                <w:rFonts w:ascii="Times New Roman" w:hAnsi="Times New Roman" w:eastAsia="??"/>
                <w:b/>
                <w:i w:val="0"/>
                <w:sz w:val="19"/>
              </w:rPr>
              <w:t>说明</w:t>
            </w:r>
          </w:p>
        </w:tc>
      </w:tr>
      <w:tr w14:paraId="56F2068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3B6A091F">
            <w:pPr>
              <w:jc w:val="center"/>
            </w:pPr>
            <w:r>
              <w:rPr>
                <w:rFonts w:ascii="Times New Roman" w:hAnsi="Times New Roman" w:eastAsia="??"/>
                <w:b w:val="0"/>
                <w:i w:val="0"/>
                <w:sz w:val="18"/>
              </w:rPr>
              <w:t>文档数</w:t>
            </w:r>
          </w:p>
        </w:tc>
        <w:tc>
          <w:tcPr>
            <w:tcW w:w="1134" w:type="dxa"/>
            <w:tcMar>
              <w:top w:w="80" w:type="dxa"/>
              <w:left w:w="80" w:type="dxa"/>
              <w:bottom w:w="80" w:type="dxa"/>
              <w:right w:w="80" w:type="dxa"/>
            </w:tcMar>
            <w:vAlign w:val="center"/>
          </w:tcPr>
          <w:p w14:paraId="6B1C35C5">
            <w:pPr>
              <w:jc w:val="center"/>
              <w:rPr>
                <w:rFonts w:hint="default" w:eastAsia="宋体"/>
                <w:lang w:val="en-US" w:eastAsia="zh-CN"/>
              </w:rPr>
            </w:pPr>
            <w:r>
              <w:rPr>
                <w:rFonts w:hint="eastAsia" w:ascii="Times New Roman" w:hAnsi="Times New Roman" w:eastAsia="??"/>
                <w:b w:val="0"/>
                <w:i w:val="0"/>
                <w:sz w:val="18"/>
                <w:lang w:val="en-US" w:eastAsia="zh-CN"/>
              </w:rPr>
              <w:t>50</w:t>
            </w:r>
          </w:p>
        </w:tc>
        <w:tc>
          <w:tcPr>
            <w:tcW w:w="4592" w:type="dxa"/>
            <w:tcMar>
              <w:top w:w="80" w:type="dxa"/>
              <w:left w:w="80" w:type="dxa"/>
              <w:bottom w:w="80" w:type="dxa"/>
              <w:right w:w="80" w:type="dxa"/>
            </w:tcMar>
            <w:vAlign w:val="center"/>
          </w:tcPr>
          <w:p w14:paraId="58D4E28E">
            <w:pPr>
              <w:jc w:val="left"/>
            </w:pPr>
            <w:r>
              <w:rPr>
                <w:rFonts w:ascii="Times New Roman" w:hAnsi="Times New Roman" w:eastAsia="??"/>
                <w:b w:val="0"/>
                <w:i w:val="0"/>
                <w:sz w:val="18"/>
              </w:rPr>
              <w:t>当前缓存实际写入</w:t>
            </w:r>
            <w:r>
              <w:rPr>
                <w:rFonts w:hint="eastAsia" w:ascii="Times New Roman" w:hAnsi="Times New Roman" w:eastAsia="??"/>
                <w:b w:val="0"/>
                <w:i w:val="0"/>
                <w:sz w:val="18"/>
                <w:lang w:val="en-US" w:eastAsia="zh-CN"/>
              </w:rPr>
              <w:t>50</w:t>
            </w:r>
            <w:r>
              <w:rPr>
                <w:rFonts w:ascii="Times New Roman" w:hAnsi="Times New Roman" w:eastAsia="??"/>
                <w:b w:val="0"/>
                <w:i w:val="0"/>
                <w:sz w:val="18"/>
              </w:rPr>
              <w:t>篇PFAS去除与降解领域文献</w:t>
            </w:r>
          </w:p>
        </w:tc>
      </w:tr>
      <w:tr w14:paraId="64B96E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78437FA8">
            <w:pPr>
              <w:jc w:val="center"/>
            </w:pPr>
            <w:r>
              <w:rPr>
                <w:rFonts w:ascii="Times New Roman" w:hAnsi="Times New Roman" w:eastAsia="??"/>
                <w:b w:val="0"/>
                <w:i w:val="0"/>
                <w:sz w:val="18"/>
              </w:rPr>
              <w:t>文本块</w:t>
            </w:r>
          </w:p>
        </w:tc>
        <w:tc>
          <w:tcPr>
            <w:tcW w:w="1134" w:type="dxa"/>
            <w:tcMar>
              <w:top w:w="80" w:type="dxa"/>
              <w:left w:w="80" w:type="dxa"/>
              <w:bottom w:w="80" w:type="dxa"/>
              <w:right w:w="80" w:type="dxa"/>
            </w:tcMar>
            <w:vAlign w:val="center"/>
          </w:tcPr>
          <w:p w14:paraId="47A37BF0">
            <w:pPr>
              <w:jc w:val="center"/>
            </w:pPr>
            <w:r>
              <w:rPr>
                <w:rFonts w:ascii="Times New Roman" w:hAnsi="Times New Roman" w:eastAsia="??"/>
                <w:b w:val="0"/>
                <w:i w:val="0"/>
                <w:sz w:val="18"/>
              </w:rPr>
              <w:t>599</w:t>
            </w:r>
          </w:p>
        </w:tc>
        <w:tc>
          <w:tcPr>
            <w:tcW w:w="4592" w:type="dxa"/>
            <w:tcMar>
              <w:top w:w="80" w:type="dxa"/>
              <w:left w:w="80" w:type="dxa"/>
              <w:bottom w:w="80" w:type="dxa"/>
              <w:right w:w="80" w:type="dxa"/>
            </w:tcMar>
            <w:vAlign w:val="center"/>
          </w:tcPr>
          <w:p w14:paraId="27D41AEA">
            <w:pPr>
              <w:jc w:val="left"/>
            </w:pPr>
            <w:r>
              <w:rPr>
                <w:rFonts w:ascii="Times New Roman" w:hAnsi="Times New Roman" w:eastAsia="??"/>
                <w:b w:val="0"/>
                <w:i w:val="0"/>
                <w:sz w:val="18"/>
              </w:rPr>
              <w:t>文献解析与分块后的基本抽取单元</w:t>
            </w:r>
          </w:p>
        </w:tc>
      </w:tr>
      <w:tr w14:paraId="272356F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58245EC">
            <w:pPr>
              <w:jc w:val="center"/>
            </w:pPr>
            <w:r>
              <w:rPr>
                <w:rFonts w:ascii="Times New Roman" w:hAnsi="Times New Roman" w:eastAsia="??"/>
                <w:b w:val="0"/>
                <w:i w:val="0"/>
                <w:sz w:val="18"/>
              </w:rPr>
              <w:t>实体节点</w:t>
            </w:r>
          </w:p>
        </w:tc>
        <w:tc>
          <w:tcPr>
            <w:tcW w:w="1134" w:type="dxa"/>
            <w:tcMar>
              <w:top w:w="80" w:type="dxa"/>
              <w:left w:w="80" w:type="dxa"/>
              <w:bottom w:w="80" w:type="dxa"/>
              <w:right w:w="80" w:type="dxa"/>
            </w:tcMar>
            <w:vAlign w:val="center"/>
          </w:tcPr>
          <w:p w14:paraId="17C735F5">
            <w:pPr>
              <w:jc w:val="center"/>
            </w:pPr>
            <w:r>
              <w:rPr>
                <w:rFonts w:ascii="Times New Roman" w:hAnsi="Times New Roman" w:eastAsia="??"/>
                <w:b w:val="0"/>
                <w:i w:val="0"/>
                <w:sz w:val="18"/>
              </w:rPr>
              <w:t>7253</w:t>
            </w:r>
          </w:p>
        </w:tc>
        <w:tc>
          <w:tcPr>
            <w:tcW w:w="4592" w:type="dxa"/>
            <w:tcMar>
              <w:top w:w="80" w:type="dxa"/>
              <w:left w:w="80" w:type="dxa"/>
              <w:bottom w:w="80" w:type="dxa"/>
              <w:right w:w="80" w:type="dxa"/>
            </w:tcMar>
            <w:vAlign w:val="center"/>
          </w:tcPr>
          <w:p w14:paraId="54821E65">
            <w:pPr>
              <w:jc w:val="left"/>
            </w:pPr>
            <w:r>
              <w:rPr>
                <w:rFonts w:ascii="Times New Roman" w:hAnsi="Times New Roman" w:eastAsia="??"/>
                <w:b w:val="0"/>
                <w:i w:val="0"/>
                <w:sz w:val="18"/>
              </w:rPr>
              <w:t>超图数据库中的全部实体节点</w:t>
            </w:r>
          </w:p>
        </w:tc>
      </w:tr>
      <w:tr w14:paraId="64706A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58ED1DB9">
            <w:pPr>
              <w:jc w:val="center"/>
            </w:pPr>
            <w:r>
              <w:rPr>
                <w:rFonts w:ascii="Times New Roman" w:hAnsi="Times New Roman" w:eastAsia="??"/>
                <w:b w:val="0"/>
                <w:i w:val="0"/>
                <w:sz w:val="18"/>
              </w:rPr>
              <w:t>全部关系/超边</w:t>
            </w:r>
          </w:p>
        </w:tc>
        <w:tc>
          <w:tcPr>
            <w:tcW w:w="1134" w:type="dxa"/>
            <w:tcMar>
              <w:top w:w="80" w:type="dxa"/>
              <w:left w:w="80" w:type="dxa"/>
              <w:bottom w:w="80" w:type="dxa"/>
              <w:right w:w="80" w:type="dxa"/>
            </w:tcMar>
            <w:vAlign w:val="center"/>
          </w:tcPr>
          <w:p w14:paraId="6E9536DE">
            <w:pPr>
              <w:jc w:val="center"/>
            </w:pPr>
            <w:r>
              <w:rPr>
                <w:rFonts w:ascii="Times New Roman" w:hAnsi="Times New Roman" w:eastAsia="??"/>
                <w:b w:val="0"/>
                <w:i w:val="0"/>
                <w:sz w:val="18"/>
              </w:rPr>
              <w:t>10363</w:t>
            </w:r>
          </w:p>
        </w:tc>
        <w:tc>
          <w:tcPr>
            <w:tcW w:w="4592" w:type="dxa"/>
            <w:tcMar>
              <w:top w:w="80" w:type="dxa"/>
              <w:left w:w="80" w:type="dxa"/>
              <w:bottom w:w="80" w:type="dxa"/>
              <w:right w:w="80" w:type="dxa"/>
            </w:tcMar>
            <w:vAlign w:val="center"/>
          </w:tcPr>
          <w:p w14:paraId="1A4E9DF2">
            <w:pPr>
              <w:jc w:val="left"/>
            </w:pPr>
            <w:r>
              <w:rPr>
                <w:rFonts w:ascii="Times New Roman" w:hAnsi="Times New Roman" w:eastAsia="??"/>
                <w:b w:val="0"/>
                <w:i w:val="0"/>
                <w:sz w:val="18"/>
              </w:rPr>
              <w:t>低阶关系与高阶超边总数</w:t>
            </w:r>
          </w:p>
        </w:tc>
      </w:tr>
      <w:tr w14:paraId="0BC705C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4FC1DB71">
            <w:pPr>
              <w:jc w:val="center"/>
            </w:pPr>
            <w:r>
              <w:rPr>
                <w:rFonts w:ascii="Times New Roman" w:hAnsi="Times New Roman" w:eastAsia="??"/>
                <w:b w:val="0"/>
                <w:i w:val="0"/>
                <w:sz w:val="18"/>
              </w:rPr>
              <w:t>低阶关系</w:t>
            </w:r>
          </w:p>
        </w:tc>
        <w:tc>
          <w:tcPr>
            <w:tcW w:w="1134" w:type="dxa"/>
            <w:tcMar>
              <w:top w:w="80" w:type="dxa"/>
              <w:left w:w="80" w:type="dxa"/>
              <w:bottom w:w="80" w:type="dxa"/>
              <w:right w:w="80" w:type="dxa"/>
            </w:tcMar>
            <w:vAlign w:val="center"/>
          </w:tcPr>
          <w:p w14:paraId="4488B621">
            <w:pPr>
              <w:jc w:val="center"/>
            </w:pPr>
            <w:r>
              <w:rPr>
                <w:rFonts w:ascii="Times New Roman" w:hAnsi="Times New Roman" w:eastAsia="??"/>
                <w:b w:val="0"/>
                <w:i w:val="0"/>
                <w:sz w:val="18"/>
              </w:rPr>
              <w:t>8051</w:t>
            </w:r>
          </w:p>
        </w:tc>
        <w:tc>
          <w:tcPr>
            <w:tcW w:w="4592" w:type="dxa"/>
            <w:tcMar>
              <w:top w:w="80" w:type="dxa"/>
              <w:left w:w="80" w:type="dxa"/>
              <w:bottom w:w="80" w:type="dxa"/>
              <w:right w:w="80" w:type="dxa"/>
            </w:tcMar>
            <w:vAlign w:val="center"/>
          </w:tcPr>
          <w:p w14:paraId="67253A89">
            <w:pPr>
              <w:jc w:val="left"/>
            </w:pPr>
            <w:r>
              <w:rPr>
                <w:rFonts w:ascii="Times New Roman" w:hAnsi="Times New Roman" w:eastAsia="??"/>
                <w:b w:val="0"/>
                <w:i w:val="0"/>
                <w:sz w:val="18"/>
              </w:rPr>
              <w:t>二元关系，cardinality = 2</w:t>
            </w:r>
          </w:p>
        </w:tc>
      </w:tr>
      <w:tr w14:paraId="392C3BC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14:paraId="66F684A5">
            <w:pPr>
              <w:jc w:val="center"/>
            </w:pPr>
            <w:r>
              <w:rPr>
                <w:rFonts w:ascii="Times New Roman" w:hAnsi="Times New Roman" w:eastAsia="??"/>
                <w:b w:val="0"/>
                <w:i w:val="0"/>
                <w:sz w:val="18"/>
              </w:rPr>
              <w:t>高阶关系/高阶超边</w:t>
            </w:r>
          </w:p>
        </w:tc>
        <w:tc>
          <w:tcPr>
            <w:tcW w:w="1134" w:type="dxa"/>
            <w:tcMar>
              <w:top w:w="80" w:type="dxa"/>
              <w:left w:w="80" w:type="dxa"/>
              <w:bottom w:w="80" w:type="dxa"/>
              <w:right w:w="80" w:type="dxa"/>
            </w:tcMar>
            <w:vAlign w:val="center"/>
          </w:tcPr>
          <w:p w14:paraId="27BBE30A">
            <w:pPr>
              <w:jc w:val="center"/>
            </w:pPr>
            <w:r>
              <w:rPr>
                <w:rFonts w:ascii="Times New Roman" w:hAnsi="Times New Roman" w:eastAsia="??"/>
                <w:b w:val="0"/>
                <w:i w:val="0"/>
                <w:sz w:val="18"/>
              </w:rPr>
              <w:t>2278</w:t>
            </w:r>
          </w:p>
        </w:tc>
        <w:tc>
          <w:tcPr>
            <w:tcW w:w="4592" w:type="dxa"/>
            <w:tcMar>
              <w:top w:w="80" w:type="dxa"/>
              <w:left w:w="80" w:type="dxa"/>
              <w:bottom w:w="80" w:type="dxa"/>
              <w:right w:w="80" w:type="dxa"/>
            </w:tcMar>
            <w:vAlign w:val="center"/>
          </w:tcPr>
          <w:p w14:paraId="4273DD2F">
            <w:pPr>
              <w:jc w:val="left"/>
            </w:pPr>
            <w:r>
              <w:rPr>
                <w:rFonts w:ascii="Times New Roman" w:hAnsi="Times New Roman" w:eastAsia="??"/>
                <w:b w:val="0"/>
                <w:i w:val="0"/>
                <w:sz w:val="18"/>
              </w:rPr>
              <w:t>三元及以上关系，cardinality ≥ 3</w:t>
            </w:r>
          </w:p>
        </w:tc>
      </w:tr>
    </w:tbl>
    <w:p w14:paraId="3BDB6CE7"/>
    <w:p w14:paraId="0CA4B318">
      <w:pPr>
        <w:keepNext w:val="0"/>
        <w:spacing w:before="0" w:after="60" w:line="240" w:lineRule="auto"/>
        <w:ind w:firstLine="420"/>
        <w:jc w:val="both"/>
      </w:pPr>
      <w:r>
        <w:rPr>
          <w:rFonts w:ascii="Times New Roman" w:hAnsi="Times New Roman" w:eastAsia="宋体"/>
          <w:sz w:val="21"/>
        </w:rPr>
        <w:t>知识库覆盖50篇文献、624个文本块，提取7476个实体节点与10812条关系或超边，高阶超边占21.98%（图4c）。类型分布呈长尾特征（图4d）。该比例与液流电池案例的20.9%高度接近，表明多变量耦合是化工知识的普遍结构特征。</w:t>
      </w:r>
    </w:p>
    <w:p w14:paraId="5BC8FF25">
      <w:pPr>
        <w:keepNext w:val="0"/>
        <w:spacing w:before="120" w:after="60" w:line="240" w:lineRule="auto"/>
        <w:jc w:val="center"/>
      </w:pPr>
      <w:r>
        <w:rPr>
          <w:rFonts w:ascii="Times New Roman" w:hAnsi="Times New Roman" w:eastAsia="宋体"/>
          <w:b w:val="0"/>
          <w:i w:val="0"/>
          <w:sz w:val="18"/>
        </w:rPr>
        <w:t>表6 PFAS去除与降解案例实体类型分布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41CCA86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3D2FE7D9">
            <w:pPr>
              <w:jc w:val="center"/>
            </w:pPr>
            <w:r>
              <w:rPr>
                <w:rFonts w:ascii="Times New Roman" w:hAnsi="Times New Roman" w:eastAsia="??"/>
                <w:b/>
                <w:i w:val="0"/>
                <w:sz w:val="19"/>
              </w:rPr>
              <w:t>实体类型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005533C5">
            <w:pPr>
              <w:jc w:val="center"/>
            </w:pPr>
            <w:r>
              <w:rPr>
                <w:rFonts w:ascii="Times New Roman" w:hAnsi="Times New Roman" w:eastAsia="??"/>
                <w:b/>
                <w:i w:val="0"/>
                <w:sz w:val="19"/>
              </w:rPr>
              <w:t>数量</w:t>
            </w:r>
          </w:p>
        </w:tc>
      </w:tr>
      <w:tr w14:paraId="332627A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111CD6">
            <w:pPr>
              <w:jc w:val="left"/>
            </w:pPr>
            <w:r>
              <w:rPr>
                <w:rFonts w:ascii="Times New Roman" w:hAnsi="Times New Roman" w:eastAsia="??"/>
                <w:b w:val="0"/>
                <w:i w:val="0"/>
                <w:sz w:val="18"/>
              </w:rPr>
              <w:t>METRIC（性能指标）</w:t>
            </w:r>
          </w:p>
        </w:tc>
        <w:tc>
          <w:tcPr>
            <w:tcW w:w="1134" w:type="dxa"/>
            <w:tcMar>
              <w:top w:w="80" w:type="dxa"/>
              <w:left w:w="80" w:type="dxa"/>
              <w:bottom w:w="80" w:type="dxa"/>
              <w:right w:w="80" w:type="dxa"/>
            </w:tcMar>
            <w:vAlign w:val="center"/>
          </w:tcPr>
          <w:p w14:paraId="4E83F90C">
            <w:pPr>
              <w:jc w:val="center"/>
            </w:pPr>
            <w:r>
              <w:rPr>
                <w:rFonts w:ascii="Times New Roman" w:hAnsi="Times New Roman" w:eastAsia="??"/>
                <w:b w:val="0"/>
                <w:i w:val="0"/>
                <w:sz w:val="18"/>
              </w:rPr>
              <w:t>1397</w:t>
            </w:r>
          </w:p>
        </w:tc>
      </w:tr>
      <w:tr w14:paraId="377E953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4020A502">
            <w:pPr>
              <w:jc w:val="left"/>
            </w:pPr>
            <w:r>
              <w:rPr>
                <w:rFonts w:ascii="Times New Roman" w:hAnsi="Times New Roman" w:eastAsia="??"/>
                <w:b w:val="0"/>
                <w:i w:val="0"/>
                <w:sz w:val="18"/>
              </w:rPr>
              <w:t>CONDITION（反应条件）</w:t>
            </w:r>
          </w:p>
        </w:tc>
        <w:tc>
          <w:tcPr>
            <w:tcW w:w="1134" w:type="dxa"/>
            <w:tcMar>
              <w:top w:w="80" w:type="dxa"/>
              <w:left w:w="80" w:type="dxa"/>
              <w:bottom w:w="80" w:type="dxa"/>
              <w:right w:w="80" w:type="dxa"/>
            </w:tcMar>
            <w:vAlign w:val="center"/>
          </w:tcPr>
          <w:p w14:paraId="651BB19E">
            <w:pPr>
              <w:jc w:val="center"/>
            </w:pPr>
            <w:r>
              <w:rPr>
                <w:rFonts w:ascii="Times New Roman" w:hAnsi="Times New Roman" w:eastAsia="??"/>
                <w:b w:val="0"/>
                <w:i w:val="0"/>
                <w:sz w:val="18"/>
              </w:rPr>
              <w:t>1181</w:t>
            </w:r>
          </w:p>
        </w:tc>
      </w:tr>
      <w:tr w14:paraId="760080A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21724DA">
            <w:pPr>
              <w:jc w:val="left"/>
            </w:pPr>
            <w:r>
              <w:rPr>
                <w:rFonts w:ascii="Times New Roman" w:hAnsi="Times New Roman" w:eastAsia="??"/>
                <w:b w:val="0"/>
                <w:i w:val="0"/>
                <w:sz w:val="18"/>
              </w:rPr>
              <w:t>CATALYST_MATERIAL（催化材料）</w:t>
            </w:r>
          </w:p>
        </w:tc>
        <w:tc>
          <w:tcPr>
            <w:tcW w:w="1134" w:type="dxa"/>
            <w:tcMar>
              <w:top w:w="80" w:type="dxa"/>
              <w:left w:w="80" w:type="dxa"/>
              <w:bottom w:w="80" w:type="dxa"/>
              <w:right w:w="80" w:type="dxa"/>
            </w:tcMar>
            <w:vAlign w:val="center"/>
          </w:tcPr>
          <w:p w14:paraId="56137B62">
            <w:pPr>
              <w:jc w:val="center"/>
            </w:pPr>
            <w:r>
              <w:rPr>
                <w:rFonts w:ascii="Times New Roman" w:hAnsi="Times New Roman" w:eastAsia="??"/>
                <w:b w:val="0"/>
                <w:i w:val="0"/>
                <w:sz w:val="18"/>
              </w:rPr>
              <w:t>1181</w:t>
            </w:r>
          </w:p>
        </w:tc>
      </w:tr>
      <w:tr w14:paraId="626F961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05AB21B">
            <w:pPr>
              <w:jc w:val="left"/>
            </w:pPr>
            <w:r>
              <w:rPr>
                <w:rFonts w:ascii="Times New Roman" w:hAnsi="Times New Roman" w:eastAsia="??"/>
                <w:b w:val="0"/>
                <w:i w:val="0"/>
                <w:sz w:val="18"/>
              </w:rPr>
              <w:t>MATERIAL_FEATURE（材料特征）</w:t>
            </w:r>
          </w:p>
        </w:tc>
        <w:tc>
          <w:tcPr>
            <w:tcW w:w="1134" w:type="dxa"/>
            <w:tcMar>
              <w:top w:w="80" w:type="dxa"/>
              <w:left w:w="80" w:type="dxa"/>
              <w:bottom w:w="80" w:type="dxa"/>
              <w:right w:w="80" w:type="dxa"/>
            </w:tcMar>
            <w:vAlign w:val="center"/>
          </w:tcPr>
          <w:p w14:paraId="2A89F859">
            <w:pPr>
              <w:jc w:val="center"/>
            </w:pPr>
            <w:r>
              <w:rPr>
                <w:rFonts w:ascii="Times New Roman" w:hAnsi="Times New Roman" w:eastAsia="??"/>
                <w:b w:val="0"/>
                <w:i w:val="0"/>
                <w:sz w:val="18"/>
              </w:rPr>
              <w:t>1048</w:t>
            </w:r>
          </w:p>
        </w:tc>
      </w:tr>
      <w:tr w14:paraId="2CA7652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5B23C6F">
            <w:pPr>
              <w:jc w:val="left"/>
            </w:pPr>
            <w:r>
              <w:rPr>
                <w:rFonts w:ascii="Times New Roman" w:hAnsi="Times New Roman" w:eastAsia="??"/>
                <w:b w:val="0"/>
                <w:i w:val="0"/>
                <w:sz w:val="18"/>
              </w:rPr>
              <w:t>MECHANISM_EVIDENCE（机理证据）</w:t>
            </w:r>
          </w:p>
        </w:tc>
        <w:tc>
          <w:tcPr>
            <w:tcW w:w="1134" w:type="dxa"/>
            <w:tcMar>
              <w:top w:w="80" w:type="dxa"/>
              <w:left w:w="80" w:type="dxa"/>
              <w:bottom w:w="80" w:type="dxa"/>
              <w:right w:w="80" w:type="dxa"/>
            </w:tcMar>
            <w:vAlign w:val="center"/>
          </w:tcPr>
          <w:p w14:paraId="3BFA7DB8">
            <w:pPr>
              <w:jc w:val="center"/>
            </w:pPr>
            <w:r>
              <w:rPr>
                <w:rFonts w:ascii="Times New Roman" w:hAnsi="Times New Roman" w:eastAsia="??"/>
                <w:b w:val="0"/>
                <w:i w:val="0"/>
                <w:sz w:val="18"/>
              </w:rPr>
              <w:t>856</w:t>
            </w:r>
          </w:p>
        </w:tc>
      </w:tr>
      <w:tr w14:paraId="0BE1DF4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3FE2C69">
            <w:pPr>
              <w:jc w:val="left"/>
            </w:pPr>
            <w:r>
              <w:rPr>
                <w:rFonts w:ascii="Times New Roman" w:hAnsi="Times New Roman" w:eastAsia="??"/>
                <w:b w:val="0"/>
                <w:i w:val="0"/>
                <w:sz w:val="18"/>
              </w:rPr>
              <w:t>PROCESS_STRATEGY（过程策略）</w:t>
            </w:r>
          </w:p>
        </w:tc>
        <w:tc>
          <w:tcPr>
            <w:tcW w:w="1134" w:type="dxa"/>
            <w:tcMar>
              <w:top w:w="80" w:type="dxa"/>
              <w:left w:w="80" w:type="dxa"/>
              <w:bottom w:w="80" w:type="dxa"/>
              <w:right w:w="80" w:type="dxa"/>
            </w:tcMar>
            <w:vAlign w:val="center"/>
          </w:tcPr>
          <w:p w14:paraId="44606D69">
            <w:pPr>
              <w:jc w:val="center"/>
            </w:pPr>
            <w:r>
              <w:rPr>
                <w:rFonts w:ascii="Times New Roman" w:hAnsi="Times New Roman" w:eastAsia="??"/>
                <w:b w:val="0"/>
                <w:i w:val="0"/>
                <w:sz w:val="18"/>
              </w:rPr>
              <w:t>503</w:t>
            </w:r>
          </w:p>
        </w:tc>
      </w:tr>
      <w:tr w14:paraId="6FBE2B0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1683DF78">
            <w:pPr>
              <w:jc w:val="left"/>
            </w:pPr>
            <w:r>
              <w:rPr>
                <w:rFonts w:ascii="Times New Roman" w:hAnsi="Times New Roman" w:eastAsia="??"/>
                <w:b w:val="0"/>
                <w:i w:val="0"/>
                <w:sz w:val="18"/>
              </w:rPr>
              <w:t>PFAS_TARGET（目标PFAS）</w:t>
            </w:r>
          </w:p>
        </w:tc>
        <w:tc>
          <w:tcPr>
            <w:tcW w:w="1134" w:type="dxa"/>
            <w:tcMar>
              <w:top w:w="80" w:type="dxa"/>
              <w:left w:w="80" w:type="dxa"/>
              <w:bottom w:w="80" w:type="dxa"/>
              <w:right w:w="80" w:type="dxa"/>
            </w:tcMar>
            <w:vAlign w:val="center"/>
          </w:tcPr>
          <w:p w14:paraId="56C4CC6E">
            <w:pPr>
              <w:jc w:val="center"/>
            </w:pPr>
            <w:r>
              <w:rPr>
                <w:rFonts w:ascii="Times New Roman" w:hAnsi="Times New Roman" w:eastAsia="??"/>
                <w:b w:val="0"/>
                <w:i w:val="0"/>
                <w:sz w:val="18"/>
              </w:rPr>
              <w:t>323</w:t>
            </w:r>
          </w:p>
        </w:tc>
      </w:tr>
      <w:tr w14:paraId="12F6DCF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BFABFE7">
            <w:pPr>
              <w:jc w:val="left"/>
            </w:pPr>
            <w:r>
              <w:rPr>
                <w:rFonts w:ascii="Times New Roman" w:hAnsi="Times New Roman" w:eastAsia="??"/>
                <w:b w:val="0"/>
                <w:i w:val="0"/>
                <w:sz w:val="18"/>
              </w:rPr>
              <w:t>ACTIVE_SPECIES（活性物种）</w:t>
            </w:r>
          </w:p>
        </w:tc>
        <w:tc>
          <w:tcPr>
            <w:tcW w:w="1134" w:type="dxa"/>
            <w:tcMar>
              <w:top w:w="80" w:type="dxa"/>
              <w:left w:w="80" w:type="dxa"/>
              <w:bottom w:w="80" w:type="dxa"/>
              <w:right w:w="80" w:type="dxa"/>
            </w:tcMar>
            <w:vAlign w:val="center"/>
          </w:tcPr>
          <w:p w14:paraId="360D5AF8">
            <w:pPr>
              <w:jc w:val="center"/>
            </w:pPr>
            <w:r>
              <w:rPr>
                <w:rFonts w:ascii="Times New Roman" w:hAnsi="Times New Roman" w:eastAsia="??"/>
                <w:b w:val="0"/>
                <w:i w:val="0"/>
                <w:sz w:val="18"/>
              </w:rPr>
              <w:t>312</w:t>
            </w:r>
          </w:p>
        </w:tc>
      </w:tr>
      <w:tr w14:paraId="4103BF8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635B63E">
            <w:pPr>
              <w:jc w:val="left"/>
            </w:pPr>
            <w:r>
              <w:rPr>
                <w:rFonts w:ascii="Times New Roman" w:hAnsi="Times New Roman" w:eastAsia="??"/>
                <w:b w:val="0"/>
                <w:i w:val="0"/>
                <w:sz w:val="18"/>
              </w:rPr>
              <w:t>PIEZO_PROPERTY（压电性质）</w:t>
            </w:r>
          </w:p>
        </w:tc>
        <w:tc>
          <w:tcPr>
            <w:tcW w:w="1134" w:type="dxa"/>
            <w:tcMar>
              <w:top w:w="80" w:type="dxa"/>
              <w:left w:w="80" w:type="dxa"/>
              <w:bottom w:w="80" w:type="dxa"/>
              <w:right w:w="80" w:type="dxa"/>
            </w:tcMar>
            <w:vAlign w:val="center"/>
          </w:tcPr>
          <w:p w14:paraId="550BA304">
            <w:pPr>
              <w:jc w:val="center"/>
            </w:pPr>
            <w:r>
              <w:rPr>
                <w:rFonts w:ascii="Times New Roman" w:hAnsi="Times New Roman" w:eastAsia="??"/>
                <w:b w:val="0"/>
                <w:i w:val="0"/>
                <w:sz w:val="18"/>
              </w:rPr>
              <w:t>249</w:t>
            </w:r>
          </w:p>
        </w:tc>
      </w:tr>
      <w:tr w14:paraId="6963471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7043FD0">
            <w:pPr>
              <w:jc w:val="left"/>
            </w:pPr>
            <w:r>
              <w:rPr>
                <w:rFonts w:ascii="Times New Roman" w:hAnsi="Times New Roman" w:eastAsia="??"/>
                <w:b w:val="0"/>
                <w:i w:val="0"/>
                <w:sz w:val="18"/>
              </w:rPr>
              <w:t>WATER_MATRIX（水体基质）</w:t>
            </w:r>
          </w:p>
        </w:tc>
        <w:tc>
          <w:tcPr>
            <w:tcW w:w="1134" w:type="dxa"/>
            <w:tcMar>
              <w:top w:w="80" w:type="dxa"/>
              <w:left w:w="80" w:type="dxa"/>
              <w:bottom w:w="80" w:type="dxa"/>
              <w:right w:w="80" w:type="dxa"/>
            </w:tcMar>
            <w:vAlign w:val="center"/>
          </w:tcPr>
          <w:p w14:paraId="7F2A5D12">
            <w:pPr>
              <w:jc w:val="center"/>
            </w:pPr>
            <w:r>
              <w:rPr>
                <w:rFonts w:ascii="Times New Roman" w:hAnsi="Times New Roman" w:eastAsia="??"/>
                <w:b w:val="0"/>
                <w:i w:val="0"/>
                <w:sz w:val="18"/>
              </w:rPr>
              <w:t>203</w:t>
            </w:r>
          </w:p>
        </w:tc>
      </w:tr>
    </w:tbl>
    <w:p w14:paraId="005F134C"/>
    <w:p w14:paraId="133BEBCF">
      <w:pPr>
        <w:keepNext w:val="0"/>
        <w:spacing w:before="120" w:after="60" w:line="240" w:lineRule="auto"/>
        <w:jc w:val="center"/>
      </w:pPr>
      <w:r>
        <w:rPr>
          <w:rFonts w:ascii="Times New Roman" w:hAnsi="Times New Roman" w:eastAsia="宋体"/>
          <w:b w:val="0"/>
          <w:i w:val="0"/>
          <w:sz w:val="18"/>
        </w:rPr>
        <w:t>表7 PFAS去除与降解案例关系/超边类型分布</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4649"/>
        <w:gridCol w:w="1134"/>
      </w:tblGrid>
      <w:tr w14:paraId="5D116BA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Borders>
              <w:bottom w:val="single" w:color="000000" w:sz="8" w:space="0"/>
            </w:tcBorders>
            <w:shd w:val="clear" w:color="auto" w:fill="EDEDED"/>
            <w:tcMar>
              <w:top w:w="80" w:type="dxa"/>
              <w:left w:w="80" w:type="dxa"/>
              <w:bottom w:w="80" w:type="dxa"/>
              <w:right w:w="80" w:type="dxa"/>
            </w:tcMar>
            <w:vAlign w:val="center"/>
          </w:tcPr>
          <w:p w14:paraId="1FA2A914">
            <w:pPr>
              <w:jc w:val="center"/>
            </w:pPr>
            <w:r>
              <w:rPr>
                <w:rFonts w:ascii="Times New Roman" w:hAnsi="Times New Roman" w:eastAsia="??"/>
                <w:b/>
                <w:i w:val="0"/>
                <w:sz w:val="19"/>
              </w:rPr>
              <w:t>关系/超边类型</w:t>
            </w:r>
          </w:p>
        </w:tc>
        <w:tc>
          <w:tcPr>
            <w:tcW w:w="1134" w:type="dxa"/>
            <w:tcBorders>
              <w:bottom w:val="single" w:color="000000" w:sz="8" w:space="0"/>
            </w:tcBorders>
            <w:shd w:val="clear" w:color="auto" w:fill="EDEDED"/>
            <w:tcMar>
              <w:top w:w="80" w:type="dxa"/>
              <w:left w:w="80" w:type="dxa"/>
              <w:bottom w:w="80" w:type="dxa"/>
              <w:right w:w="80" w:type="dxa"/>
            </w:tcMar>
            <w:vAlign w:val="center"/>
          </w:tcPr>
          <w:p w14:paraId="1E7ADDA9">
            <w:pPr>
              <w:jc w:val="center"/>
            </w:pPr>
            <w:r>
              <w:rPr>
                <w:rFonts w:ascii="Times New Roman" w:hAnsi="Times New Roman" w:eastAsia="??"/>
                <w:b/>
                <w:i w:val="0"/>
                <w:sz w:val="19"/>
              </w:rPr>
              <w:t>数量</w:t>
            </w:r>
          </w:p>
        </w:tc>
      </w:tr>
      <w:tr w14:paraId="6C3C779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3831808">
            <w:pPr>
              <w:jc w:val="left"/>
            </w:pPr>
            <w:r>
              <w:rPr>
                <w:rFonts w:ascii="Times New Roman" w:hAnsi="Times New Roman" w:eastAsia="??"/>
                <w:b w:val="0"/>
                <w:i w:val="0"/>
                <w:sz w:val="18"/>
              </w:rPr>
              <w:t>OPERATION_PERFORMANCE（操作-性能关系）</w:t>
            </w:r>
          </w:p>
        </w:tc>
        <w:tc>
          <w:tcPr>
            <w:tcW w:w="1134" w:type="dxa"/>
            <w:tcMar>
              <w:top w:w="80" w:type="dxa"/>
              <w:left w:w="80" w:type="dxa"/>
              <w:bottom w:w="80" w:type="dxa"/>
              <w:right w:w="80" w:type="dxa"/>
            </w:tcMar>
            <w:vAlign w:val="center"/>
          </w:tcPr>
          <w:p w14:paraId="0ACFEC66">
            <w:pPr>
              <w:jc w:val="center"/>
            </w:pPr>
            <w:r>
              <w:rPr>
                <w:rFonts w:ascii="Times New Roman" w:hAnsi="Times New Roman" w:eastAsia="??"/>
                <w:b w:val="0"/>
                <w:i w:val="0"/>
                <w:sz w:val="18"/>
              </w:rPr>
              <w:t>3147</w:t>
            </w:r>
          </w:p>
        </w:tc>
      </w:tr>
      <w:tr w14:paraId="5B60CD1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2F36EC7">
            <w:pPr>
              <w:jc w:val="left"/>
            </w:pPr>
            <w:r>
              <w:rPr>
                <w:rFonts w:ascii="Times New Roman" w:hAnsi="Times New Roman" w:eastAsia="??"/>
                <w:b w:val="0"/>
                <w:i w:val="0"/>
                <w:sz w:val="18"/>
              </w:rPr>
              <w:t>MECHANISM_PATHWAY（机理路径关系）</w:t>
            </w:r>
          </w:p>
        </w:tc>
        <w:tc>
          <w:tcPr>
            <w:tcW w:w="1134" w:type="dxa"/>
            <w:tcMar>
              <w:top w:w="80" w:type="dxa"/>
              <w:left w:w="80" w:type="dxa"/>
              <w:bottom w:w="80" w:type="dxa"/>
              <w:right w:w="80" w:type="dxa"/>
            </w:tcMar>
            <w:vAlign w:val="center"/>
          </w:tcPr>
          <w:p w14:paraId="712158C8">
            <w:pPr>
              <w:jc w:val="center"/>
            </w:pPr>
            <w:r>
              <w:rPr>
                <w:rFonts w:ascii="Times New Roman" w:hAnsi="Times New Roman" w:eastAsia="??"/>
                <w:b w:val="0"/>
                <w:i w:val="0"/>
                <w:sz w:val="18"/>
              </w:rPr>
              <w:t>2511</w:t>
            </w:r>
          </w:p>
        </w:tc>
      </w:tr>
      <w:tr w14:paraId="2D44E6F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10835C6">
            <w:pPr>
              <w:jc w:val="left"/>
            </w:pPr>
            <w:r>
              <w:rPr>
                <w:rFonts w:ascii="Times New Roman" w:hAnsi="Times New Roman" w:eastAsia="??"/>
                <w:b w:val="0"/>
                <w:i w:val="0"/>
                <w:sz w:val="18"/>
              </w:rPr>
              <w:t>MATERIAL_DESIGN（材料设计关系）</w:t>
            </w:r>
          </w:p>
        </w:tc>
        <w:tc>
          <w:tcPr>
            <w:tcW w:w="1134" w:type="dxa"/>
            <w:tcMar>
              <w:top w:w="80" w:type="dxa"/>
              <w:left w:w="80" w:type="dxa"/>
              <w:bottom w:w="80" w:type="dxa"/>
              <w:right w:w="80" w:type="dxa"/>
            </w:tcMar>
            <w:vAlign w:val="center"/>
          </w:tcPr>
          <w:p w14:paraId="6E0A34D2">
            <w:pPr>
              <w:jc w:val="center"/>
            </w:pPr>
            <w:r>
              <w:rPr>
                <w:rFonts w:ascii="Times New Roman" w:hAnsi="Times New Roman" w:eastAsia="??"/>
                <w:b w:val="0"/>
                <w:i w:val="0"/>
                <w:sz w:val="18"/>
              </w:rPr>
              <w:t>2303</w:t>
            </w:r>
          </w:p>
        </w:tc>
      </w:tr>
      <w:tr w14:paraId="35A85400">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78084499">
            <w:pPr>
              <w:jc w:val="left"/>
            </w:pPr>
            <w:r>
              <w:rPr>
                <w:rFonts w:ascii="Times New Roman" w:hAnsi="Times New Roman" w:eastAsia="??"/>
                <w:b w:val="0"/>
                <w:i w:val="0"/>
                <w:sz w:val="18"/>
              </w:rPr>
              <w:t>COMPARISON（比较关系）</w:t>
            </w:r>
          </w:p>
        </w:tc>
        <w:tc>
          <w:tcPr>
            <w:tcW w:w="1134" w:type="dxa"/>
            <w:tcMar>
              <w:top w:w="80" w:type="dxa"/>
              <w:left w:w="80" w:type="dxa"/>
              <w:bottom w:w="80" w:type="dxa"/>
              <w:right w:w="80" w:type="dxa"/>
            </w:tcMar>
            <w:vAlign w:val="center"/>
          </w:tcPr>
          <w:p w14:paraId="08017A2C">
            <w:pPr>
              <w:jc w:val="center"/>
            </w:pPr>
            <w:r>
              <w:rPr>
                <w:rFonts w:ascii="Times New Roman" w:hAnsi="Times New Roman" w:eastAsia="??"/>
                <w:b w:val="0"/>
                <w:i w:val="0"/>
                <w:sz w:val="18"/>
              </w:rPr>
              <w:t>943</w:t>
            </w:r>
          </w:p>
        </w:tc>
      </w:tr>
      <w:tr w14:paraId="4660E3A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337C2990">
            <w:pPr>
              <w:jc w:val="left"/>
            </w:pPr>
            <w:r>
              <w:rPr>
                <w:rFonts w:ascii="Times New Roman" w:hAnsi="Times New Roman" w:eastAsia="??"/>
                <w:b w:val="0"/>
                <w:i w:val="0"/>
                <w:sz w:val="18"/>
              </w:rPr>
              <w:t>MATRIX_APPLICATION（基质应用关系）</w:t>
            </w:r>
          </w:p>
        </w:tc>
        <w:tc>
          <w:tcPr>
            <w:tcW w:w="1134" w:type="dxa"/>
            <w:tcMar>
              <w:top w:w="80" w:type="dxa"/>
              <w:left w:w="80" w:type="dxa"/>
              <w:bottom w:w="80" w:type="dxa"/>
              <w:right w:w="80" w:type="dxa"/>
            </w:tcMar>
            <w:vAlign w:val="center"/>
          </w:tcPr>
          <w:p w14:paraId="0545DBD6">
            <w:pPr>
              <w:jc w:val="center"/>
            </w:pPr>
            <w:r>
              <w:rPr>
                <w:rFonts w:ascii="Times New Roman" w:hAnsi="Times New Roman" w:eastAsia="??"/>
                <w:b w:val="0"/>
                <w:i w:val="0"/>
                <w:sz w:val="18"/>
              </w:rPr>
              <w:t>563</w:t>
            </w:r>
          </w:p>
        </w:tc>
      </w:tr>
      <w:tr w14:paraId="3EE5A3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28997756">
            <w:pPr>
              <w:jc w:val="left"/>
            </w:pPr>
            <w:r>
              <w:rPr>
                <w:rFonts w:ascii="Times New Roman" w:hAnsi="Times New Roman" w:eastAsia="??"/>
                <w:b w:val="0"/>
                <w:i w:val="0"/>
                <w:sz w:val="18"/>
              </w:rPr>
              <w:t>COUPLING_STRATEGY（耦合策略关系）</w:t>
            </w:r>
          </w:p>
        </w:tc>
        <w:tc>
          <w:tcPr>
            <w:tcW w:w="1134" w:type="dxa"/>
            <w:tcMar>
              <w:top w:w="80" w:type="dxa"/>
              <w:left w:w="80" w:type="dxa"/>
              <w:bottom w:w="80" w:type="dxa"/>
              <w:right w:w="80" w:type="dxa"/>
            </w:tcMar>
            <w:vAlign w:val="center"/>
          </w:tcPr>
          <w:p w14:paraId="7159CCB3">
            <w:pPr>
              <w:jc w:val="center"/>
            </w:pPr>
            <w:r>
              <w:rPr>
                <w:rFonts w:ascii="Times New Roman" w:hAnsi="Times New Roman" w:eastAsia="??"/>
                <w:b w:val="0"/>
                <w:i w:val="0"/>
                <w:sz w:val="18"/>
              </w:rPr>
              <w:t>337</w:t>
            </w:r>
          </w:p>
        </w:tc>
      </w:tr>
      <w:tr w14:paraId="0A2B10D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06CDD9B0">
            <w:pPr>
              <w:jc w:val="left"/>
            </w:pPr>
            <w:r>
              <w:rPr>
                <w:rFonts w:ascii="Times New Roman" w:hAnsi="Times New Roman" w:eastAsia="??"/>
                <w:b w:val="0"/>
                <w:i w:val="0"/>
                <w:sz w:val="18"/>
              </w:rPr>
              <w:t>CHARGE_TRANSFER（电荷转移关系）</w:t>
            </w:r>
          </w:p>
        </w:tc>
        <w:tc>
          <w:tcPr>
            <w:tcW w:w="1134" w:type="dxa"/>
            <w:tcMar>
              <w:top w:w="80" w:type="dxa"/>
              <w:left w:w="80" w:type="dxa"/>
              <w:bottom w:w="80" w:type="dxa"/>
              <w:right w:w="80" w:type="dxa"/>
            </w:tcMar>
            <w:vAlign w:val="center"/>
          </w:tcPr>
          <w:p w14:paraId="405CDC54">
            <w:pPr>
              <w:jc w:val="center"/>
            </w:pPr>
            <w:r>
              <w:rPr>
                <w:rFonts w:ascii="Times New Roman" w:hAnsi="Times New Roman" w:eastAsia="??"/>
                <w:b w:val="0"/>
                <w:i w:val="0"/>
                <w:sz w:val="18"/>
              </w:rPr>
              <w:t>220</w:t>
            </w:r>
          </w:p>
        </w:tc>
      </w:tr>
      <w:tr w14:paraId="637BCE6C">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4649" w:type="dxa"/>
            <w:tcMar>
              <w:top w:w="80" w:type="dxa"/>
              <w:left w:w="80" w:type="dxa"/>
              <w:bottom w:w="80" w:type="dxa"/>
              <w:right w:w="80" w:type="dxa"/>
            </w:tcMar>
            <w:vAlign w:val="center"/>
          </w:tcPr>
          <w:p w14:paraId="62850995">
            <w:pPr>
              <w:jc w:val="left"/>
            </w:pPr>
            <w:r>
              <w:rPr>
                <w:rFonts w:ascii="Times New Roman" w:hAnsi="Times New Roman" w:eastAsia="??"/>
                <w:b w:val="0"/>
                <w:i w:val="0"/>
                <w:sz w:val="18"/>
              </w:rPr>
              <w:t>ADSORPTION_ORIENTATION（吸附取向关系）</w:t>
            </w:r>
          </w:p>
        </w:tc>
        <w:tc>
          <w:tcPr>
            <w:tcW w:w="1134" w:type="dxa"/>
            <w:tcMar>
              <w:top w:w="80" w:type="dxa"/>
              <w:left w:w="80" w:type="dxa"/>
              <w:bottom w:w="80" w:type="dxa"/>
              <w:right w:w="80" w:type="dxa"/>
            </w:tcMar>
            <w:vAlign w:val="center"/>
          </w:tcPr>
          <w:p w14:paraId="6B48F00D">
            <w:pPr>
              <w:jc w:val="center"/>
            </w:pPr>
            <w:r>
              <w:rPr>
                <w:rFonts w:ascii="Times New Roman" w:hAnsi="Times New Roman" w:eastAsia="??"/>
                <w:b w:val="0"/>
                <w:i w:val="0"/>
                <w:sz w:val="18"/>
              </w:rPr>
              <w:t>189</w:t>
            </w:r>
          </w:p>
        </w:tc>
      </w:tr>
    </w:tbl>
    <w:p w14:paraId="5939FEAA"/>
    <w:p w14:paraId="772DFB78">
      <w:pPr>
        <w:keepNext w:val="0"/>
        <w:spacing w:before="0" w:after="60" w:line="240" w:lineRule="auto"/>
        <w:ind w:firstLine="420"/>
        <w:jc w:val="both"/>
      </w:pPr>
      <w:r>
        <w:rPr>
          <w:rFonts w:ascii="Times New Roman" w:hAnsi="Times New Roman" w:eastAsia="宋体"/>
          <w:sz w:val="21"/>
        </w:rPr>
        <w:t>设计了由概览到推荐的六级问题体系（图4e），涵盖单一事实、局部关联、条件组合、对比分析、机理证据链与策略推荐。在12题测试集上，Hyper-ChE平均召回81.5条超边，较Graph-RAG的37.9条提升约2.15倍（图4f），优势随问题复杂度增加而扩大。</w:t>
      </w:r>
    </w:p>
    <w:p>
      <w:pPr>
        <w:jc w:val="center"/>
      </w:pPr>
      <w:r>
        <w:drawing>
          <wp:inline xmlns:a="http://schemas.openxmlformats.org/drawingml/2006/main" xmlns:pic="http://schemas.openxmlformats.org/drawingml/2006/picture">
            <wp:extent cx="5303520" cy="3605898"/>
            <wp:docPr id="3" name="Picture 3"/>
            <wp:cNvGraphicFramePr>
              <a:graphicFrameLocks noChangeAspect="1"/>
            </wp:cNvGraphicFramePr>
            <a:graphic>
              <a:graphicData uri="http://schemas.openxmlformats.org/drawingml/2006/picture">
                <pic:pic>
                  <pic:nvPicPr>
                    <pic:cNvPr id="0" name="image(4).png"/>
                    <pic:cNvPicPr/>
                  </pic:nvPicPr>
                  <pic:blipFill>
                    <a:blip r:embed="rId17"/>
                    <a:stretch>
                      <a:fillRect/>
                    </a:stretch>
                  </pic:blipFill>
                  <pic:spPr>
                    <a:xfrm>
                      <a:off x="0" y="0"/>
                      <a:ext cx="5303520" cy="3605898"/>
                    </a:xfrm>
                    <a:prstGeom prst="rect"/>
                  </pic:spPr>
                </pic:pic>
              </a:graphicData>
            </a:graphic>
          </wp:inline>
        </w:drawing>
      </w:r>
    </w:p>
    <w:p w14:paraId="4E37A42F">
      <w:pPr>
        <w:keepNext w:val="0"/>
        <w:spacing w:before="0" w:after="60" w:line="240" w:lineRule="auto"/>
        <w:ind w:firstLine="420"/>
        <w:jc w:val="both"/>
      </w:pPr>
      <w:r>
        <w:rPr>
          <w:rFonts w:ascii="Times New Roman" w:hAnsi="Times New Roman" w:eastAsia="宋体"/>
          <w:sz w:val="21"/>
        </w:rPr>
        <w:t>从领域适配角度来看，该方法框架本身无需改变，仅需根据PFAS降解领域的知识结构特征替换实体类型与关系类型。具体而言，将液流电池案例中的SYSTEM、ACTIVE_SPECIES、ELECTRODE、MEMBRANE等实体类型替换为PFAS_TARGET、CATALYST_MATERIAL、ACTIVE_SPECIES、MECHANISM_EVIDENCE、PIEZO_PROPERTY、WATER_MATRIX等类型，将OPERATION、COMPOSITION、DEGRADATION等关系类型替换为OPERATION_PERFORMANCE、MECHANISM_PATHWAY、MATERIAL_DESIGN、ADSORPTION_ORIENTATION等类型，即可实现从液流电池领域向PFAS降解领域的知识建模迁移。这表明该框架在PFAS降解领域同样适用，能够适配不同化工子领域中"多变量共同约束实验事实"的表达需求。</w:t>
      </w:r>
    </w:p>
    <w:p w14:paraId="1EB203AD">
      <w:pPr>
        <w:keepNext w:val="0"/>
        <w:spacing w:before="0" w:after="60" w:line="240" w:lineRule="auto"/>
        <w:ind w:firstLine="420"/>
        <w:jc w:val="both"/>
      </w:pPr>
      <w:r>
        <w:rPr>
          <w:rFonts w:hint="eastAsia"/>
          <w:b w:val="0"/>
          <w:i w:val="0"/>
          <w:sz w:val="21"/>
          <w:lang w:val="en-US" w:eastAsia="zh-CN"/>
        </w:rPr>
        <w:t>和液流电池案例相同</w:t>
      </w:r>
      <w:r>
        <w:rPr>
          <w:rFonts w:ascii="Times New Roman" w:hAnsi="Times New Roman" w:eastAsia="宋体"/>
          <w:b w:val="0"/>
          <w:i w:val="0"/>
          <w:sz w:val="21"/>
        </w:rPr>
        <w:t>，本节</w:t>
      </w:r>
      <w:r>
        <w:rPr>
          <w:rFonts w:hint="eastAsia"/>
          <w:b w:val="0"/>
          <w:i w:val="0"/>
          <w:sz w:val="21"/>
          <w:lang w:val="en-US" w:eastAsia="zh-CN"/>
        </w:rPr>
        <w:t>同样仅</w:t>
      </w:r>
      <w:r>
        <w:rPr>
          <w:rFonts w:ascii="Times New Roman" w:hAnsi="Times New Roman" w:eastAsia="宋体"/>
          <w:b w:val="0"/>
          <w:i w:val="0"/>
          <w:sz w:val="21"/>
        </w:rPr>
        <w:t>将其</w:t>
      </w:r>
      <w:r>
        <w:rPr>
          <w:rFonts w:hint="eastAsia"/>
          <w:b w:val="0"/>
          <w:i w:val="0"/>
          <w:sz w:val="21"/>
          <w:lang w:val="en-US" w:eastAsia="zh-CN"/>
        </w:rPr>
        <w:t>问答结果作为</w:t>
      </w:r>
      <w:r>
        <w:rPr>
          <w:rFonts w:ascii="Times New Roman" w:hAnsi="Times New Roman" w:eastAsia="宋体"/>
          <w:b w:val="0"/>
          <w:i w:val="0"/>
          <w:sz w:val="21"/>
        </w:rPr>
        <w:t>检索增强效果的验证。</w:t>
      </w:r>
    </w:p>
    <w:p w14:paraId="40934CEF">
      <w:pPr>
        <w:jc w:val="center"/>
      </w:pPr>
    </w:p>
    <w:p w14:paraId="14D472C8">
      <w:pPr>
        <w:ind w:firstLine="420"/>
        <w:jc w:val="center"/>
      </w:pPr>
      <w:r>
        <w:rPr>
          <w:rFonts w:ascii="Times New Roman" w:hAnsi="Times New Roman" w:eastAsia="宋体"/>
          <w:sz w:val="21"/>
        </w:rPr>
        <w:t>图4  PFAS去除与降解案例：（a）实验知识图谱（10实体类型）；（b）领域适配抽取方案；（c）知识库概览（50篇/624块/7476实体/10812关系/21.98%高阶）；（d）类型分布；（e）问题分层；（f）Q1-Q12检索召回对比</w:t>
      </w:r>
    </w:p>
    <w:p w14:paraId="6D12BE26">
      <w:pPr>
        <w:keepNext/>
        <w:spacing w:before="120" w:after="60" w:line="240" w:lineRule="auto"/>
        <w:jc w:val="left"/>
      </w:pPr>
      <w:r>
        <w:rPr>
          <w:rFonts w:ascii="Times New Roman" w:hAnsi="Times New Roman" w:eastAsia="黑体"/>
          <w:b/>
          <w:i w:val="0"/>
          <w:sz w:val="21"/>
        </w:rPr>
        <w:t>3.2 问题设置与总体检索差异</w:t>
      </w:r>
    </w:p>
    <w:p w14:paraId="3D7E3F69">
      <w:pPr>
        <w:keepNext w:val="0"/>
        <w:spacing w:before="0" w:after="60" w:line="240" w:lineRule="auto"/>
        <w:ind w:firstLine="420"/>
        <w:jc w:val="both"/>
      </w:pPr>
      <w:r>
        <w:rPr>
          <w:rFonts w:ascii="Times New Roman" w:hAnsi="Times New Roman" w:eastAsia="宋体"/>
          <w:sz w:val="21"/>
        </w:rPr>
        <w:t>为系统评估超图结构在PFAS去除与降解专业知识检索中的表现，设计了覆盖6个难度层次的12个代表性问题（编号Q1~Q12），均使用Hyper-ChE和Graph-RAG进行检索与回答。问题题目未显式提及"超图"，以保证两套系统在相同自然语言查询条件下的对比公平性。表8给出了问题难度分层与对应问题编号。</w:t>
      </w:r>
    </w:p>
    <w:p w14:paraId="4FD9F90F">
      <w:pPr>
        <w:keepNext w:val="0"/>
        <w:spacing w:before="120" w:after="60" w:line="240" w:lineRule="auto"/>
        <w:jc w:val="center"/>
      </w:pPr>
      <w:r>
        <w:rPr>
          <w:rFonts w:ascii="Times New Roman" w:hAnsi="Times New Roman" w:eastAsia="宋体"/>
          <w:b w:val="0"/>
          <w:i w:val="0"/>
          <w:sz w:val="18"/>
        </w:rPr>
        <w:t>表8 PFAS去除与降解案例问题难度分层</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1077"/>
        <w:gridCol w:w="1530"/>
        <w:gridCol w:w="1190"/>
        <w:gridCol w:w="3628"/>
      </w:tblGrid>
      <w:tr w14:paraId="57CF7CFF">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Borders>
              <w:bottom w:val="single" w:color="000000" w:sz="8" w:space="0"/>
            </w:tcBorders>
            <w:shd w:val="clear" w:color="auto" w:fill="EDEDED"/>
            <w:tcMar>
              <w:top w:w="80" w:type="dxa"/>
              <w:left w:w="80" w:type="dxa"/>
              <w:bottom w:w="80" w:type="dxa"/>
              <w:right w:w="80" w:type="dxa"/>
            </w:tcMar>
            <w:vAlign w:val="center"/>
          </w:tcPr>
          <w:p w14:paraId="73F646F8">
            <w:pPr>
              <w:jc w:val="center"/>
            </w:pPr>
            <w:r>
              <w:rPr>
                <w:rFonts w:ascii="Times New Roman" w:hAnsi="Times New Roman" w:eastAsia="??"/>
                <w:b/>
                <w:sz w:val="19"/>
              </w:rPr>
              <w:t>难度层级</w:t>
            </w:r>
          </w:p>
        </w:tc>
        <w:tc>
          <w:tcPr>
            <w:tcW w:w="1530" w:type="dxa"/>
            <w:tcBorders>
              <w:bottom w:val="single" w:color="000000" w:sz="8" w:space="0"/>
            </w:tcBorders>
            <w:shd w:val="clear" w:color="auto" w:fill="EDEDED"/>
            <w:tcMar>
              <w:top w:w="80" w:type="dxa"/>
              <w:left w:w="80" w:type="dxa"/>
              <w:bottom w:w="80" w:type="dxa"/>
              <w:right w:w="80" w:type="dxa"/>
            </w:tcMar>
            <w:vAlign w:val="center"/>
          </w:tcPr>
          <w:p w14:paraId="145BA6DB">
            <w:pPr>
              <w:jc w:val="center"/>
            </w:pPr>
            <w:r>
              <w:rPr>
                <w:rFonts w:ascii="Times New Roman" w:hAnsi="Times New Roman" w:eastAsia="??"/>
                <w:b/>
                <w:sz w:val="19"/>
              </w:rPr>
              <w:t>问题类型</w:t>
            </w:r>
          </w:p>
        </w:tc>
        <w:tc>
          <w:tcPr>
            <w:tcW w:w="1190" w:type="dxa"/>
            <w:tcBorders>
              <w:bottom w:val="single" w:color="000000" w:sz="8" w:space="0"/>
            </w:tcBorders>
            <w:shd w:val="clear" w:color="auto" w:fill="EDEDED"/>
            <w:tcMar>
              <w:top w:w="80" w:type="dxa"/>
              <w:left w:w="80" w:type="dxa"/>
              <w:bottom w:w="80" w:type="dxa"/>
              <w:right w:w="80" w:type="dxa"/>
            </w:tcMar>
            <w:vAlign w:val="center"/>
          </w:tcPr>
          <w:p w14:paraId="73EC83C8">
            <w:pPr>
              <w:jc w:val="center"/>
            </w:pPr>
            <w:r>
              <w:rPr>
                <w:rFonts w:ascii="Times New Roman" w:hAnsi="Times New Roman" w:eastAsia="??"/>
                <w:b/>
                <w:sz w:val="19"/>
              </w:rPr>
              <w:t>代表问题</w:t>
            </w:r>
          </w:p>
        </w:tc>
        <w:tc>
          <w:tcPr>
            <w:tcW w:w="3628" w:type="dxa"/>
            <w:tcBorders>
              <w:bottom w:val="single" w:color="000000" w:sz="8" w:space="0"/>
            </w:tcBorders>
            <w:shd w:val="clear" w:color="auto" w:fill="EDEDED"/>
            <w:tcMar>
              <w:top w:w="80" w:type="dxa"/>
              <w:left w:w="80" w:type="dxa"/>
              <w:bottom w:w="80" w:type="dxa"/>
              <w:right w:w="80" w:type="dxa"/>
            </w:tcMar>
            <w:vAlign w:val="center"/>
          </w:tcPr>
          <w:p w14:paraId="7F014097">
            <w:pPr>
              <w:jc w:val="center"/>
            </w:pPr>
            <w:r>
              <w:rPr>
                <w:rFonts w:ascii="Times New Roman" w:hAnsi="Times New Roman" w:eastAsia="??"/>
                <w:b/>
                <w:sz w:val="19"/>
              </w:rPr>
              <w:t>核心认知要求</w:t>
            </w:r>
          </w:p>
        </w:tc>
      </w:tr>
      <w:tr w14:paraId="0E7FF6BB">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3EA2A03B">
            <w:pPr>
              <w:jc w:val="center"/>
            </w:pPr>
            <w:r>
              <w:rPr>
                <w:rFonts w:ascii="Times New Roman" w:hAnsi="Times New Roman" w:eastAsia="??"/>
                <w:b w:val="0"/>
                <w:sz w:val="18"/>
              </w:rPr>
              <w:t>Level 1</w:t>
            </w:r>
          </w:p>
        </w:tc>
        <w:tc>
          <w:tcPr>
            <w:tcW w:w="1530" w:type="dxa"/>
            <w:tcMar>
              <w:top w:w="80" w:type="dxa"/>
              <w:left w:w="80" w:type="dxa"/>
              <w:bottom w:w="80" w:type="dxa"/>
              <w:right w:w="80" w:type="dxa"/>
            </w:tcMar>
            <w:vAlign w:val="center"/>
          </w:tcPr>
          <w:p w14:paraId="7339EEE8">
            <w:pPr>
              <w:jc w:val="center"/>
            </w:pPr>
            <w:r>
              <w:rPr>
                <w:rFonts w:ascii="Times New Roman" w:hAnsi="Times New Roman" w:eastAsia="??"/>
                <w:b w:val="0"/>
                <w:sz w:val="18"/>
              </w:rPr>
              <w:t>语料总览型</w:t>
            </w:r>
          </w:p>
        </w:tc>
        <w:tc>
          <w:tcPr>
            <w:tcW w:w="1190" w:type="dxa"/>
            <w:tcMar>
              <w:top w:w="80" w:type="dxa"/>
              <w:left w:w="80" w:type="dxa"/>
              <w:bottom w:w="80" w:type="dxa"/>
              <w:right w:w="80" w:type="dxa"/>
            </w:tcMar>
            <w:vAlign w:val="center"/>
          </w:tcPr>
          <w:p w14:paraId="3A1825F1">
            <w:pPr>
              <w:jc w:val="center"/>
            </w:pPr>
            <w:r>
              <w:rPr>
                <w:rFonts w:ascii="Times New Roman" w:hAnsi="Times New Roman" w:eastAsia="??"/>
                <w:b w:val="0"/>
                <w:sz w:val="18"/>
              </w:rPr>
              <w:t>Q1~Q2</w:t>
            </w:r>
          </w:p>
        </w:tc>
        <w:tc>
          <w:tcPr>
            <w:tcW w:w="3628" w:type="dxa"/>
            <w:tcMar>
              <w:top w:w="80" w:type="dxa"/>
              <w:left w:w="80" w:type="dxa"/>
              <w:bottom w:w="80" w:type="dxa"/>
              <w:right w:w="80" w:type="dxa"/>
            </w:tcMar>
            <w:vAlign w:val="center"/>
          </w:tcPr>
          <w:p w14:paraId="5200717C">
            <w:pPr>
              <w:jc w:val="left"/>
            </w:pPr>
            <w:r>
              <w:rPr>
                <w:rFonts w:ascii="Times New Roman" w:hAnsi="Times New Roman" w:eastAsia="??"/>
                <w:b w:val="0"/>
                <w:sz w:val="18"/>
              </w:rPr>
              <w:t>污染物、处理策略、材料体系和指标的宏观归纳</w:t>
            </w:r>
          </w:p>
        </w:tc>
      </w:tr>
      <w:tr w14:paraId="124E3A47">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0AA8B34">
            <w:pPr>
              <w:jc w:val="center"/>
            </w:pPr>
            <w:r>
              <w:rPr>
                <w:rFonts w:ascii="Times New Roman" w:hAnsi="Times New Roman" w:eastAsia="??"/>
                <w:b w:val="0"/>
                <w:sz w:val="18"/>
              </w:rPr>
              <w:t>Level 2</w:t>
            </w:r>
          </w:p>
        </w:tc>
        <w:tc>
          <w:tcPr>
            <w:tcW w:w="1530" w:type="dxa"/>
            <w:tcMar>
              <w:top w:w="80" w:type="dxa"/>
              <w:left w:w="80" w:type="dxa"/>
              <w:bottom w:w="80" w:type="dxa"/>
              <w:right w:w="80" w:type="dxa"/>
            </w:tcMar>
            <w:vAlign w:val="center"/>
          </w:tcPr>
          <w:p w14:paraId="1CA4056C">
            <w:pPr>
              <w:jc w:val="center"/>
            </w:pPr>
            <w:r>
              <w:rPr>
                <w:rFonts w:ascii="Times New Roman" w:hAnsi="Times New Roman" w:eastAsia="??"/>
                <w:b w:val="0"/>
                <w:sz w:val="18"/>
              </w:rPr>
              <w:t>局部关系检索型</w:t>
            </w:r>
          </w:p>
        </w:tc>
        <w:tc>
          <w:tcPr>
            <w:tcW w:w="1190" w:type="dxa"/>
            <w:tcMar>
              <w:top w:w="80" w:type="dxa"/>
              <w:left w:w="80" w:type="dxa"/>
              <w:bottom w:w="80" w:type="dxa"/>
              <w:right w:w="80" w:type="dxa"/>
            </w:tcMar>
            <w:vAlign w:val="center"/>
          </w:tcPr>
          <w:p w14:paraId="09730BB6">
            <w:pPr>
              <w:jc w:val="center"/>
            </w:pPr>
            <w:r>
              <w:rPr>
                <w:rFonts w:ascii="Times New Roman" w:hAnsi="Times New Roman" w:eastAsia="??"/>
                <w:b w:val="0"/>
                <w:sz w:val="18"/>
              </w:rPr>
              <w:t>Q3~Q4</w:t>
            </w:r>
          </w:p>
        </w:tc>
        <w:tc>
          <w:tcPr>
            <w:tcW w:w="3628" w:type="dxa"/>
            <w:tcMar>
              <w:top w:w="80" w:type="dxa"/>
              <w:left w:w="80" w:type="dxa"/>
              <w:bottom w:w="80" w:type="dxa"/>
              <w:right w:w="80" w:type="dxa"/>
            </w:tcMar>
            <w:vAlign w:val="center"/>
          </w:tcPr>
          <w:p w14:paraId="07208EDB">
            <w:pPr>
              <w:jc w:val="left"/>
            </w:pPr>
            <w:r>
              <w:rPr>
                <w:rFonts w:ascii="Times New Roman" w:hAnsi="Times New Roman" w:eastAsia="??"/>
                <w:b w:val="0"/>
                <w:sz w:val="18"/>
              </w:rPr>
              <w:t>目标PFAS、材料、条件和指标的局部关系识别</w:t>
            </w:r>
          </w:p>
        </w:tc>
      </w:tr>
      <w:tr w14:paraId="07D6B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4809765">
            <w:pPr>
              <w:jc w:val="center"/>
            </w:pPr>
            <w:r>
              <w:rPr>
                <w:rFonts w:ascii="Times New Roman" w:hAnsi="Times New Roman" w:eastAsia="??"/>
                <w:b w:val="0"/>
                <w:sz w:val="18"/>
              </w:rPr>
              <w:t>Level 3</w:t>
            </w:r>
          </w:p>
        </w:tc>
        <w:tc>
          <w:tcPr>
            <w:tcW w:w="1530" w:type="dxa"/>
            <w:tcMar>
              <w:top w:w="80" w:type="dxa"/>
              <w:left w:w="80" w:type="dxa"/>
              <w:bottom w:w="80" w:type="dxa"/>
              <w:right w:w="80" w:type="dxa"/>
            </w:tcMar>
            <w:vAlign w:val="center"/>
          </w:tcPr>
          <w:p w14:paraId="6D0ADD57">
            <w:pPr>
              <w:jc w:val="center"/>
            </w:pPr>
            <w:r>
              <w:rPr>
                <w:rFonts w:ascii="Times New Roman" w:hAnsi="Times New Roman" w:eastAsia="??"/>
                <w:b w:val="0"/>
                <w:sz w:val="18"/>
              </w:rPr>
              <w:t>条件组合型</w:t>
            </w:r>
          </w:p>
        </w:tc>
        <w:tc>
          <w:tcPr>
            <w:tcW w:w="1190" w:type="dxa"/>
            <w:tcMar>
              <w:top w:w="80" w:type="dxa"/>
              <w:left w:w="80" w:type="dxa"/>
              <w:bottom w:w="80" w:type="dxa"/>
              <w:right w:w="80" w:type="dxa"/>
            </w:tcMar>
            <w:vAlign w:val="center"/>
          </w:tcPr>
          <w:p w14:paraId="20B0F5BB">
            <w:pPr>
              <w:jc w:val="center"/>
            </w:pPr>
            <w:r>
              <w:rPr>
                <w:rFonts w:ascii="Times New Roman" w:hAnsi="Times New Roman" w:eastAsia="??"/>
                <w:b w:val="0"/>
                <w:sz w:val="18"/>
              </w:rPr>
              <w:t>Q5~Q6</w:t>
            </w:r>
          </w:p>
        </w:tc>
        <w:tc>
          <w:tcPr>
            <w:tcW w:w="3628" w:type="dxa"/>
            <w:tcMar>
              <w:top w:w="80" w:type="dxa"/>
              <w:left w:w="80" w:type="dxa"/>
              <w:bottom w:w="80" w:type="dxa"/>
              <w:right w:w="80" w:type="dxa"/>
            </w:tcMar>
            <w:vAlign w:val="center"/>
          </w:tcPr>
          <w:p w14:paraId="1C8DB1B9">
            <w:pPr>
              <w:jc w:val="left"/>
            </w:pPr>
            <w:r>
              <w:rPr>
                <w:rFonts w:ascii="Times New Roman" w:hAnsi="Times New Roman" w:eastAsia="??"/>
                <w:b w:val="0"/>
                <w:sz w:val="18"/>
              </w:rPr>
              <w:t>多条件共同约束下的性能与材料性质关联</w:t>
            </w:r>
          </w:p>
        </w:tc>
      </w:tr>
      <w:tr w14:paraId="6AD076F8">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248645FA">
            <w:pPr>
              <w:jc w:val="center"/>
            </w:pPr>
            <w:r>
              <w:rPr>
                <w:rFonts w:ascii="Times New Roman" w:hAnsi="Times New Roman" w:eastAsia="??"/>
                <w:b w:val="0"/>
                <w:sz w:val="18"/>
              </w:rPr>
              <w:t>Level 4</w:t>
            </w:r>
          </w:p>
        </w:tc>
        <w:tc>
          <w:tcPr>
            <w:tcW w:w="1530" w:type="dxa"/>
            <w:tcMar>
              <w:top w:w="80" w:type="dxa"/>
              <w:left w:w="80" w:type="dxa"/>
              <w:bottom w:w="80" w:type="dxa"/>
              <w:right w:w="80" w:type="dxa"/>
            </w:tcMar>
            <w:vAlign w:val="center"/>
          </w:tcPr>
          <w:p w14:paraId="1860B1E5">
            <w:pPr>
              <w:jc w:val="center"/>
            </w:pPr>
            <w:r>
              <w:rPr>
                <w:rFonts w:ascii="Times New Roman" w:hAnsi="Times New Roman" w:eastAsia="??"/>
                <w:b w:val="0"/>
                <w:sz w:val="18"/>
              </w:rPr>
              <w:t>对比分析型</w:t>
            </w:r>
          </w:p>
        </w:tc>
        <w:tc>
          <w:tcPr>
            <w:tcW w:w="1190" w:type="dxa"/>
            <w:tcMar>
              <w:top w:w="80" w:type="dxa"/>
              <w:left w:w="80" w:type="dxa"/>
              <w:bottom w:w="80" w:type="dxa"/>
              <w:right w:w="80" w:type="dxa"/>
            </w:tcMar>
            <w:vAlign w:val="center"/>
          </w:tcPr>
          <w:p w14:paraId="29BB7197">
            <w:pPr>
              <w:jc w:val="center"/>
            </w:pPr>
            <w:r>
              <w:rPr>
                <w:rFonts w:ascii="Times New Roman" w:hAnsi="Times New Roman" w:eastAsia="??"/>
                <w:b w:val="0"/>
                <w:sz w:val="18"/>
              </w:rPr>
              <w:t>Q7~Q8</w:t>
            </w:r>
          </w:p>
        </w:tc>
        <w:tc>
          <w:tcPr>
            <w:tcW w:w="3628" w:type="dxa"/>
            <w:tcMar>
              <w:top w:w="80" w:type="dxa"/>
              <w:left w:w="80" w:type="dxa"/>
              <w:bottom w:w="80" w:type="dxa"/>
              <w:right w:w="80" w:type="dxa"/>
            </w:tcMar>
            <w:vAlign w:val="center"/>
          </w:tcPr>
          <w:p w14:paraId="1DC727C0">
            <w:pPr>
              <w:jc w:val="left"/>
            </w:pPr>
            <w:r>
              <w:rPr>
                <w:rFonts w:ascii="Times New Roman" w:hAnsi="Times New Roman" w:eastAsia="??"/>
                <w:b w:val="0"/>
                <w:sz w:val="18"/>
              </w:rPr>
              <w:t>跨策略、跨污染物类型的横向比较</w:t>
            </w:r>
          </w:p>
        </w:tc>
      </w:tr>
      <w:tr w14:paraId="66056CE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72D0914F">
            <w:pPr>
              <w:jc w:val="center"/>
            </w:pPr>
            <w:r>
              <w:rPr>
                <w:rFonts w:ascii="Times New Roman" w:hAnsi="Times New Roman" w:eastAsia="??"/>
                <w:b w:val="0"/>
                <w:sz w:val="18"/>
              </w:rPr>
              <w:t>Level 5</w:t>
            </w:r>
          </w:p>
        </w:tc>
        <w:tc>
          <w:tcPr>
            <w:tcW w:w="1530" w:type="dxa"/>
            <w:tcMar>
              <w:top w:w="80" w:type="dxa"/>
              <w:left w:w="80" w:type="dxa"/>
              <w:bottom w:w="80" w:type="dxa"/>
              <w:right w:w="80" w:type="dxa"/>
            </w:tcMar>
            <w:vAlign w:val="center"/>
          </w:tcPr>
          <w:p w14:paraId="44F80AF9">
            <w:pPr>
              <w:jc w:val="center"/>
            </w:pPr>
            <w:r>
              <w:rPr>
                <w:rFonts w:ascii="Times New Roman" w:hAnsi="Times New Roman" w:eastAsia="??"/>
                <w:b w:val="0"/>
                <w:sz w:val="18"/>
              </w:rPr>
              <w:t>机理证据链型</w:t>
            </w:r>
          </w:p>
        </w:tc>
        <w:tc>
          <w:tcPr>
            <w:tcW w:w="1190" w:type="dxa"/>
            <w:tcMar>
              <w:top w:w="80" w:type="dxa"/>
              <w:left w:w="80" w:type="dxa"/>
              <w:bottom w:w="80" w:type="dxa"/>
              <w:right w:w="80" w:type="dxa"/>
            </w:tcMar>
            <w:vAlign w:val="center"/>
          </w:tcPr>
          <w:p w14:paraId="122F8430">
            <w:pPr>
              <w:jc w:val="center"/>
            </w:pPr>
            <w:r>
              <w:rPr>
                <w:rFonts w:ascii="Times New Roman" w:hAnsi="Times New Roman" w:eastAsia="??"/>
                <w:b w:val="0"/>
                <w:sz w:val="18"/>
              </w:rPr>
              <w:t>Q9~Q10</w:t>
            </w:r>
          </w:p>
        </w:tc>
        <w:tc>
          <w:tcPr>
            <w:tcW w:w="3628" w:type="dxa"/>
            <w:tcMar>
              <w:top w:w="80" w:type="dxa"/>
              <w:left w:w="80" w:type="dxa"/>
              <w:bottom w:w="80" w:type="dxa"/>
              <w:right w:w="80" w:type="dxa"/>
            </w:tcMar>
            <w:vAlign w:val="center"/>
          </w:tcPr>
          <w:p w14:paraId="12667355">
            <w:pPr>
              <w:jc w:val="left"/>
            </w:pPr>
            <w:r>
              <w:rPr>
                <w:rFonts w:ascii="Times New Roman" w:hAnsi="Times New Roman" w:eastAsia="??"/>
                <w:b w:val="0"/>
                <w:sz w:val="18"/>
              </w:rPr>
              <w:t>活性物种、电子转移和多类证据的链式组织</w:t>
            </w:r>
          </w:p>
        </w:tc>
      </w:tr>
      <w:tr w14:paraId="5BB7221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1077" w:type="dxa"/>
            <w:tcMar>
              <w:top w:w="80" w:type="dxa"/>
              <w:left w:w="80" w:type="dxa"/>
              <w:bottom w:w="80" w:type="dxa"/>
              <w:right w:w="80" w:type="dxa"/>
            </w:tcMar>
            <w:vAlign w:val="center"/>
          </w:tcPr>
          <w:p w14:paraId="4489B07E">
            <w:pPr>
              <w:jc w:val="center"/>
            </w:pPr>
            <w:r>
              <w:rPr>
                <w:rFonts w:ascii="Times New Roman" w:hAnsi="Times New Roman" w:eastAsia="??"/>
                <w:b w:val="0"/>
                <w:sz w:val="18"/>
              </w:rPr>
              <w:t>Level 6</w:t>
            </w:r>
          </w:p>
        </w:tc>
        <w:tc>
          <w:tcPr>
            <w:tcW w:w="1530" w:type="dxa"/>
            <w:tcMar>
              <w:top w:w="80" w:type="dxa"/>
              <w:left w:w="80" w:type="dxa"/>
              <w:bottom w:w="80" w:type="dxa"/>
              <w:right w:w="80" w:type="dxa"/>
            </w:tcMar>
            <w:vAlign w:val="center"/>
          </w:tcPr>
          <w:p w14:paraId="70B07B8B">
            <w:pPr>
              <w:jc w:val="center"/>
            </w:pPr>
            <w:r>
              <w:rPr>
                <w:rFonts w:ascii="Times New Roman" w:hAnsi="Times New Roman" w:eastAsia="??"/>
                <w:b w:val="0"/>
                <w:sz w:val="18"/>
              </w:rPr>
              <w:t>方案归纳与推荐型</w:t>
            </w:r>
          </w:p>
        </w:tc>
        <w:tc>
          <w:tcPr>
            <w:tcW w:w="1190" w:type="dxa"/>
            <w:tcMar>
              <w:top w:w="80" w:type="dxa"/>
              <w:left w:w="80" w:type="dxa"/>
              <w:bottom w:w="80" w:type="dxa"/>
              <w:right w:w="80" w:type="dxa"/>
            </w:tcMar>
            <w:vAlign w:val="center"/>
          </w:tcPr>
          <w:p w14:paraId="21419085">
            <w:pPr>
              <w:jc w:val="center"/>
            </w:pPr>
            <w:r>
              <w:rPr>
                <w:rFonts w:ascii="Times New Roman" w:hAnsi="Times New Roman" w:eastAsia="??"/>
                <w:b w:val="0"/>
                <w:sz w:val="18"/>
              </w:rPr>
              <w:t>Q11~Q12</w:t>
            </w:r>
          </w:p>
        </w:tc>
        <w:tc>
          <w:tcPr>
            <w:tcW w:w="3628" w:type="dxa"/>
            <w:tcMar>
              <w:top w:w="80" w:type="dxa"/>
              <w:left w:w="80" w:type="dxa"/>
              <w:bottom w:w="80" w:type="dxa"/>
              <w:right w:w="80" w:type="dxa"/>
            </w:tcMar>
            <w:vAlign w:val="center"/>
          </w:tcPr>
          <w:p w14:paraId="0D1CF6D5">
            <w:pPr>
              <w:jc w:val="left"/>
            </w:pPr>
            <w:r>
              <w:rPr>
                <w:rFonts w:ascii="Times New Roman" w:hAnsi="Times New Roman" w:eastAsia="??"/>
                <w:b w:val="0"/>
                <w:sz w:val="18"/>
              </w:rPr>
              <w:t>设计原则归纳与候选实验方案组织</w:t>
            </w:r>
          </w:p>
        </w:tc>
      </w:tr>
    </w:tbl>
    <w:p w14:paraId="1F09C740"/>
    <w:p w14:paraId="5B6DB32B">
      <w:pPr>
        <w:keepNext w:val="0"/>
        <w:spacing w:before="0" w:after="60" w:line="240" w:lineRule="auto"/>
        <w:ind w:firstLine="420"/>
        <w:jc w:val="both"/>
      </w:pPr>
      <w:r>
        <w:rPr>
          <w:rFonts w:ascii="Times New Roman" w:hAnsi="Times New Roman" w:eastAsia="宋体"/>
          <w:b w:val="0"/>
          <w:i w:val="0"/>
          <w:sz w:val="21"/>
        </w:rPr>
        <w:t>Level 1语料总览型问题（Q1~Q2）要求对文献覆盖的污染物类型、处理策略、材料体系和性能指标进行宏观归纳；Level 2局部关系检索型问题（Q3~Q4）针对PFOA与PFOS的材料-条件-指标共现关系，以及典型材料的功能角色区分进行检索；Level 3条件组合型问题（Q5~Q6）涉及超声频率、功率密度、pH、催化剂剂量等多条件共同约束，以及压电系数、氧空位、带隙等材料性质之间的间接关联；Level 4对比分析型问题（Q7~Q8）要求跨策略（压电催化、压电-光催化、压电-Fenton、电化学氧化）横向比较，以及长链与短链PFAS的降解需求差异分析；Level 5机理证据链型问题（Q9~Q10）关注活性物种参与C-F键断裂的反应路径及证据支撑，以及直接电子转移机制的多证据判别；Level 6方案归纳与推荐型问题（Q11~Q12）要求从材料设计、反应条件、活性物种调控和机理验证四个维度归纳可迁移的设计原则，并推荐后续实验验证方向。</w:t>
      </w:r>
    </w:p>
    <w:p w14:paraId="2050F00F">
      <w:pPr>
        <w:keepNext w:val="0"/>
        <w:spacing w:before="0" w:after="60" w:line="240" w:lineRule="auto"/>
        <w:ind w:firstLine="420"/>
        <w:jc w:val="both"/>
      </w:pPr>
      <w:r>
        <w:rPr>
          <w:rFonts w:ascii="Times New Roman" w:hAnsi="Times New Roman" w:eastAsia="宋体"/>
          <w:b w:val="0"/>
          <w:i w:val="0"/>
          <w:sz w:val="21"/>
        </w:rPr>
        <w:t>表9汇总了两套系统在各问题上的召回数量与主要差异特征。</w:t>
      </w:r>
    </w:p>
    <w:p w14:paraId="162D3810">
      <w:pPr>
        <w:keepNext w:val="0"/>
        <w:spacing w:before="120" w:after="60" w:line="240" w:lineRule="auto"/>
        <w:jc w:val="center"/>
      </w:pPr>
      <w:r>
        <w:rPr>
          <w:rFonts w:ascii="Times New Roman" w:hAnsi="Times New Roman" w:eastAsia="宋体"/>
          <w:b w:val="0"/>
          <w:sz w:val="18"/>
        </w:rPr>
        <w:t>表9 PFAS去除与降解案例中Graph-RAG与Hyper-ChE检索数量对比</w:t>
      </w:r>
    </w:p>
    <w:tbl>
      <w:tblPr>
        <w:tblStyle w:val="32"/>
        <w:tblW w:w="0" w:type="auto"/>
        <w:jc w:val="center"/>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Layout w:type="autofit"/>
        <w:tblCellMar>
          <w:top w:w="0" w:type="dxa"/>
          <w:left w:w="108" w:type="dxa"/>
          <w:bottom w:w="0" w:type="dxa"/>
          <w:right w:w="108" w:type="dxa"/>
        </w:tblCellMar>
      </w:tblPr>
      <w:tblGrid>
        <w:gridCol w:w="567"/>
        <w:gridCol w:w="1247"/>
        <w:gridCol w:w="1474"/>
        <w:gridCol w:w="1304"/>
        <w:gridCol w:w="2891"/>
      </w:tblGrid>
      <w:tr w14:paraId="03984A8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Borders>
              <w:bottom w:val="single" w:color="000000" w:sz="8" w:space="0"/>
            </w:tcBorders>
            <w:shd w:val="clear" w:color="auto" w:fill="EDEDED"/>
            <w:tcMar>
              <w:top w:w="80" w:type="dxa"/>
              <w:left w:w="80" w:type="dxa"/>
              <w:bottom w:w="80" w:type="dxa"/>
              <w:right w:w="80" w:type="dxa"/>
            </w:tcMar>
            <w:vAlign w:val="center"/>
          </w:tcPr>
          <w:p w14:paraId="1EC29A05">
            <w:pPr>
              <w:jc w:val="center"/>
            </w:pPr>
            <w:r>
              <w:rPr>
                <w:rFonts w:ascii="Times New Roman" w:hAnsi="Times New Roman" w:eastAsia="??"/>
                <w:b/>
                <w:i w:val="0"/>
                <w:sz w:val="19"/>
              </w:rPr>
              <w:t>问题</w:t>
            </w:r>
          </w:p>
        </w:tc>
        <w:tc>
          <w:tcPr>
            <w:tcW w:w="1247" w:type="dxa"/>
            <w:tcBorders>
              <w:bottom w:val="single" w:color="000000" w:sz="8" w:space="0"/>
            </w:tcBorders>
            <w:shd w:val="clear" w:color="auto" w:fill="EDEDED"/>
            <w:tcMar>
              <w:top w:w="80" w:type="dxa"/>
              <w:left w:w="80" w:type="dxa"/>
              <w:bottom w:w="80" w:type="dxa"/>
              <w:right w:w="80" w:type="dxa"/>
            </w:tcMar>
            <w:vAlign w:val="center"/>
          </w:tcPr>
          <w:p w14:paraId="3CE39854">
            <w:pPr>
              <w:jc w:val="center"/>
            </w:pPr>
            <w:r>
              <w:rPr>
                <w:rFonts w:ascii="Times New Roman" w:hAnsi="Times New Roman" w:eastAsia="??"/>
                <w:b/>
                <w:i w:val="0"/>
                <w:sz w:val="19"/>
              </w:rPr>
              <w:t>问题类型</w:t>
            </w:r>
          </w:p>
        </w:tc>
        <w:tc>
          <w:tcPr>
            <w:tcW w:w="1474" w:type="dxa"/>
            <w:tcBorders>
              <w:bottom w:val="single" w:color="000000" w:sz="8" w:space="0"/>
            </w:tcBorders>
            <w:shd w:val="clear" w:color="auto" w:fill="EDEDED"/>
            <w:tcMar>
              <w:top w:w="80" w:type="dxa"/>
              <w:left w:w="80" w:type="dxa"/>
              <w:bottom w:w="80" w:type="dxa"/>
              <w:right w:w="80" w:type="dxa"/>
            </w:tcMar>
            <w:vAlign w:val="center"/>
          </w:tcPr>
          <w:p w14:paraId="0EE8BC51">
            <w:pPr>
              <w:jc w:val="center"/>
            </w:pPr>
            <w:r>
              <w:rPr>
                <w:rFonts w:ascii="Times New Roman" w:hAnsi="Times New Roman" w:eastAsia="??"/>
                <w:b/>
                <w:i w:val="0"/>
                <w:sz w:val="19"/>
              </w:rPr>
              <w:t>Hyper-RAG检索结果</w:t>
            </w:r>
          </w:p>
        </w:tc>
        <w:tc>
          <w:tcPr>
            <w:tcW w:w="1304" w:type="dxa"/>
            <w:tcBorders>
              <w:bottom w:val="single" w:color="000000" w:sz="8" w:space="0"/>
            </w:tcBorders>
            <w:shd w:val="clear" w:color="auto" w:fill="EDEDED"/>
            <w:tcMar>
              <w:top w:w="80" w:type="dxa"/>
              <w:left w:w="80" w:type="dxa"/>
              <w:bottom w:w="80" w:type="dxa"/>
              <w:right w:w="80" w:type="dxa"/>
            </w:tcMar>
            <w:vAlign w:val="center"/>
          </w:tcPr>
          <w:p w14:paraId="14A49FF2">
            <w:pPr>
              <w:jc w:val="center"/>
            </w:pPr>
            <w:r>
              <w:rPr>
                <w:rFonts w:ascii="Times New Roman" w:hAnsi="Times New Roman" w:eastAsia="??"/>
                <w:b/>
                <w:i w:val="0"/>
                <w:sz w:val="19"/>
              </w:rPr>
              <w:t>Graph-RAG检索结果</w:t>
            </w:r>
          </w:p>
        </w:tc>
        <w:tc>
          <w:tcPr>
            <w:tcW w:w="2891" w:type="dxa"/>
            <w:tcBorders>
              <w:bottom w:val="single" w:color="000000" w:sz="8" w:space="0"/>
            </w:tcBorders>
            <w:shd w:val="clear" w:color="auto" w:fill="EDEDED"/>
            <w:tcMar>
              <w:top w:w="80" w:type="dxa"/>
              <w:left w:w="80" w:type="dxa"/>
              <w:bottom w:w="80" w:type="dxa"/>
              <w:right w:w="80" w:type="dxa"/>
            </w:tcMar>
            <w:vAlign w:val="center"/>
          </w:tcPr>
          <w:p w14:paraId="6C1C0F53">
            <w:pPr>
              <w:jc w:val="center"/>
            </w:pPr>
            <w:r>
              <w:rPr>
                <w:rFonts w:ascii="Times New Roman" w:hAnsi="Times New Roman" w:eastAsia="??"/>
                <w:b/>
                <w:i w:val="0"/>
                <w:sz w:val="19"/>
              </w:rPr>
              <w:t>主要差异</w:t>
            </w:r>
          </w:p>
        </w:tc>
      </w:tr>
      <w:tr w14:paraId="5F264251">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B884F04">
            <w:pPr>
              <w:jc w:val="center"/>
            </w:pPr>
            <w:r>
              <w:rPr>
                <w:rFonts w:ascii="Times New Roman" w:hAnsi="Times New Roman" w:eastAsia="??"/>
                <w:b w:val="0"/>
                <w:i w:val="0"/>
                <w:sz w:val="18"/>
              </w:rPr>
              <w:t>Q1</w:t>
            </w:r>
          </w:p>
        </w:tc>
        <w:tc>
          <w:tcPr>
            <w:tcW w:w="1247" w:type="dxa"/>
            <w:tcMar>
              <w:top w:w="80" w:type="dxa"/>
              <w:left w:w="80" w:type="dxa"/>
              <w:bottom w:w="80" w:type="dxa"/>
              <w:right w:w="80" w:type="dxa"/>
            </w:tcMar>
            <w:vAlign w:val="center"/>
          </w:tcPr>
          <w:p w14:paraId="0B5F9DA9">
            <w:pPr>
              <w:jc w:val="center"/>
            </w:pPr>
            <w:r>
              <w:rPr>
                <w:rFonts w:ascii="Times New Roman" w:hAnsi="Times New Roman" w:eastAsia="??"/>
                <w:b w:val="0"/>
                <w:i w:val="0"/>
                <w:sz w:val="18"/>
              </w:rPr>
              <w:t>语料总览</w:t>
            </w:r>
          </w:p>
        </w:tc>
        <w:tc>
          <w:tcPr>
            <w:tcW w:w="1474" w:type="dxa"/>
            <w:tcMar>
              <w:top w:w="80" w:type="dxa"/>
              <w:left w:w="80" w:type="dxa"/>
              <w:bottom w:w="80" w:type="dxa"/>
              <w:right w:w="80" w:type="dxa"/>
            </w:tcMar>
            <w:vAlign w:val="center"/>
          </w:tcPr>
          <w:p w14:paraId="76A2D24C">
            <w:pPr>
              <w:jc w:val="center"/>
            </w:pPr>
            <w:r>
              <w:rPr>
                <w:rFonts w:ascii="Times New Roman" w:hAnsi="Times New Roman" w:eastAsia="??"/>
                <w:b w:val="0"/>
                <w:i w:val="0"/>
                <w:sz w:val="18"/>
              </w:rPr>
              <w:t>90超边/60实体</w:t>
            </w:r>
          </w:p>
        </w:tc>
        <w:tc>
          <w:tcPr>
            <w:tcW w:w="1304" w:type="dxa"/>
            <w:tcMar>
              <w:top w:w="80" w:type="dxa"/>
              <w:left w:w="80" w:type="dxa"/>
              <w:bottom w:w="80" w:type="dxa"/>
              <w:right w:w="80" w:type="dxa"/>
            </w:tcMar>
            <w:vAlign w:val="center"/>
          </w:tcPr>
          <w:p w14:paraId="01E03930">
            <w:pPr>
              <w:jc w:val="center"/>
            </w:pPr>
            <w:r>
              <w:rPr>
                <w:rFonts w:ascii="Times New Roman" w:hAnsi="Times New Roman" w:eastAsia="??"/>
                <w:b w:val="0"/>
                <w:i w:val="0"/>
                <w:sz w:val="18"/>
              </w:rPr>
              <w:t>45边</w:t>
            </w:r>
          </w:p>
        </w:tc>
        <w:tc>
          <w:tcPr>
            <w:tcW w:w="2891" w:type="dxa"/>
            <w:tcMar>
              <w:top w:w="80" w:type="dxa"/>
              <w:left w:w="80" w:type="dxa"/>
              <w:bottom w:w="80" w:type="dxa"/>
              <w:right w:w="80" w:type="dxa"/>
            </w:tcMar>
            <w:vAlign w:val="center"/>
          </w:tcPr>
          <w:p w14:paraId="353D2BF0">
            <w:pPr>
              <w:jc w:val="left"/>
            </w:pPr>
            <w:r>
              <w:rPr>
                <w:rFonts w:ascii="Times New Roman" w:hAnsi="Times New Roman" w:eastAsia="??"/>
                <w:b w:val="0"/>
                <w:i w:val="0"/>
                <w:sz w:val="18"/>
              </w:rPr>
              <w:t>Hyper-RAG覆盖策略和材料更完整</w:t>
            </w:r>
          </w:p>
        </w:tc>
      </w:tr>
      <w:tr w14:paraId="174A76AE">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3E4D7E4B">
            <w:pPr>
              <w:jc w:val="center"/>
            </w:pPr>
            <w:r>
              <w:rPr>
                <w:rFonts w:ascii="Times New Roman" w:hAnsi="Times New Roman" w:eastAsia="??"/>
                <w:b w:val="0"/>
                <w:i w:val="0"/>
                <w:sz w:val="18"/>
              </w:rPr>
              <w:t>Q2</w:t>
            </w:r>
          </w:p>
        </w:tc>
        <w:tc>
          <w:tcPr>
            <w:tcW w:w="1247" w:type="dxa"/>
            <w:tcMar>
              <w:top w:w="80" w:type="dxa"/>
              <w:left w:w="80" w:type="dxa"/>
              <w:bottom w:w="80" w:type="dxa"/>
              <w:right w:w="80" w:type="dxa"/>
            </w:tcMar>
            <w:vAlign w:val="center"/>
          </w:tcPr>
          <w:p w14:paraId="1FEB0E38">
            <w:pPr>
              <w:jc w:val="center"/>
            </w:pPr>
            <w:r>
              <w:rPr>
                <w:rFonts w:ascii="Times New Roman" w:hAnsi="Times New Roman" w:eastAsia="??"/>
                <w:b w:val="0"/>
                <w:i w:val="0"/>
                <w:sz w:val="18"/>
              </w:rPr>
              <w:t>指标解释</w:t>
            </w:r>
          </w:p>
        </w:tc>
        <w:tc>
          <w:tcPr>
            <w:tcW w:w="1474" w:type="dxa"/>
            <w:tcMar>
              <w:top w:w="80" w:type="dxa"/>
              <w:left w:w="80" w:type="dxa"/>
              <w:bottom w:w="80" w:type="dxa"/>
              <w:right w:w="80" w:type="dxa"/>
            </w:tcMar>
            <w:vAlign w:val="center"/>
          </w:tcPr>
          <w:p w14:paraId="49157CCF">
            <w:pPr>
              <w:jc w:val="center"/>
            </w:pPr>
            <w:r>
              <w:rPr>
                <w:rFonts w:ascii="Times New Roman" w:hAnsi="Times New Roman" w:eastAsia="??"/>
                <w:b w:val="0"/>
                <w:i w:val="0"/>
                <w:sz w:val="18"/>
              </w:rPr>
              <w:t>85超边/62实体</w:t>
            </w:r>
          </w:p>
        </w:tc>
        <w:tc>
          <w:tcPr>
            <w:tcW w:w="1304" w:type="dxa"/>
            <w:tcMar>
              <w:top w:w="80" w:type="dxa"/>
              <w:left w:w="80" w:type="dxa"/>
              <w:bottom w:w="80" w:type="dxa"/>
              <w:right w:w="80" w:type="dxa"/>
            </w:tcMar>
            <w:vAlign w:val="center"/>
          </w:tcPr>
          <w:p w14:paraId="053305F8">
            <w:pPr>
              <w:jc w:val="center"/>
            </w:pPr>
            <w:r>
              <w:rPr>
                <w:rFonts w:ascii="Times New Roman" w:hAnsi="Times New Roman" w:eastAsia="??"/>
                <w:b w:val="0"/>
                <w:i w:val="0"/>
                <w:sz w:val="18"/>
              </w:rPr>
              <w:t>43边/9实体</w:t>
            </w:r>
          </w:p>
        </w:tc>
        <w:tc>
          <w:tcPr>
            <w:tcW w:w="2891" w:type="dxa"/>
            <w:tcMar>
              <w:top w:w="80" w:type="dxa"/>
              <w:left w:w="80" w:type="dxa"/>
              <w:bottom w:w="80" w:type="dxa"/>
              <w:right w:w="80" w:type="dxa"/>
            </w:tcMar>
            <w:vAlign w:val="center"/>
          </w:tcPr>
          <w:p w14:paraId="74DF5562">
            <w:pPr>
              <w:jc w:val="left"/>
            </w:pPr>
            <w:r>
              <w:rPr>
                <w:rFonts w:ascii="Times New Roman" w:hAnsi="Times New Roman" w:eastAsia="??"/>
                <w:b w:val="0"/>
                <w:i w:val="0"/>
                <w:sz w:val="18"/>
              </w:rPr>
              <w:t>两者均可回答，Hyper-RAG上下文更丰富</w:t>
            </w:r>
          </w:p>
        </w:tc>
      </w:tr>
      <w:tr w14:paraId="5303F69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2DD47F5A">
            <w:pPr>
              <w:jc w:val="center"/>
            </w:pPr>
            <w:r>
              <w:rPr>
                <w:rFonts w:ascii="Times New Roman" w:hAnsi="Times New Roman" w:eastAsia="??"/>
                <w:b w:val="0"/>
                <w:i w:val="0"/>
                <w:sz w:val="18"/>
              </w:rPr>
              <w:t>Q3</w:t>
            </w:r>
          </w:p>
        </w:tc>
        <w:tc>
          <w:tcPr>
            <w:tcW w:w="1247" w:type="dxa"/>
            <w:tcMar>
              <w:top w:w="80" w:type="dxa"/>
              <w:left w:w="80" w:type="dxa"/>
              <w:bottom w:w="80" w:type="dxa"/>
              <w:right w:w="80" w:type="dxa"/>
            </w:tcMar>
            <w:vAlign w:val="center"/>
          </w:tcPr>
          <w:p w14:paraId="703C4830">
            <w:pPr>
              <w:jc w:val="center"/>
            </w:pPr>
            <w:r>
              <w:rPr>
                <w:rFonts w:ascii="Times New Roman" w:hAnsi="Times New Roman" w:eastAsia="??"/>
                <w:b w:val="0"/>
                <w:i w:val="0"/>
                <w:sz w:val="18"/>
              </w:rPr>
              <w:t>PFOA/PFOS对比</w:t>
            </w:r>
          </w:p>
        </w:tc>
        <w:tc>
          <w:tcPr>
            <w:tcW w:w="1474" w:type="dxa"/>
            <w:tcMar>
              <w:top w:w="80" w:type="dxa"/>
              <w:left w:w="80" w:type="dxa"/>
              <w:bottom w:w="80" w:type="dxa"/>
              <w:right w:w="80" w:type="dxa"/>
            </w:tcMar>
            <w:vAlign w:val="center"/>
          </w:tcPr>
          <w:p w14:paraId="64691346">
            <w:pPr>
              <w:jc w:val="center"/>
            </w:pPr>
            <w:r>
              <w:rPr>
                <w:rFonts w:ascii="Times New Roman" w:hAnsi="Times New Roman" w:eastAsia="??"/>
                <w:b w:val="0"/>
                <w:i w:val="0"/>
                <w:sz w:val="18"/>
              </w:rPr>
              <w:t>80超边/61实体</w:t>
            </w:r>
          </w:p>
        </w:tc>
        <w:tc>
          <w:tcPr>
            <w:tcW w:w="1304" w:type="dxa"/>
            <w:tcMar>
              <w:top w:w="80" w:type="dxa"/>
              <w:left w:w="80" w:type="dxa"/>
              <w:bottom w:w="80" w:type="dxa"/>
              <w:right w:w="80" w:type="dxa"/>
            </w:tcMar>
            <w:vAlign w:val="center"/>
          </w:tcPr>
          <w:p w14:paraId="48EFC445">
            <w:pPr>
              <w:jc w:val="center"/>
            </w:pPr>
            <w:r>
              <w:rPr>
                <w:rFonts w:ascii="Times New Roman" w:hAnsi="Times New Roman" w:eastAsia="??"/>
                <w:b w:val="0"/>
                <w:i w:val="0"/>
                <w:sz w:val="18"/>
              </w:rPr>
              <w:t>36边/5实体</w:t>
            </w:r>
          </w:p>
        </w:tc>
        <w:tc>
          <w:tcPr>
            <w:tcW w:w="2891" w:type="dxa"/>
            <w:tcMar>
              <w:top w:w="80" w:type="dxa"/>
              <w:left w:w="80" w:type="dxa"/>
              <w:bottom w:w="80" w:type="dxa"/>
              <w:right w:w="80" w:type="dxa"/>
            </w:tcMar>
            <w:vAlign w:val="center"/>
          </w:tcPr>
          <w:p w14:paraId="3F012B85">
            <w:pPr>
              <w:jc w:val="left"/>
            </w:pPr>
            <w:r>
              <w:rPr>
                <w:rFonts w:ascii="Times New Roman" w:hAnsi="Times New Roman" w:eastAsia="??"/>
                <w:b w:val="0"/>
                <w:i w:val="0"/>
                <w:sz w:val="18"/>
              </w:rPr>
              <w:t>Hyper-RAG更能保留材料-条件-指标组合</w:t>
            </w:r>
          </w:p>
        </w:tc>
      </w:tr>
      <w:tr w14:paraId="3F78953A">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7BBFBD6">
            <w:pPr>
              <w:jc w:val="center"/>
            </w:pPr>
            <w:r>
              <w:rPr>
                <w:rFonts w:ascii="Times New Roman" w:hAnsi="Times New Roman" w:eastAsia="??"/>
                <w:b w:val="0"/>
                <w:i w:val="0"/>
                <w:sz w:val="18"/>
              </w:rPr>
              <w:t>Q4</w:t>
            </w:r>
          </w:p>
        </w:tc>
        <w:tc>
          <w:tcPr>
            <w:tcW w:w="1247" w:type="dxa"/>
            <w:tcMar>
              <w:top w:w="80" w:type="dxa"/>
              <w:left w:w="80" w:type="dxa"/>
              <w:bottom w:w="80" w:type="dxa"/>
              <w:right w:w="80" w:type="dxa"/>
            </w:tcMar>
            <w:vAlign w:val="center"/>
          </w:tcPr>
          <w:p w14:paraId="323480B5">
            <w:pPr>
              <w:jc w:val="center"/>
            </w:pPr>
            <w:r>
              <w:rPr>
                <w:rFonts w:ascii="Times New Roman" w:hAnsi="Times New Roman" w:eastAsia="??"/>
                <w:b w:val="0"/>
                <w:i w:val="0"/>
                <w:sz w:val="18"/>
              </w:rPr>
              <w:t>材料角色区分</w:t>
            </w:r>
          </w:p>
        </w:tc>
        <w:tc>
          <w:tcPr>
            <w:tcW w:w="1474" w:type="dxa"/>
            <w:tcMar>
              <w:top w:w="80" w:type="dxa"/>
              <w:left w:w="80" w:type="dxa"/>
              <w:bottom w:w="80" w:type="dxa"/>
              <w:right w:w="80" w:type="dxa"/>
            </w:tcMar>
            <w:vAlign w:val="center"/>
          </w:tcPr>
          <w:p w14:paraId="3C6CF5B0">
            <w:pPr>
              <w:jc w:val="center"/>
            </w:pPr>
            <w:r>
              <w:rPr>
                <w:rFonts w:ascii="Times New Roman" w:hAnsi="Times New Roman" w:eastAsia="??"/>
                <w:b w:val="0"/>
                <w:i w:val="0"/>
                <w:sz w:val="18"/>
              </w:rPr>
              <w:t>95超边/60实体</w:t>
            </w:r>
          </w:p>
        </w:tc>
        <w:tc>
          <w:tcPr>
            <w:tcW w:w="1304" w:type="dxa"/>
            <w:tcMar>
              <w:top w:w="80" w:type="dxa"/>
              <w:left w:w="80" w:type="dxa"/>
              <w:bottom w:w="80" w:type="dxa"/>
              <w:right w:w="80" w:type="dxa"/>
            </w:tcMar>
            <w:vAlign w:val="center"/>
          </w:tcPr>
          <w:p w14:paraId="576594BF">
            <w:pPr>
              <w:jc w:val="center"/>
            </w:pPr>
            <w:r>
              <w:rPr>
                <w:rFonts w:ascii="Times New Roman" w:hAnsi="Times New Roman" w:eastAsia="??"/>
                <w:b w:val="0"/>
                <w:i w:val="0"/>
                <w:sz w:val="18"/>
              </w:rPr>
              <w:t>40边/2实体</w:t>
            </w:r>
          </w:p>
        </w:tc>
        <w:tc>
          <w:tcPr>
            <w:tcW w:w="2891" w:type="dxa"/>
            <w:tcMar>
              <w:top w:w="80" w:type="dxa"/>
              <w:left w:w="80" w:type="dxa"/>
              <w:bottom w:w="80" w:type="dxa"/>
              <w:right w:w="80" w:type="dxa"/>
            </w:tcMar>
            <w:vAlign w:val="center"/>
          </w:tcPr>
          <w:p w14:paraId="783BB234">
            <w:pPr>
              <w:jc w:val="left"/>
            </w:pPr>
            <w:r>
              <w:rPr>
                <w:rFonts w:ascii="Times New Roman" w:hAnsi="Times New Roman" w:eastAsia="??"/>
                <w:b w:val="0"/>
                <w:i w:val="0"/>
                <w:sz w:val="18"/>
              </w:rPr>
              <w:t>Hyper-RAG角色分类更完整</w:t>
            </w:r>
          </w:p>
        </w:tc>
      </w:tr>
      <w:tr w14:paraId="41407183">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5AF53AD">
            <w:pPr>
              <w:jc w:val="center"/>
            </w:pPr>
            <w:r>
              <w:rPr>
                <w:rFonts w:ascii="Times New Roman" w:hAnsi="Times New Roman" w:eastAsia="??"/>
                <w:b w:val="0"/>
                <w:i w:val="0"/>
                <w:sz w:val="18"/>
              </w:rPr>
              <w:t>Q5</w:t>
            </w:r>
          </w:p>
        </w:tc>
        <w:tc>
          <w:tcPr>
            <w:tcW w:w="1247" w:type="dxa"/>
            <w:tcMar>
              <w:top w:w="80" w:type="dxa"/>
              <w:left w:w="80" w:type="dxa"/>
              <w:bottom w:w="80" w:type="dxa"/>
              <w:right w:w="80" w:type="dxa"/>
            </w:tcMar>
            <w:vAlign w:val="center"/>
          </w:tcPr>
          <w:p w14:paraId="37949243">
            <w:pPr>
              <w:jc w:val="center"/>
            </w:pPr>
            <w:r>
              <w:rPr>
                <w:rFonts w:ascii="Times New Roman" w:hAnsi="Times New Roman" w:eastAsia="??"/>
                <w:b w:val="0"/>
                <w:i w:val="0"/>
                <w:sz w:val="18"/>
              </w:rPr>
              <w:t>多条件组合</w:t>
            </w:r>
          </w:p>
        </w:tc>
        <w:tc>
          <w:tcPr>
            <w:tcW w:w="1474" w:type="dxa"/>
            <w:tcMar>
              <w:top w:w="80" w:type="dxa"/>
              <w:left w:w="80" w:type="dxa"/>
              <w:bottom w:w="80" w:type="dxa"/>
              <w:right w:w="80" w:type="dxa"/>
            </w:tcMar>
            <w:vAlign w:val="center"/>
          </w:tcPr>
          <w:p w14:paraId="5A2A4930">
            <w:pPr>
              <w:jc w:val="center"/>
            </w:pPr>
            <w:r>
              <w:rPr>
                <w:rFonts w:ascii="Times New Roman" w:hAnsi="Times New Roman" w:eastAsia="??"/>
                <w:b w:val="0"/>
                <w:i w:val="0"/>
                <w:sz w:val="18"/>
              </w:rPr>
              <w:t>58超边/61实体</w:t>
            </w:r>
          </w:p>
        </w:tc>
        <w:tc>
          <w:tcPr>
            <w:tcW w:w="1304" w:type="dxa"/>
            <w:tcMar>
              <w:top w:w="80" w:type="dxa"/>
              <w:left w:w="80" w:type="dxa"/>
              <w:bottom w:w="80" w:type="dxa"/>
              <w:right w:w="80" w:type="dxa"/>
            </w:tcMar>
            <w:vAlign w:val="center"/>
          </w:tcPr>
          <w:p w14:paraId="4DEA6B06">
            <w:pPr>
              <w:jc w:val="center"/>
            </w:pPr>
            <w:r>
              <w:rPr>
                <w:rFonts w:ascii="Times New Roman" w:hAnsi="Times New Roman" w:eastAsia="??"/>
                <w:b w:val="0"/>
                <w:i w:val="0"/>
                <w:sz w:val="18"/>
              </w:rPr>
              <w:t>36边/4实体</w:t>
            </w:r>
          </w:p>
        </w:tc>
        <w:tc>
          <w:tcPr>
            <w:tcW w:w="2891" w:type="dxa"/>
            <w:tcMar>
              <w:top w:w="80" w:type="dxa"/>
              <w:left w:w="80" w:type="dxa"/>
              <w:bottom w:w="80" w:type="dxa"/>
              <w:right w:w="80" w:type="dxa"/>
            </w:tcMar>
            <w:vAlign w:val="center"/>
          </w:tcPr>
          <w:p w14:paraId="5994C80C">
            <w:pPr>
              <w:jc w:val="left"/>
            </w:pPr>
            <w:r>
              <w:rPr>
                <w:rFonts w:ascii="Times New Roman" w:hAnsi="Times New Roman" w:eastAsia="??"/>
                <w:b w:val="0"/>
                <w:i w:val="0"/>
                <w:sz w:val="18"/>
              </w:rPr>
              <w:t>差异最明显，Graph-RAG表现为证据不足</w:t>
            </w:r>
          </w:p>
        </w:tc>
      </w:tr>
      <w:tr w14:paraId="6FFF7E56">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5C20F82F">
            <w:pPr>
              <w:jc w:val="center"/>
            </w:pPr>
            <w:r>
              <w:rPr>
                <w:rFonts w:ascii="Times New Roman" w:hAnsi="Times New Roman" w:eastAsia="??"/>
                <w:b w:val="0"/>
                <w:i w:val="0"/>
                <w:sz w:val="18"/>
              </w:rPr>
              <w:t>Q6</w:t>
            </w:r>
          </w:p>
        </w:tc>
        <w:tc>
          <w:tcPr>
            <w:tcW w:w="1247" w:type="dxa"/>
            <w:tcMar>
              <w:top w:w="80" w:type="dxa"/>
              <w:left w:w="80" w:type="dxa"/>
              <w:bottom w:w="80" w:type="dxa"/>
              <w:right w:w="80" w:type="dxa"/>
            </w:tcMar>
            <w:vAlign w:val="center"/>
          </w:tcPr>
          <w:p w14:paraId="3333001E">
            <w:pPr>
              <w:jc w:val="center"/>
            </w:pPr>
            <w:r>
              <w:rPr>
                <w:rFonts w:ascii="Times New Roman" w:hAnsi="Times New Roman" w:eastAsia="??"/>
                <w:b w:val="0"/>
                <w:i w:val="0"/>
                <w:sz w:val="18"/>
              </w:rPr>
              <w:t>材料性质关联</w:t>
            </w:r>
          </w:p>
        </w:tc>
        <w:tc>
          <w:tcPr>
            <w:tcW w:w="1474" w:type="dxa"/>
            <w:tcMar>
              <w:top w:w="80" w:type="dxa"/>
              <w:left w:w="80" w:type="dxa"/>
              <w:bottom w:w="80" w:type="dxa"/>
              <w:right w:w="80" w:type="dxa"/>
            </w:tcMar>
            <w:vAlign w:val="center"/>
          </w:tcPr>
          <w:p w14:paraId="6975DCA4">
            <w:pPr>
              <w:jc w:val="center"/>
            </w:pPr>
            <w:r>
              <w:rPr>
                <w:rFonts w:ascii="Times New Roman" w:hAnsi="Times New Roman" w:eastAsia="??"/>
                <w:b w:val="0"/>
                <w:i w:val="0"/>
                <w:sz w:val="18"/>
              </w:rPr>
              <w:t>88超边/61实体</w:t>
            </w:r>
          </w:p>
        </w:tc>
        <w:tc>
          <w:tcPr>
            <w:tcW w:w="1304" w:type="dxa"/>
            <w:tcMar>
              <w:top w:w="80" w:type="dxa"/>
              <w:left w:w="80" w:type="dxa"/>
              <w:bottom w:w="80" w:type="dxa"/>
              <w:right w:w="80" w:type="dxa"/>
            </w:tcMar>
            <w:vAlign w:val="center"/>
          </w:tcPr>
          <w:p w14:paraId="07866498">
            <w:pPr>
              <w:jc w:val="center"/>
            </w:pPr>
            <w:r>
              <w:rPr>
                <w:rFonts w:ascii="Times New Roman" w:hAnsi="Times New Roman" w:eastAsia="??"/>
                <w:b w:val="0"/>
                <w:i w:val="0"/>
                <w:sz w:val="18"/>
              </w:rPr>
              <w:t>39边/8实体</w:t>
            </w:r>
          </w:p>
        </w:tc>
        <w:tc>
          <w:tcPr>
            <w:tcW w:w="2891" w:type="dxa"/>
            <w:tcMar>
              <w:top w:w="80" w:type="dxa"/>
              <w:left w:w="80" w:type="dxa"/>
              <w:bottom w:w="80" w:type="dxa"/>
              <w:right w:w="80" w:type="dxa"/>
            </w:tcMar>
            <w:vAlign w:val="center"/>
          </w:tcPr>
          <w:p w14:paraId="396BECED">
            <w:pPr>
              <w:jc w:val="left"/>
            </w:pPr>
            <w:r>
              <w:rPr>
                <w:rFonts w:ascii="Times New Roman" w:hAnsi="Times New Roman" w:eastAsia="??"/>
                <w:b w:val="0"/>
                <w:i w:val="0"/>
                <w:sz w:val="18"/>
              </w:rPr>
              <w:t>Hyper-RAG能构造间接机制链</w:t>
            </w:r>
          </w:p>
        </w:tc>
      </w:tr>
      <w:tr w14:paraId="2ADE3EB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8DA2A74">
            <w:pPr>
              <w:jc w:val="center"/>
            </w:pPr>
            <w:r>
              <w:rPr>
                <w:rFonts w:ascii="Times New Roman" w:hAnsi="Times New Roman" w:eastAsia="??"/>
                <w:b w:val="0"/>
                <w:i w:val="0"/>
                <w:sz w:val="18"/>
              </w:rPr>
              <w:t>Q7</w:t>
            </w:r>
          </w:p>
        </w:tc>
        <w:tc>
          <w:tcPr>
            <w:tcW w:w="1247" w:type="dxa"/>
            <w:tcMar>
              <w:top w:w="80" w:type="dxa"/>
              <w:left w:w="80" w:type="dxa"/>
              <w:bottom w:w="80" w:type="dxa"/>
              <w:right w:w="80" w:type="dxa"/>
            </w:tcMar>
            <w:vAlign w:val="center"/>
          </w:tcPr>
          <w:p w14:paraId="4264E127">
            <w:pPr>
              <w:jc w:val="center"/>
            </w:pPr>
            <w:r>
              <w:rPr>
                <w:rFonts w:ascii="Times New Roman" w:hAnsi="Times New Roman" w:eastAsia="??"/>
                <w:b w:val="0"/>
                <w:i w:val="0"/>
                <w:sz w:val="18"/>
              </w:rPr>
              <w:t>跨策略比较</w:t>
            </w:r>
          </w:p>
        </w:tc>
        <w:tc>
          <w:tcPr>
            <w:tcW w:w="1474" w:type="dxa"/>
            <w:tcMar>
              <w:top w:w="80" w:type="dxa"/>
              <w:left w:w="80" w:type="dxa"/>
              <w:bottom w:w="80" w:type="dxa"/>
              <w:right w:w="80" w:type="dxa"/>
            </w:tcMar>
            <w:vAlign w:val="center"/>
          </w:tcPr>
          <w:p w14:paraId="66640243">
            <w:pPr>
              <w:jc w:val="center"/>
            </w:pPr>
            <w:r>
              <w:rPr>
                <w:rFonts w:ascii="Times New Roman" w:hAnsi="Times New Roman" w:eastAsia="??"/>
                <w:b w:val="0"/>
                <w:i w:val="0"/>
                <w:sz w:val="18"/>
              </w:rPr>
              <w:t>83超边/62实体</w:t>
            </w:r>
          </w:p>
        </w:tc>
        <w:tc>
          <w:tcPr>
            <w:tcW w:w="1304" w:type="dxa"/>
            <w:tcMar>
              <w:top w:w="80" w:type="dxa"/>
              <w:left w:w="80" w:type="dxa"/>
              <w:bottom w:w="80" w:type="dxa"/>
              <w:right w:w="80" w:type="dxa"/>
            </w:tcMar>
            <w:vAlign w:val="center"/>
          </w:tcPr>
          <w:p w14:paraId="44C44922">
            <w:pPr>
              <w:jc w:val="center"/>
            </w:pPr>
            <w:r>
              <w:rPr>
                <w:rFonts w:ascii="Times New Roman" w:hAnsi="Times New Roman" w:eastAsia="??"/>
                <w:b w:val="0"/>
                <w:i w:val="0"/>
                <w:sz w:val="18"/>
              </w:rPr>
              <w:t>38边/6实体</w:t>
            </w:r>
          </w:p>
        </w:tc>
        <w:tc>
          <w:tcPr>
            <w:tcW w:w="2891" w:type="dxa"/>
            <w:tcMar>
              <w:top w:w="80" w:type="dxa"/>
              <w:left w:w="80" w:type="dxa"/>
              <w:bottom w:w="80" w:type="dxa"/>
              <w:right w:w="80" w:type="dxa"/>
            </w:tcMar>
            <w:vAlign w:val="center"/>
          </w:tcPr>
          <w:p w14:paraId="2EBE3D8E">
            <w:pPr>
              <w:jc w:val="left"/>
            </w:pPr>
            <w:r>
              <w:rPr>
                <w:rFonts w:ascii="Times New Roman" w:hAnsi="Times New Roman" w:eastAsia="??"/>
                <w:b w:val="0"/>
                <w:i w:val="0"/>
                <w:sz w:val="18"/>
              </w:rPr>
              <w:t>Hyper-RAG对耦合策略覆盖更好</w:t>
            </w:r>
          </w:p>
        </w:tc>
      </w:tr>
      <w:tr w14:paraId="22457F14">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13255B2A">
            <w:pPr>
              <w:jc w:val="center"/>
            </w:pPr>
            <w:r>
              <w:rPr>
                <w:rFonts w:ascii="Times New Roman" w:hAnsi="Times New Roman" w:eastAsia="??"/>
                <w:b w:val="0"/>
                <w:i w:val="0"/>
                <w:sz w:val="18"/>
              </w:rPr>
              <w:t>Q8</w:t>
            </w:r>
          </w:p>
        </w:tc>
        <w:tc>
          <w:tcPr>
            <w:tcW w:w="1247" w:type="dxa"/>
            <w:tcMar>
              <w:top w:w="80" w:type="dxa"/>
              <w:left w:w="80" w:type="dxa"/>
              <w:bottom w:w="80" w:type="dxa"/>
              <w:right w:w="80" w:type="dxa"/>
            </w:tcMar>
            <w:vAlign w:val="center"/>
          </w:tcPr>
          <w:p w14:paraId="441DDD72">
            <w:pPr>
              <w:jc w:val="center"/>
            </w:pPr>
            <w:r>
              <w:rPr>
                <w:rFonts w:ascii="Times New Roman" w:hAnsi="Times New Roman" w:eastAsia="??"/>
                <w:b w:val="0"/>
                <w:i w:val="0"/>
                <w:sz w:val="18"/>
              </w:rPr>
              <w:t>长短链对比</w:t>
            </w:r>
          </w:p>
        </w:tc>
        <w:tc>
          <w:tcPr>
            <w:tcW w:w="1474" w:type="dxa"/>
            <w:tcMar>
              <w:top w:w="80" w:type="dxa"/>
              <w:left w:w="80" w:type="dxa"/>
              <w:bottom w:w="80" w:type="dxa"/>
              <w:right w:w="80" w:type="dxa"/>
            </w:tcMar>
            <w:vAlign w:val="center"/>
          </w:tcPr>
          <w:p w14:paraId="2F6E20E2">
            <w:pPr>
              <w:jc w:val="center"/>
            </w:pPr>
            <w:r>
              <w:rPr>
                <w:rFonts w:ascii="Times New Roman" w:hAnsi="Times New Roman" w:eastAsia="??"/>
                <w:b w:val="0"/>
                <w:i w:val="0"/>
                <w:sz w:val="18"/>
              </w:rPr>
              <w:t>66超边/66实体</w:t>
            </w:r>
          </w:p>
        </w:tc>
        <w:tc>
          <w:tcPr>
            <w:tcW w:w="1304" w:type="dxa"/>
            <w:tcMar>
              <w:top w:w="80" w:type="dxa"/>
              <w:left w:w="80" w:type="dxa"/>
              <w:bottom w:w="80" w:type="dxa"/>
              <w:right w:w="80" w:type="dxa"/>
            </w:tcMar>
            <w:vAlign w:val="center"/>
          </w:tcPr>
          <w:p w14:paraId="2879B6FC">
            <w:pPr>
              <w:jc w:val="center"/>
            </w:pPr>
            <w:r>
              <w:rPr>
                <w:rFonts w:ascii="Times New Roman" w:hAnsi="Times New Roman" w:eastAsia="??"/>
                <w:b w:val="0"/>
                <w:i w:val="0"/>
                <w:sz w:val="18"/>
              </w:rPr>
              <w:t>32边/4实体</w:t>
            </w:r>
          </w:p>
        </w:tc>
        <w:tc>
          <w:tcPr>
            <w:tcW w:w="2891" w:type="dxa"/>
            <w:tcMar>
              <w:top w:w="80" w:type="dxa"/>
              <w:left w:w="80" w:type="dxa"/>
              <w:bottom w:w="80" w:type="dxa"/>
              <w:right w:w="80" w:type="dxa"/>
            </w:tcMar>
            <w:vAlign w:val="center"/>
          </w:tcPr>
          <w:p w14:paraId="6EF001D2">
            <w:pPr>
              <w:jc w:val="left"/>
            </w:pPr>
            <w:r>
              <w:rPr>
                <w:rFonts w:ascii="Times New Roman" w:hAnsi="Times New Roman" w:eastAsia="??"/>
                <w:b w:val="0"/>
                <w:i w:val="0"/>
                <w:sz w:val="18"/>
              </w:rPr>
              <w:t>Hyper-RAG对短链PFAS讨论更完整</w:t>
            </w:r>
          </w:p>
        </w:tc>
      </w:tr>
      <w:tr w14:paraId="28379A3D">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04B263FC">
            <w:pPr>
              <w:jc w:val="center"/>
            </w:pPr>
            <w:r>
              <w:rPr>
                <w:rFonts w:ascii="Times New Roman" w:hAnsi="Times New Roman" w:eastAsia="??"/>
                <w:b w:val="0"/>
                <w:i w:val="0"/>
                <w:sz w:val="18"/>
              </w:rPr>
              <w:t>Q9</w:t>
            </w:r>
          </w:p>
        </w:tc>
        <w:tc>
          <w:tcPr>
            <w:tcW w:w="1247" w:type="dxa"/>
            <w:tcMar>
              <w:top w:w="80" w:type="dxa"/>
              <w:left w:w="80" w:type="dxa"/>
              <w:bottom w:w="80" w:type="dxa"/>
              <w:right w:w="80" w:type="dxa"/>
            </w:tcMar>
            <w:vAlign w:val="center"/>
          </w:tcPr>
          <w:p w14:paraId="04B7F010">
            <w:pPr>
              <w:jc w:val="center"/>
            </w:pPr>
            <w:r>
              <w:rPr>
                <w:rFonts w:ascii="Times New Roman" w:hAnsi="Times New Roman" w:eastAsia="??"/>
                <w:b w:val="0"/>
                <w:i w:val="0"/>
                <w:sz w:val="18"/>
              </w:rPr>
              <w:t>活性物种路径</w:t>
            </w:r>
          </w:p>
        </w:tc>
        <w:tc>
          <w:tcPr>
            <w:tcW w:w="1474" w:type="dxa"/>
            <w:tcMar>
              <w:top w:w="80" w:type="dxa"/>
              <w:left w:w="80" w:type="dxa"/>
              <w:bottom w:w="80" w:type="dxa"/>
              <w:right w:w="80" w:type="dxa"/>
            </w:tcMar>
            <w:vAlign w:val="center"/>
          </w:tcPr>
          <w:p w14:paraId="34D9F91E">
            <w:pPr>
              <w:jc w:val="center"/>
            </w:pPr>
            <w:r>
              <w:rPr>
                <w:rFonts w:ascii="Times New Roman" w:hAnsi="Times New Roman" w:eastAsia="??"/>
                <w:b w:val="0"/>
                <w:i w:val="0"/>
                <w:sz w:val="18"/>
              </w:rPr>
              <w:t>81超边/61实体</w:t>
            </w:r>
          </w:p>
        </w:tc>
        <w:tc>
          <w:tcPr>
            <w:tcW w:w="1304" w:type="dxa"/>
            <w:tcMar>
              <w:top w:w="80" w:type="dxa"/>
              <w:left w:w="80" w:type="dxa"/>
              <w:bottom w:w="80" w:type="dxa"/>
              <w:right w:w="80" w:type="dxa"/>
            </w:tcMar>
            <w:vAlign w:val="center"/>
          </w:tcPr>
          <w:p w14:paraId="3B734B7A">
            <w:pPr>
              <w:jc w:val="center"/>
            </w:pPr>
            <w:r>
              <w:rPr>
                <w:rFonts w:ascii="Times New Roman" w:hAnsi="Times New Roman" w:eastAsia="??"/>
                <w:b w:val="0"/>
                <w:i w:val="0"/>
                <w:sz w:val="18"/>
              </w:rPr>
              <w:t>38边</w:t>
            </w:r>
          </w:p>
        </w:tc>
        <w:tc>
          <w:tcPr>
            <w:tcW w:w="2891" w:type="dxa"/>
            <w:tcMar>
              <w:top w:w="80" w:type="dxa"/>
              <w:left w:w="80" w:type="dxa"/>
              <w:bottom w:w="80" w:type="dxa"/>
              <w:right w:w="80" w:type="dxa"/>
            </w:tcMar>
            <w:vAlign w:val="center"/>
          </w:tcPr>
          <w:p w14:paraId="086FDF54">
            <w:pPr>
              <w:jc w:val="left"/>
            </w:pPr>
            <w:r>
              <w:rPr>
                <w:rFonts w:ascii="Times New Roman" w:hAnsi="Times New Roman" w:eastAsia="??"/>
                <w:b w:val="0"/>
                <w:i w:val="0"/>
                <w:sz w:val="18"/>
              </w:rPr>
              <w:t>Hyper-RAG机制链条更完整</w:t>
            </w:r>
          </w:p>
        </w:tc>
      </w:tr>
      <w:tr w14:paraId="5799FB75">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71B1A05">
            <w:pPr>
              <w:jc w:val="center"/>
            </w:pPr>
            <w:r>
              <w:rPr>
                <w:rFonts w:ascii="Times New Roman" w:hAnsi="Times New Roman" w:eastAsia="??"/>
                <w:b w:val="0"/>
                <w:i w:val="0"/>
                <w:sz w:val="18"/>
              </w:rPr>
              <w:t>Q10</w:t>
            </w:r>
          </w:p>
        </w:tc>
        <w:tc>
          <w:tcPr>
            <w:tcW w:w="1247" w:type="dxa"/>
            <w:tcMar>
              <w:top w:w="80" w:type="dxa"/>
              <w:left w:w="80" w:type="dxa"/>
              <w:bottom w:w="80" w:type="dxa"/>
              <w:right w:w="80" w:type="dxa"/>
            </w:tcMar>
            <w:vAlign w:val="center"/>
          </w:tcPr>
          <w:p w14:paraId="6A2C2D13">
            <w:pPr>
              <w:jc w:val="center"/>
            </w:pPr>
            <w:r>
              <w:rPr>
                <w:rFonts w:ascii="Times New Roman" w:hAnsi="Times New Roman" w:eastAsia="??"/>
                <w:b w:val="0"/>
                <w:i w:val="0"/>
                <w:sz w:val="18"/>
              </w:rPr>
              <w:t>直接电子转移</w:t>
            </w:r>
          </w:p>
        </w:tc>
        <w:tc>
          <w:tcPr>
            <w:tcW w:w="1474" w:type="dxa"/>
            <w:tcMar>
              <w:top w:w="80" w:type="dxa"/>
              <w:left w:w="80" w:type="dxa"/>
              <w:bottom w:w="80" w:type="dxa"/>
              <w:right w:w="80" w:type="dxa"/>
            </w:tcMar>
            <w:vAlign w:val="center"/>
          </w:tcPr>
          <w:p w14:paraId="1657833B">
            <w:pPr>
              <w:jc w:val="center"/>
            </w:pPr>
            <w:r>
              <w:rPr>
                <w:rFonts w:ascii="Times New Roman" w:hAnsi="Times New Roman" w:eastAsia="??"/>
                <w:b w:val="0"/>
                <w:i w:val="0"/>
                <w:sz w:val="18"/>
              </w:rPr>
              <w:t>88超边/60实体</w:t>
            </w:r>
          </w:p>
        </w:tc>
        <w:tc>
          <w:tcPr>
            <w:tcW w:w="1304" w:type="dxa"/>
            <w:tcMar>
              <w:top w:w="80" w:type="dxa"/>
              <w:left w:w="80" w:type="dxa"/>
              <w:bottom w:w="80" w:type="dxa"/>
              <w:right w:w="80" w:type="dxa"/>
            </w:tcMar>
            <w:vAlign w:val="center"/>
          </w:tcPr>
          <w:p w14:paraId="2604F5B8">
            <w:pPr>
              <w:jc w:val="center"/>
            </w:pPr>
            <w:r>
              <w:rPr>
                <w:rFonts w:ascii="Times New Roman" w:hAnsi="Times New Roman" w:eastAsia="??"/>
                <w:b w:val="0"/>
                <w:i w:val="0"/>
                <w:sz w:val="18"/>
              </w:rPr>
              <w:t>39边/1实体</w:t>
            </w:r>
          </w:p>
        </w:tc>
        <w:tc>
          <w:tcPr>
            <w:tcW w:w="2891" w:type="dxa"/>
            <w:tcMar>
              <w:top w:w="80" w:type="dxa"/>
              <w:left w:w="80" w:type="dxa"/>
              <w:bottom w:w="80" w:type="dxa"/>
              <w:right w:w="80" w:type="dxa"/>
            </w:tcMar>
            <w:vAlign w:val="center"/>
          </w:tcPr>
          <w:p w14:paraId="4BC4C613">
            <w:pPr>
              <w:jc w:val="left"/>
            </w:pPr>
            <w:r>
              <w:rPr>
                <w:rFonts w:ascii="Times New Roman" w:hAnsi="Times New Roman" w:eastAsia="??"/>
                <w:b w:val="0"/>
                <w:i w:val="0"/>
                <w:sz w:val="18"/>
              </w:rPr>
              <w:t>Hyper-RAG证据链更完整</w:t>
            </w:r>
          </w:p>
        </w:tc>
      </w:tr>
      <w:tr w14:paraId="254616F9">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709A5140">
            <w:pPr>
              <w:jc w:val="center"/>
            </w:pPr>
            <w:r>
              <w:rPr>
                <w:rFonts w:ascii="Times New Roman" w:hAnsi="Times New Roman" w:eastAsia="??"/>
                <w:b w:val="0"/>
                <w:i w:val="0"/>
                <w:sz w:val="18"/>
              </w:rPr>
              <w:t>Q11</w:t>
            </w:r>
          </w:p>
        </w:tc>
        <w:tc>
          <w:tcPr>
            <w:tcW w:w="1247" w:type="dxa"/>
            <w:tcMar>
              <w:top w:w="80" w:type="dxa"/>
              <w:left w:w="80" w:type="dxa"/>
              <w:bottom w:w="80" w:type="dxa"/>
              <w:right w:w="80" w:type="dxa"/>
            </w:tcMar>
            <w:vAlign w:val="center"/>
          </w:tcPr>
          <w:p w14:paraId="3BED3D25">
            <w:pPr>
              <w:jc w:val="center"/>
            </w:pPr>
            <w:r>
              <w:rPr>
                <w:rFonts w:ascii="Times New Roman" w:hAnsi="Times New Roman" w:eastAsia="??"/>
                <w:b w:val="0"/>
                <w:i w:val="0"/>
                <w:sz w:val="18"/>
              </w:rPr>
              <w:t>设计原则</w:t>
            </w:r>
          </w:p>
        </w:tc>
        <w:tc>
          <w:tcPr>
            <w:tcW w:w="1474" w:type="dxa"/>
            <w:tcMar>
              <w:top w:w="80" w:type="dxa"/>
              <w:left w:w="80" w:type="dxa"/>
              <w:bottom w:w="80" w:type="dxa"/>
              <w:right w:w="80" w:type="dxa"/>
            </w:tcMar>
            <w:vAlign w:val="center"/>
          </w:tcPr>
          <w:p w14:paraId="4529548B">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22C80E4C">
            <w:pPr>
              <w:jc w:val="center"/>
            </w:pPr>
            <w:r>
              <w:rPr>
                <w:rFonts w:ascii="Times New Roman" w:hAnsi="Times New Roman" w:eastAsia="??"/>
                <w:b w:val="0"/>
                <w:i w:val="0"/>
                <w:sz w:val="18"/>
              </w:rPr>
              <w:t>29边/4实体</w:t>
            </w:r>
          </w:p>
        </w:tc>
        <w:tc>
          <w:tcPr>
            <w:tcW w:w="2891" w:type="dxa"/>
            <w:tcMar>
              <w:top w:w="80" w:type="dxa"/>
              <w:left w:w="80" w:type="dxa"/>
              <w:bottom w:w="80" w:type="dxa"/>
              <w:right w:w="80" w:type="dxa"/>
            </w:tcMar>
            <w:vAlign w:val="center"/>
          </w:tcPr>
          <w:p w14:paraId="404940C3">
            <w:pPr>
              <w:jc w:val="left"/>
            </w:pPr>
            <w:r>
              <w:rPr>
                <w:rFonts w:ascii="Times New Roman" w:hAnsi="Times New Roman" w:eastAsia="??"/>
                <w:b w:val="0"/>
                <w:i w:val="0"/>
                <w:sz w:val="18"/>
              </w:rPr>
              <w:t>Hyper-RAG归纳更全面</w:t>
            </w:r>
          </w:p>
        </w:tc>
      </w:tr>
      <w:tr w14:paraId="42A497E2">
        <w:tblPrEx>
          <w:tblBorders>
            <w:top w:val="single" w:color="000000" w:sz="10" w:space="0"/>
            <w:left w:val="none" w:color="BFBFBF" w:sz="4" w:space="0"/>
            <w:bottom w:val="single" w:color="000000" w:sz="10" w:space="0"/>
            <w:right w:val="none" w:color="BFBFBF" w:sz="4" w:space="0"/>
            <w:insideH w:val="single" w:color="D9D9D9" w:sz="2" w:space="0"/>
            <w:insideV w:val="none" w:color="BFBFBF" w:sz="4" w:space="0"/>
          </w:tblBorders>
          <w:tblCellMar>
            <w:top w:w="0" w:type="dxa"/>
            <w:left w:w="108" w:type="dxa"/>
            <w:bottom w:w="0" w:type="dxa"/>
            <w:right w:w="108" w:type="dxa"/>
          </w:tblCellMar>
        </w:tblPrEx>
        <w:trPr>
          <w:jc w:val="center"/>
        </w:trPr>
        <w:tc>
          <w:tcPr>
            <w:tcW w:w="567" w:type="dxa"/>
            <w:tcMar>
              <w:top w:w="80" w:type="dxa"/>
              <w:left w:w="80" w:type="dxa"/>
              <w:bottom w:w="80" w:type="dxa"/>
              <w:right w:w="80" w:type="dxa"/>
            </w:tcMar>
            <w:vAlign w:val="center"/>
          </w:tcPr>
          <w:p w14:paraId="43AA20D8">
            <w:pPr>
              <w:jc w:val="center"/>
            </w:pPr>
            <w:r>
              <w:rPr>
                <w:rFonts w:ascii="Times New Roman" w:hAnsi="Times New Roman" w:eastAsia="??"/>
                <w:b w:val="0"/>
                <w:i w:val="0"/>
                <w:sz w:val="18"/>
              </w:rPr>
              <w:t>Q12</w:t>
            </w:r>
          </w:p>
        </w:tc>
        <w:tc>
          <w:tcPr>
            <w:tcW w:w="1247" w:type="dxa"/>
            <w:tcMar>
              <w:top w:w="80" w:type="dxa"/>
              <w:left w:w="80" w:type="dxa"/>
              <w:bottom w:w="80" w:type="dxa"/>
              <w:right w:w="80" w:type="dxa"/>
            </w:tcMar>
            <w:vAlign w:val="center"/>
          </w:tcPr>
          <w:p w14:paraId="4C912A44">
            <w:pPr>
              <w:jc w:val="center"/>
            </w:pPr>
            <w:r>
              <w:rPr>
                <w:rFonts w:ascii="Times New Roman" w:hAnsi="Times New Roman" w:eastAsia="??"/>
                <w:b w:val="0"/>
                <w:i w:val="0"/>
                <w:sz w:val="18"/>
              </w:rPr>
              <w:t>实验推荐</w:t>
            </w:r>
          </w:p>
        </w:tc>
        <w:tc>
          <w:tcPr>
            <w:tcW w:w="1474" w:type="dxa"/>
            <w:tcMar>
              <w:top w:w="80" w:type="dxa"/>
              <w:left w:w="80" w:type="dxa"/>
              <w:bottom w:w="80" w:type="dxa"/>
              <w:right w:w="80" w:type="dxa"/>
            </w:tcMar>
            <w:vAlign w:val="center"/>
          </w:tcPr>
          <w:p w14:paraId="00B2C3D6">
            <w:pPr>
              <w:jc w:val="center"/>
            </w:pPr>
            <w:r>
              <w:rPr>
                <w:rFonts w:ascii="Times New Roman" w:hAnsi="Times New Roman" w:eastAsia="??"/>
                <w:b w:val="0"/>
                <w:i w:val="0"/>
                <w:sz w:val="18"/>
              </w:rPr>
              <w:t>82超边/61实体</w:t>
            </w:r>
          </w:p>
        </w:tc>
        <w:tc>
          <w:tcPr>
            <w:tcW w:w="1304" w:type="dxa"/>
            <w:tcMar>
              <w:top w:w="80" w:type="dxa"/>
              <w:left w:w="80" w:type="dxa"/>
              <w:bottom w:w="80" w:type="dxa"/>
              <w:right w:w="80" w:type="dxa"/>
            </w:tcMar>
            <w:vAlign w:val="center"/>
          </w:tcPr>
          <w:p w14:paraId="3E910531">
            <w:pPr>
              <w:jc w:val="center"/>
            </w:pPr>
            <w:r>
              <w:rPr>
                <w:rFonts w:ascii="Times New Roman" w:hAnsi="Times New Roman" w:eastAsia="??"/>
                <w:b w:val="0"/>
                <w:i w:val="0"/>
                <w:sz w:val="18"/>
              </w:rPr>
              <w:t>40边/6实体</w:t>
            </w:r>
          </w:p>
        </w:tc>
        <w:tc>
          <w:tcPr>
            <w:tcW w:w="2891" w:type="dxa"/>
            <w:tcMar>
              <w:top w:w="80" w:type="dxa"/>
              <w:left w:w="80" w:type="dxa"/>
              <w:bottom w:w="80" w:type="dxa"/>
              <w:right w:w="80" w:type="dxa"/>
            </w:tcMar>
            <w:vAlign w:val="center"/>
          </w:tcPr>
          <w:p w14:paraId="505EB63E">
            <w:pPr>
              <w:jc w:val="left"/>
            </w:pPr>
            <w:r>
              <w:rPr>
                <w:rFonts w:ascii="Times New Roman" w:hAnsi="Times New Roman" w:eastAsia="??"/>
                <w:b w:val="0"/>
                <w:i w:val="0"/>
                <w:sz w:val="18"/>
              </w:rPr>
              <w:t>Hyper-RAG方案结构更完整</w:t>
            </w:r>
          </w:p>
        </w:tc>
      </w:tr>
    </w:tbl>
    <w:p w14:paraId="16985447"/>
    <w:p w14:paraId="646EA08F">
      <w:pPr>
        <w:jc w:val="center"/>
      </w:pPr>
    </w:p>
    <w:p w14:paraId="45785395"/>
    <w:p w14:paraId="29478D2B">
      <w:pPr>
        <w:keepNext w:val="0"/>
        <w:spacing w:before="0" w:after="60" w:line="240" w:lineRule="auto"/>
        <w:ind w:firstLine="420"/>
        <w:jc w:val="both"/>
      </w:pPr>
      <w:r>
        <w:rPr>
          <w:rFonts w:ascii="Times New Roman" w:hAnsi="Times New Roman" w:eastAsia="宋体"/>
          <w:b w:val="0"/>
          <w:i w:val="0"/>
          <w:sz w:val="21"/>
        </w:rPr>
        <w:t>从统计数据来看，Hyper-</w:t>
      </w:r>
      <w:r>
        <w:rPr>
          <w:rFonts w:hint="eastAsia"/>
          <w:b w:val="0"/>
          <w:i w:val="0"/>
          <w:sz w:val="21"/>
          <w:lang w:val="en-US" w:eastAsia="zh-CN"/>
        </w:rPr>
        <w:t>ChE</w:t>
      </w:r>
      <w:r>
        <w:rPr>
          <w:rFonts w:ascii="Times New Roman" w:hAnsi="Times New Roman" w:eastAsia="宋体"/>
          <w:b w:val="0"/>
          <w:i w:val="0"/>
          <w:sz w:val="21"/>
        </w:rPr>
        <w:t>平均召回81.5条高阶关系/超边（约61个实体），而Graph-RAG平均召回37.9条二元边（多数问题仅1~9个实体），关系召回倍数约为Graph-RAG的2.15倍。进一步观察回答内容可发现，两套系统的差异不仅体现在检索数量上，更体现在召回内容是否保持了多变量关联。Hyper-</w:t>
      </w:r>
      <w:r>
        <w:rPr>
          <w:rFonts w:hint="eastAsia"/>
          <w:b w:val="0"/>
          <w:i w:val="0"/>
          <w:sz w:val="21"/>
          <w:lang w:val="en-US" w:eastAsia="zh-CN"/>
        </w:rPr>
        <w:t>ChE</w:t>
      </w:r>
      <w:r>
        <w:rPr>
          <w:rFonts w:ascii="Times New Roman" w:hAnsi="Times New Roman" w:eastAsia="宋体"/>
          <w:b w:val="0"/>
          <w:i w:val="0"/>
          <w:sz w:val="21"/>
        </w:rPr>
        <w:t>召回的高阶超边往往同时包含材料、目标PFAS、反应条件、性能指标和机制证据，往往保留了同一实验中的多变量关联；Graph-RAG虽能命中相关材料或污染物，但回答多表现为离散事实的罗列，难以保持多变量组合。</w:t>
      </w:r>
    </w:p>
    <w:p w14:paraId="172F6CFA">
      <w:pPr>
        <w:keepNext w:val="0"/>
        <w:spacing w:before="0" w:after="60" w:line="240" w:lineRule="auto"/>
        <w:ind w:firstLine="420"/>
        <w:jc w:val="both"/>
      </w:pPr>
      <w:r>
        <w:rPr>
          <w:rFonts w:ascii="Times New Roman" w:hAnsi="Times New Roman" w:eastAsia="宋体"/>
          <w:b w:val="0"/>
          <w:i w:val="0"/>
          <w:sz w:val="21"/>
        </w:rPr>
        <w:t>这一差异在不同类型问题中的表现程度有所不同。在Level 1语料总览型问题中，两套系统均能对主要污染物类型和处理策略作出回答，Hyper-</w:t>
      </w:r>
      <w:r>
        <w:rPr>
          <w:rFonts w:hint="eastAsia"/>
          <w:b w:val="0"/>
          <w:i w:val="0"/>
          <w:sz w:val="21"/>
          <w:lang w:val="en-US" w:eastAsia="zh-CN"/>
        </w:rPr>
        <w:t>ChE</w:t>
      </w:r>
      <w:r>
        <w:rPr>
          <w:rFonts w:ascii="Times New Roman" w:hAnsi="Times New Roman" w:eastAsia="宋体"/>
          <w:b w:val="0"/>
          <w:i w:val="0"/>
          <w:sz w:val="21"/>
        </w:rPr>
        <w:t>的优势主要体现在覆盖范围的完整性上。在Level 3条件组合型问题中，差异较明显——Graph-RAG返回的孤立材料-指标或条件-指标关系难以支撑多参数综合分析，Graph-RAG甚至指出"现有数据不足以综合描述多参数影响"；而Hyper-</w:t>
      </w:r>
      <w:r>
        <w:rPr>
          <w:rFonts w:hint="eastAsia"/>
          <w:b w:val="0"/>
          <w:i w:val="0"/>
          <w:sz w:val="21"/>
          <w:lang w:val="en-US" w:eastAsia="zh-CN"/>
        </w:rPr>
        <w:t>ChE</w:t>
      </w:r>
      <w:r>
        <w:rPr>
          <w:rFonts w:ascii="Times New Roman" w:hAnsi="Times New Roman" w:eastAsia="宋体"/>
          <w:b w:val="0"/>
          <w:i w:val="0"/>
          <w:sz w:val="21"/>
        </w:rPr>
        <w:t>能够围绕具体材料体系组织目标PFAS、超声条件、pH、反应时间和脱氟指标，形成较完整的"材料-污染物-条件-指标"组合。在Level 5机理证据链型问题中，机理判断依赖EPR、猝灭实验、DFT计算、LC-MS中间体、氟离子释放和对照实验等多类证据的共同支持，高阶超边更适合表达"多证据共同支持一个判断"的知识形态，而二元边检索则容易将证据链拆散。</w:t>
      </w:r>
    </w:p>
    <w:p w14:paraId="59EB6E52">
      <w:pPr>
        <w:keepNext/>
        <w:spacing w:before="120" w:after="60" w:line="240" w:lineRule="auto"/>
        <w:jc w:val="left"/>
      </w:pPr>
      <w:r>
        <w:rPr>
          <w:rFonts w:ascii="Times New Roman" w:hAnsi="Times New Roman" w:eastAsia="黑体"/>
          <w:b/>
          <w:i w:val="0"/>
          <w:sz w:val="21"/>
        </w:rPr>
        <w:t>3.3 典型问题分析</w:t>
      </w:r>
    </w:p>
    <w:p w14:paraId="3EBCD276">
      <w:pPr>
        <w:keepNext w:val="0"/>
        <w:spacing w:before="0" w:after="60" w:line="240" w:lineRule="auto"/>
        <w:ind w:firstLine="420"/>
        <w:jc w:val="both"/>
      </w:pPr>
      <w:r>
        <w:rPr>
          <w:rFonts w:ascii="Times New Roman" w:hAnsi="Times New Roman" w:eastAsia="宋体"/>
          <w:b w:val="0"/>
          <w:i w:val="0"/>
          <w:sz w:val="21"/>
        </w:rPr>
        <w:t>为深入考察不同知识结构对检索增强效果的影响，本研究从12个问题中选取最能体现Graph-RAG与Hyper-</w:t>
      </w:r>
      <w:r>
        <w:rPr>
          <w:rFonts w:hint="eastAsia"/>
          <w:b w:val="0"/>
          <w:i w:val="0"/>
          <w:sz w:val="21"/>
          <w:lang w:val="en-US" w:eastAsia="zh-CN"/>
        </w:rPr>
        <w:t>ChE</w:t>
      </w:r>
      <w:r>
        <w:rPr>
          <w:rFonts w:ascii="Times New Roman" w:hAnsi="Times New Roman" w:eastAsia="宋体"/>
          <w:b w:val="0"/>
          <w:i w:val="0"/>
          <w:sz w:val="21"/>
        </w:rPr>
        <w:t>差异的5个问题进行定性分析，涵盖条件组合、跨策略比较、污染物类型对比、机理证据链和实验方案推荐五类任务。以下分别阐述各问题中两种检索方式的表现差异。</w:t>
      </w:r>
    </w:p>
    <w:p w14:paraId="3206A237">
      <w:pPr>
        <w:keepNext/>
        <w:spacing w:before="120" w:after="60" w:line="240" w:lineRule="auto"/>
        <w:jc w:val="left"/>
      </w:pPr>
      <w:r>
        <w:rPr>
          <w:rFonts w:ascii="Times New Roman" w:hAnsi="Times New Roman" w:eastAsia="楷体"/>
          <w:b w:val="0"/>
          <w:i w:val="0"/>
          <w:sz w:val="21"/>
        </w:rPr>
        <w:t>Q5 反应条件组合问题（Level 3条件组合型）</w:t>
      </w:r>
    </w:p>
    <w:p w14:paraId="029A1312">
      <w:pPr>
        <w:keepNext w:val="0"/>
        <w:spacing w:before="0" w:after="60" w:line="240" w:lineRule="auto"/>
        <w:ind w:firstLine="420"/>
        <w:jc w:val="both"/>
      </w:pPr>
      <w:r>
        <w:rPr>
          <w:rFonts w:ascii="Times New Roman" w:hAnsi="Times New Roman" w:eastAsia="宋体"/>
          <w:b w:val="0"/>
          <w:i w:val="0"/>
          <w:sz w:val="21"/>
        </w:rPr>
        <w:t>Q5要求综合说明超声频率、功率密度、反应时间、pH、催化剂剂量和PFAS初始浓度对降解效率与脱氟率的共同影响，属于典型的多条件约束型问题。Graph-RAG返回的多为孤立的材料-指标或条件-指标关系，例如BaTiO₃+PFOS在超声条件下降解率为90.5%、MoSe₂/TiO₂对PFOA去除率为93.6%等离散示例，并判断现有关系数据不足以综合描述多参数共同影响。二元边仅能连接两个实体，当问题需要同时调用多种反应条件与性能指标时，Graph-RAG难以恢复同一实验中的多变量组合。</w:t>
      </w:r>
    </w:p>
    <w:p w14:paraId="5F7AAB57">
      <w:pPr>
        <w:keepNext w:val="0"/>
        <w:spacing w:before="0" w:after="60" w:line="240" w:lineRule="auto"/>
        <w:ind w:firstLine="420"/>
        <w:jc w:val="both"/>
      </w:pPr>
      <w:r>
        <w:rPr>
          <w:rFonts w:ascii="Times New Roman" w:hAnsi="Times New Roman" w:eastAsia="宋体"/>
          <w:b w:val="0"/>
          <w:sz w:val="21"/>
        </w:rPr>
        <w:t>相比之下，Hyper-ChE能够围绕具体材料体系（如PTFE、Cu-N/C@PVDF、Fe@PTFE）组织目标PFAS、超声频率（40~68 kHz）、功率密度（0.3~2.34 W/cm²）、pH、反应时间（1~5 h）和脱氟率等变量，形成较完整的"材料-污染物-条件-指标"组合。例如，Hyper-ChE回答同时保留了"40 kHz、0.3 W/cm²、250 mg/L PTFE、120 min、PFOA 10 mg/L"这一完整参数组合及其对应的脱氟率范围。这表明当问题涉及多个条件共同约束时，高阶关系比二元关系更容易保留实验事实的完整语义。</w:t>
      </w:r>
    </w:p>
    <w:p w14:paraId="01ED124C">
      <w:pPr>
        <w:keepNext/>
        <w:spacing w:before="120" w:after="60" w:line="240" w:lineRule="auto"/>
        <w:jc w:val="left"/>
      </w:pPr>
      <w:r>
        <w:rPr>
          <w:rFonts w:ascii="Times New Roman" w:hAnsi="Times New Roman" w:eastAsia="楷体"/>
          <w:b w:val="0"/>
          <w:i w:val="0"/>
          <w:sz w:val="21"/>
        </w:rPr>
        <w:t>Q7 跨策略比较问题（Level 4对比分析型）</w:t>
      </w:r>
    </w:p>
    <w:p w14:paraId="71A6543A">
      <w:pPr>
        <w:keepNext w:val="0"/>
        <w:spacing w:before="0" w:after="60" w:line="240" w:lineRule="auto"/>
        <w:ind w:firstLine="420"/>
        <w:jc w:val="both"/>
      </w:pPr>
      <w:r>
        <w:rPr>
          <w:rFonts w:ascii="Times New Roman" w:hAnsi="Times New Roman" w:eastAsia="宋体"/>
          <w:b w:val="0"/>
          <w:i w:val="0"/>
          <w:sz w:val="21"/>
        </w:rPr>
        <w:t>Q7要求比较压电催化、压电-光催化、压电-Fenton和电化学氧化四种策略在PFAS降解中的表现，属于跨策略横向比较型问题。Graph-RAG依赖显式二元关系，对耦合策略的覆盖判断偏保守。在检索结果中，Graph-RAG能够获取大量关于压电催化和电化学氧化的二元关系，但由于piezo-photocatalysis和piezo-Fenton相关的显式二元边数量不足，判断这两种策略"无数据"或"证据有限"，未将其有效纳入比较。</w:t>
      </w:r>
    </w:p>
    <w:p w14:paraId="7522E0AF">
      <w:pPr>
        <w:keepNext w:val="0"/>
        <w:spacing w:before="0" w:after="60" w:line="240" w:lineRule="auto"/>
        <w:ind w:firstLine="420"/>
        <w:jc w:val="both"/>
      </w:pPr>
      <w:r>
        <w:rPr>
          <w:rFonts w:ascii="Times New Roman" w:hAnsi="Times New Roman" w:eastAsia="宋体"/>
          <w:b w:val="0"/>
          <w:i w:val="0"/>
          <w:sz w:val="21"/>
        </w:rPr>
        <w:t>Hyper-</w:t>
      </w:r>
      <w:r>
        <w:rPr>
          <w:rFonts w:hint="eastAsia"/>
          <w:b w:val="0"/>
          <w:i w:val="0"/>
          <w:sz w:val="21"/>
          <w:lang w:val="en-US" w:eastAsia="zh-CN"/>
        </w:rPr>
        <w:t>ChE</w:t>
      </w:r>
      <w:r>
        <w:rPr>
          <w:rFonts w:ascii="Times New Roman" w:hAnsi="Times New Roman" w:eastAsia="宋体"/>
          <w:b w:val="0"/>
          <w:i w:val="0"/>
          <w:sz w:val="21"/>
        </w:rPr>
        <w:t>则通过策略相关超边同时连接过程类型、催化材料、目标污染物、活性物种和性能指标，能够形成更完整的横向比较。例如，Hyper-</w:t>
      </w:r>
      <w:r>
        <w:rPr>
          <w:rFonts w:hint="eastAsia"/>
          <w:b w:val="0"/>
          <w:i w:val="0"/>
          <w:sz w:val="21"/>
          <w:lang w:val="en-US" w:eastAsia="zh-CN"/>
        </w:rPr>
        <w:t>ChE</w:t>
      </w:r>
      <w:r>
        <w:rPr>
          <w:rFonts w:ascii="Times New Roman" w:hAnsi="Times New Roman" w:eastAsia="宋体"/>
          <w:b w:val="0"/>
          <w:i w:val="0"/>
          <w:sz w:val="21"/>
        </w:rPr>
        <w:t>将Fe@PTFE与压电-Fenton反应关联，将Pt/BTO/BO复合物与压电-光催化关联，再将这些策略与各自对应的目标污染物、活性物种（•O₂⁻、•OH、h⁺等）和脱氟能力数据组织到同一比较表中。这对于评价PFAS降解中不同能量输入方式和反应路径的适用性具有重要意义，也说明比较型问题需要同时调用多个关系簇而非单一二元边。</w:t>
      </w:r>
    </w:p>
    <w:p w14:paraId="397E3971">
      <w:pPr>
        <w:keepNext/>
        <w:spacing w:before="120" w:after="60" w:line="240" w:lineRule="auto"/>
        <w:jc w:val="left"/>
      </w:pPr>
      <w:r>
        <w:rPr>
          <w:rFonts w:ascii="Times New Roman" w:hAnsi="Times New Roman" w:eastAsia="楷体"/>
          <w:b w:val="0"/>
          <w:i w:val="0"/>
          <w:sz w:val="21"/>
        </w:rPr>
        <w:t>Q8 长链与短链PFAS对比问题（Level 4对比分析型）</w:t>
      </w:r>
    </w:p>
    <w:p w14:paraId="668E18E7">
      <w:pPr>
        <w:keepNext w:val="0"/>
        <w:spacing w:before="0" w:after="60" w:line="240" w:lineRule="auto"/>
        <w:ind w:firstLine="420"/>
        <w:jc w:val="both"/>
      </w:pPr>
      <w:r>
        <w:rPr>
          <w:rFonts w:ascii="Times New Roman" w:hAnsi="Times New Roman" w:eastAsia="宋体"/>
          <w:b w:val="0"/>
          <w:i w:val="0"/>
          <w:sz w:val="21"/>
        </w:rPr>
        <w:t>Q8关注长链PFAS（PFOA/PFOS）与短链PFAS（PFBA/PFBS/GenX）在降解策略上的差异，属于污染物类型驱动的对比分析型问题。Graph-RAG能够回答链长对降解效率影响的基本趋势，例如PFOS去除率（67%）高于PFBA（16.6%）、长链PFAS降解率（86%）高于短链（31%）等，但对短链PFAS的吸附亲和性差异、GenX替代污染物的特殊行为以及链长独立机制等讨论较为薄弱，仅召回4个实体，机制支撑面窄。</w:t>
      </w:r>
    </w:p>
    <w:p w14:paraId="3DA0A81E">
      <w:pPr>
        <w:keepNext w:val="0"/>
        <w:spacing w:before="0" w:after="60" w:line="240" w:lineRule="auto"/>
        <w:ind w:firstLine="420"/>
        <w:jc w:val="both"/>
      </w:pPr>
      <w:r>
        <w:rPr>
          <w:rFonts w:ascii="Times New Roman" w:hAnsi="Times New Roman" w:eastAsia="宋体"/>
          <w:sz w:val="21"/>
        </w:rPr>
        <w:t>Hyper-ChE能够覆盖吸附亲和性、链长效应、短链PFAS难降解性和GenX替代污染物等多个维度，并将PFAS链长、官能团、材料表面作用和性能指标同时组织起来。例如，Hyper-ChE不仅指出长链PFAS因log Ka值更高而更易吸附，还说明短链PFAS降解的关键瓶颈并非C-F键活化能差异，而是其较低的表面亲和性和较高的水相溶解度；同时指出PFCAs（C₂~C₁₀）的脱氟机制具有链长独立性，整体脱氟受吸附影响但C-F键断裂效率与链长无关。结果表明目标污染物并非简单的检索关键词，而是影响吸附、活化和脱氟路径的核心变量。</w:t>
      </w:r>
    </w:p>
    <w:p w14:paraId="07B845BB">
      <w:pPr>
        <w:keepNext/>
        <w:spacing w:before="120" w:after="60" w:line="240" w:lineRule="auto"/>
        <w:jc w:val="left"/>
      </w:pPr>
      <w:r>
        <w:rPr>
          <w:rFonts w:ascii="Times New Roman" w:hAnsi="Times New Roman" w:eastAsia="楷体"/>
          <w:b w:val="0"/>
          <w:i w:val="0"/>
          <w:sz w:val="21"/>
        </w:rPr>
        <w:t>Q10 直接电子转移机制问题（Level 5机理证据链型）</w:t>
      </w:r>
    </w:p>
    <w:p w14:paraId="13313FAD">
      <w:pPr>
        <w:keepNext w:val="0"/>
        <w:spacing w:before="0" w:after="60" w:line="240" w:lineRule="auto"/>
        <w:ind w:firstLine="420"/>
        <w:jc w:val="both"/>
      </w:pPr>
      <w:r>
        <w:rPr>
          <w:rFonts w:ascii="Times New Roman" w:hAnsi="Times New Roman" w:eastAsia="宋体"/>
          <w:b w:val="0"/>
          <w:i w:val="0"/>
          <w:sz w:val="21"/>
        </w:rPr>
        <w:t>Q10要求结合EPR、猝灭实验、DFT计算、LC-MS中间体、氟离子释放和对照实验等证据，分析PFAS压电降解中直接电子转移机制的可能性，属于典型的机理证据链型问题。Graph-RAG在此问题中虽能检索到部分机制相关二元关系，但实体召回极少（仅1个实体），支撑面窄，回答内容更倾向于若干证据点的罗列，难以将多类表征手段组织为支撑或反驳某一机制判断的连贯证据链。</w:t>
      </w:r>
    </w:p>
    <w:p w14:paraId="3ACB1934">
      <w:pPr>
        <w:keepNext w:val="0"/>
        <w:spacing w:before="0" w:after="60" w:line="240" w:lineRule="auto"/>
        <w:ind w:firstLine="420"/>
        <w:jc w:val="both"/>
      </w:pPr>
      <w:r>
        <w:rPr>
          <w:rFonts w:ascii="Times New Roman" w:hAnsi="Times New Roman" w:eastAsia="宋体"/>
          <w:b w:val="0"/>
          <w:i w:val="0"/>
          <w:sz w:val="21"/>
        </w:rPr>
        <w:t>Hyper-</w:t>
      </w:r>
      <w:r>
        <w:rPr>
          <w:rFonts w:hint="eastAsia"/>
          <w:b w:val="0"/>
          <w:i w:val="0"/>
          <w:sz w:val="21"/>
          <w:lang w:val="en-US" w:eastAsia="zh-CN"/>
        </w:rPr>
        <w:t>ChE</w:t>
      </w:r>
      <w:r>
        <w:rPr>
          <w:rFonts w:ascii="Times New Roman" w:hAnsi="Times New Roman" w:eastAsia="宋体"/>
          <w:b w:val="0"/>
          <w:i w:val="0"/>
          <w:sz w:val="21"/>
        </w:rPr>
        <w:t>不仅检索到活性物种和降解路径，还将EPR光谱检测（DMPO-•OH、DMPO-•H、DMPO-•O₂⁻加合物）、猝灭实验（IPA对•OH、BQ/TEMPOL对•O₂⁻、TEMPO对电子、TEOA对h⁺）、DFT计算（反应能垒与热力学可行性）、LC-MS中间体（短链PFCAs、H/F交换产物）以及氟离子释放和对照实验共同纳入回答，形成多方法相互印证的证据结构。这说明机理判断需要多类证据共同支持，而高阶超边能够更自然地表达"多证据共同支持一个判断"的知识形态。</w:t>
      </w:r>
    </w:p>
    <w:p w14:paraId="57784C26">
      <w:pPr>
        <w:keepNext/>
        <w:spacing w:before="120" w:after="60" w:line="240" w:lineRule="auto"/>
        <w:jc w:val="left"/>
      </w:pPr>
      <w:r>
        <w:rPr>
          <w:rFonts w:ascii="Times New Roman" w:hAnsi="Times New Roman" w:eastAsia="楷体"/>
          <w:b w:val="0"/>
          <w:i w:val="0"/>
          <w:sz w:val="21"/>
        </w:rPr>
        <w:t>Q12 实验方向推荐问题（Level 6方案推荐型）</w:t>
      </w:r>
    </w:p>
    <w:p w14:paraId="2135D4C6">
      <w:pPr>
        <w:keepNext w:val="0"/>
        <w:spacing w:before="0" w:after="60" w:line="240" w:lineRule="auto"/>
        <w:ind w:firstLine="420"/>
        <w:jc w:val="both"/>
      </w:pPr>
      <w:r>
        <w:rPr>
          <w:rFonts w:ascii="Times New Roman" w:hAnsi="Times New Roman" w:eastAsia="宋体"/>
          <w:b w:val="0"/>
          <w:i w:val="0"/>
          <w:sz w:val="21"/>
        </w:rPr>
        <w:t>Q12要求基于已有文献推荐5个值得后续实验验证的PFAS降解研究方向，属于知识检索支持实验设计的综合型问题。Graph-RAG也能生成推荐方向，但部分方向的变量组合连贯性不足，且同一方向内的变量组合也不够稳定，部分推荐缺少对应的条件约束或对照实验设计。</w:t>
      </w:r>
    </w:p>
    <w:p w14:paraId="411083C3">
      <w:pPr>
        <w:keepNext w:val="0"/>
        <w:spacing w:before="0" w:after="60" w:line="240" w:lineRule="auto"/>
        <w:ind w:firstLine="420"/>
        <w:jc w:val="both"/>
      </w:pPr>
      <w:r>
        <w:rPr>
          <w:rFonts w:ascii="Times New Roman" w:hAnsi="Times New Roman" w:eastAsia="宋体"/>
          <w:sz w:val="21"/>
        </w:rPr>
        <w:t>Hyper-ChE的优势主要体现在候选方案的结构完整性。其回答通常同时包含目标PFAS、候选材料或策略、关键变量组合、预期提升指标、潜在风险和必要对照实验。例如，推荐方向不仅涉及材料选择，还包含超声参数、剂量范围、预期脱氟指标以及对应对照实验建议。需要强调的是，此类推荐结果应理解为"候选方向"或"可供后续实验验证的组合"，而非已被文献证明的最优方案。结果表明高阶知识组织不仅能够支持事实检索，也能为后续实验设计提供更具上下文约束的候选方案。</w:t>
      </w:r>
    </w:p>
    <w:p w14:paraId="13C1C1DC">
      <w:pPr>
        <w:keepNext/>
        <w:spacing w:before="240" w:after="240" w:line="240" w:lineRule="auto"/>
        <w:jc w:val="left"/>
      </w:pPr>
      <w:r>
        <w:rPr>
          <w:rFonts w:ascii="Times New Roman" w:hAnsi="Times New Roman" w:eastAsia="黑体"/>
          <w:b/>
          <w:i w:val="0"/>
          <w:sz w:val="28"/>
        </w:rPr>
        <w:t>4 讨论</w:t>
      </w:r>
    </w:p>
    <w:p w14:paraId="606CCE06">
      <w:pPr>
        <w:keepNext/>
        <w:spacing w:before="120" w:after="60" w:line="240" w:lineRule="auto"/>
        <w:jc w:val="left"/>
      </w:pPr>
      <w:r>
        <w:rPr>
          <w:rFonts w:ascii="Times New Roman" w:hAnsi="Times New Roman" w:eastAsia="黑体"/>
          <w:b/>
          <w:i w:val="0"/>
          <w:sz w:val="21"/>
        </w:rPr>
        <w:t>4.1 超图建模的优势与适用边界</w:t>
      </w:r>
    </w:p>
    <w:p w14:paraId="700344BB">
      <w:pPr>
        <w:keepNext w:val="0"/>
        <w:spacing w:before="0" w:after="60" w:line="240" w:lineRule="auto"/>
        <w:ind w:firstLine="420"/>
        <w:jc w:val="both"/>
      </w:pPr>
      <w:r>
        <w:rPr>
          <w:rFonts w:ascii="Times New Roman" w:hAnsi="Times New Roman" w:eastAsia="宋体"/>
          <w:b w:val="0"/>
          <w:i w:val="0"/>
          <w:sz w:val="21"/>
        </w:rPr>
        <w:t>基于液流电池案例的实验结果，超图建模的价值集中在三类高复杂度查询：多条件约束问题（Level 3）、跨材料对比问题（Level 4）与策略推荐问题（Level 6）。对于多条件约束问题，高阶超边将操作条件与性能指标保留在同一关系结构内，减少二元图中条件-指标对分散在不同边中的问题。对于跨材料对比问题，超图通过共享实体连接不同材料体系的关系簇，降低了横向比较对人工对齐的依赖。对于策略推荐问题，高阶关系能够维持"目标-约束-方案-预期"之间的语义完整性，使推荐结果中的变量组合更为连贯。</w:t>
      </w:r>
    </w:p>
    <w:p w14:paraId="4FF42693">
      <w:pPr>
        <w:keepNext w:val="0"/>
        <w:spacing w:before="0" w:after="60" w:line="240" w:lineRule="auto"/>
        <w:ind w:firstLine="420"/>
        <w:jc w:val="both"/>
      </w:pPr>
      <w:r>
        <w:rPr>
          <w:rFonts w:ascii="Times New Roman" w:hAnsi="Times New Roman" w:eastAsia="宋体"/>
          <w:b w:val="0"/>
          <w:i w:val="0"/>
          <w:sz w:val="21"/>
        </w:rPr>
        <w:t>超图建模的优势</w:t>
      </w:r>
      <w:r>
        <w:rPr>
          <w:rFonts w:hint="eastAsia"/>
          <w:b w:val="0"/>
          <w:i w:val="0"/>
          <w:sz w:val="21"/>
          <w:lang w:val="en-US" w:eastAsia="zh-CN"/>
        </w:rPr>
        <w:t>体现在</w:t>
      </w:r>
      <w:r>
        <w:rPr>
          <w:rFonts w:ascii="Times New Roman" w:hAnsi="Times New Roman" w:eastAsia="宋体"/>
          <w:b w:val="0"/>
          <w:i w:val="0"/>
          <w:sz w:val="21"/>
        </w:rPr>
        <w:t>：当查询需要判断"多个条件是否属于同一实验事实"时，高阶超边提供的结构信息</w:t>
      </w:r>
      <w:r>
        <w:rPr>
          <w:rFonts w:hint="eastAsia"/>
          <w:b w:val="0"/>
          <w:i w:val="0"/>
          <w:sz w:val="21"/>
          <w:lang w:val="en-US" w:eastAsia="zh-CN"/>
        </w:rPr>
        <w:t>能够更好地覆盖原实验事实</w:t>
      </w:r>
      <w:r>
        <w:rPr>
          <w:rFonts w:ascii="Times New Roman" w:hAnsi="Times New Roman" w:eastAsia="宋体"/>
          <w:b w:val="0"/>
          <w:i w:val="0"/>
          <w:sz w:val="21"/>
        </w:rPr>
        <w:t>。对于单一概念解释类问题、简单事实查询或仅需枚举型知识的语料总览型问题，向量检索或二元图检索已能提供足够准确的答案，超图建模的收益有限。</w:t>
      </w:r>
    </w:p>
    <w:p w14:paraId="7D41D1D5">
      <w:pPr>
        <w:keepNext w:val="0"/>
        <w:spacing w:before="0" w:after="60" w:line="240" w:lineRule="auto"/>
        <w:ind w:firstLine="420"/>
        <w:jc w:val="both"/>
      </w:pPr>
      <w:r>
        <w:rPr>
          <w:rFonts w:ascii="Times New Roman" w:hAnsi="Times New Roman" w:eastAsia="宋体"/>
          <w:b w:val="0"/>
          <w:i w:val="0"/>
          <w:sz w:val="21"/>
        </w:rPr>
        <w:t>在PFAS去除与降解案例中，两个案例中Hyper-</w:t>
      </w:r>
      <w:r>
        <w:rPr>
          <w:rFonts w:hint="eastAsia"/>
          <w:b w:val="0"/>
          <w:i w:val="0"/>
          <w:sz w:val="21"/>
          <w:lang w:val="en-US" w:eastAsia="zh-CN"/>
        </w:rPr>
        <w:t>ChE</w:t>
      </w:r>
      <w:r>
        <w:rPr>
          <w:rFonts w:ascii="Times New Roman" w:hAnsi="Times New Roman" w:eastAsia="宋体"/>
          <w:b w:val="0"/>
          <w:i w:val="0"/>
          <w:sz w:val="21"/>
        </w:rPr>
        <w:t>的表现规律相似，但具体的高阶关系类型有所不同。液流电池案例中的高阶关系主要体现为"体系-活性物种-膜/电极-操作条件-性能指标"的实验操作组合，而PFAS降解案例中的高阶关系则集中表现为"目标污染物-催化材料-反应条件-性能指标-机理证据"的多实体耦合。这反映了不同子领域知识组织的差异：液流电池研究以电化学性能测试为主线，条件组合主要服务于效率优化；PFAS降解研究以污染物去除机理为核心，条件组合需要同时支撑性能评价与机制解释。两个案例表明，当查询涉及多个条件共同约束、跨实体横向对比或多证据协同支撑时，超图建模能够提供优于二元图的知识表达与检索能力。</w:t>
      </w:r>
    </w:p>
    <w:p w14:paraId="5C9B3244">
      <w:pPr>
        <w:keepNext w:val="0"/>
        <w:spacing w:before="0" w:after="60" w:line="240" w:lineRule="auto"/>
        <w:ind w:firstLine="420"/>
        <w:jc w:val="both"/>
      </w:pPr>
      <w:r>
        <w:rPr>
          <w:rFonts w:ascii="Times New Roman" w:hAnsi="Times New Roman" w:eastAsia="宋体"/>
          <w:b w:val="0"/>
          <w:i w:val="0"/>
          <w:sz w:val="21"/>
        </w:rPr>
        <w:t>值得补充的是，超图建模的优势并非在所有查询类型上均匀分布。在PFAS降解案例中，Level 1语料总览型问题（如Q1、Q2）中两套系统的回答质量差距较小，因为这类问题主要依赖枚举型知识，对条件组合的完整性要求较低。而在Level 3条件组合型问题（Q5）和Level 5机理证据链型问题（Q10）中，Hyper-</w:t>
      </w:r>
      <w:r>
        <w:rPr>
          <w:rFonts w:hint="eastAsia"/>
          <w:b w:val="0"/>
          <w:i w:val="0"/>
          <w:sz w:val="21"/>
          <w:lang w:val="en-US" w:eastAsia="zh-CN"/>
        </w:rPr>
        <w:t>ChE</w:t>
      </w:r>
      <w:r>
        <w:rPr>
          <w:rFonts w:ascii="Times New Roman" w:hAnsi="Times New Roman" w:eastAsia="宋体"/>
          <w:b w:val="0"/>
          <w:i w:val="0"/>
          <w:sz w:val="21"/>
        </w:rPr>
        <w:t>的优势最为明显，因为此类问题本质上要求判断"多个变量是否属于同一实验事实"或"多类证据是否共同支撑同一机理判断"。这一规律与液流电池案例中的观察一致，进一步表明超图建模的优势边界在于：当查询需要保持多变量在同一关系结构中的协同出现时，高阶超边才能发挥优势。</w:t>
      </w:r>
    </w:p>
    <w:p w14:paraId="54839467">
      <w:pPr>
        <w:keepNext/>
        <w:spacing w:before="120" w:after="60" w:line="240" w:lineRule="auto"/>
        <w:jc w:val="left"/>
      </w:pPr>
      <w:r>
        <w:rPr>
          <w:rFonts w:ascii="Times New Roman" w:hAnsi="Times New Roman" w:eastAsia="黑体"/>
          <w:b/>
          <w:i w:val="0"/>
          <w:sz w:val="21"/>
        </w:rPr>
        <w:t>4.2 领域适配的必要性</w:t>
      </w:r>
    </w:p>
    <w:p w14:paraId="1CBACFED">
      <w:pPr>
        <w:keepNext w:val="0"/>
        <w:spacing w:before="0" w:after="60" w:line="240" w:lineRule="auto"/>
        <w:ind w:firstLine="420"/>
        <w:jc w:val="both"/>
      </w:pPr>
      <w:r>
        <w:rPr>
          <w:rFonts w:ascii="Times New Roman" w:hAnsi="Times New Roman" w:eastAsia="宋体"/>
          <w:b w:val="0"/>
          <w:i w:val="0"/>
          <w:sz w:val="21"/>
        </w:rPr>
        <w:t>通用LLM在化工文献实体抽取中面临三方面挑战。其一，专业术语与同义词的辨识：同一材料或概念在不同文献中可能以多种表述形式出现（如"Nafion膜"与"全氟磺酸膜"、"PFOA"与"C8"），缺乏领域约束的抽取容易将同一实体的不同表述割裂为独立节点。其二，实验条件数值与单位的非标准化形式：温度、浓度、电流密度等条件常以不同单位或数值范围呈现，需要结构化解析才能归一。其三，离子形态变体：如V(II)/V(III)/V(IV)/V(V)在液流电池中代表不同价态，PFAS类物质存在链长变异与官能团替换，通用模型难以区分化学意义上的等价与不等价表述。</w:t>
      </w:r>
    </w:p>
    <w:p w14:paraId="105FD312">
      <w:pPr>
        <w:keepNext w:val="0"/>
        <w:spacing w:before="0" w:after="60" w:line="240" w:lineRule="auto"/>
        <w:ind w:firstLine="420"/>
        <w:jc w:val="both"/>
        <w:rPr>
          <w:rFonts w:ascii="Times New Roman" w:hAnsi="Times New Roman" w:eastAsia="宋体"/>
          <w:b w:val="0"/>
          <w:i w:val="0"/>
          <w:sz w:val="21"/>
        </w:rPr>
      </w:pPr>
      <w:r>
        <w:rPr>
          <w:rFonts w:ascii="Times New Roman" w:hAnsi="Times New Roman" w:eastAsia="宋体"/>
          <w:sz w:val="21"/>
        </w:rPr>
        <w:t>采用两方面措施应对上述挑战。第一层，通过预定义实体类型与超边类型约束抽取空间，使LLM在有限类型的引导下进行结构化输出，减少术语歧义。第二层，采用JSON结构化输出格式，明确指定字段名称与层级关系，减少格式漂移。</w:t>
      </w:r>
    </w:p>
    <w:p w14:paraId="4FF0AD8E">
      <w:pPr>
        <w:keepNext w:val="0"/>
        <w:spacing w:before="0" w:after="60" w:line="240" w:lineRule="auto"/>
        <w:ind w:firstLine="420"/>
        <w:jc w:val="both"/>
      </w:pPr>
      <w:r>
        <w:rPr>
          <w:rFonts w:ascii="Times New Roman" w:hAnsi="Times New Roman" w:eastAsia="宋体"/>
          <w:b w:val="0"/>
          <w:i w:val="0"/>
          <w:sz w:val="21"/>
        </w:rPr>
        <w:t>需要指出的是，本文未对LLM进行微调训练，所有领域适配均通过提示词工程实现。这一设计选择确保了方法的可迁移性：当应用场景从液流电池切换至PFAS降解时，仅需替换实体类型与关系类型的定义即可复用整套抽取与检索流程。基于当前语料的观察，这种轻量级适配策略在两个化工子领域中均展现了基本的可用性。</w:t>
      </w:r>
    </w:p>
    <w:p w14:paraId="3328DD0C">
      <w:pPr>
        <w:keepNext/>
        <w:spacing w:before="120" w:after="60" w:line="240" w:lineRule="auto"/>
        <w:jc w:val="left"/>
      </w:pPr>
      <w:r>
        <w:rPr>
          <w:rFonts w:ascii="Times New Roman" w:hAnsi="Times New Roman" w:eastAsia="黑体"/>
          <w:b/>
          <w:i w:val="0"/>
          <w:sz w:val="21"/>
        </w:rPr>
        <w:t>4.3 局限性与未来工作</w:t>
      </w:r>
    </w:p>
    <w:p w14:paraId="6CFCDACF">
      <w:pPr>
        <w:keepNext w:val="0"/>
        <w:spacing w:before="0" w:after="60" w:line="240" w:lineRule="auto"/>
        <w:ind w:firstLine="420"/>
        <w:jc w:val="both"/>
      </w:pPr>
      <w:r>
        <w:rPr>
          <w:rFonts w:ascii="Times New Roman" w:hAnsi="Times New Roman" w:eastAsia="宋体"/>
          <w:sz w:val="21"/>
        </w:rPr>
        <w:t>方法存在以下局限。</w:t>
      </w:r>
    </w:p>
    <w:p w14:paraId="6DD0EFFE">
      <w:pPr>
        <w:keepNext w:val="0"/>
        <w:spacing w:before="120" w:after="60" w:line="240" w:lineRule="auto"/>
        <w:ind w:firstLine="420"/>
        <w:jc w:val="left"/>
      </w:pPr>
      <w:r>
        <w:rPr>
          <w:rFonts w:ascii="Times New Roman" w:hAnsi="Times New Roman" w:eastAsia="黑体"/>
          <w:b/>
          <w:i w:val="0"/>
          <w:sz w:val="21"/>
        </w:rPr>
        <w:t>第一，实体名称归一化尚不充分。</w:t>
      </w:r>
    </w:p>
    <w:p w14:paraId="3809D61F">
      <w:pPr>
        <w:keepNext w:val="0"/>
        <w:spacing w:before="0" w:after="60" w:line="240" w:lineRule="auto"/>
        <w:ind w:firstLine="420"/>
        <w:jc w:val="both"/>
      </w:pPr>
      <w:r>
        <w:rPr>
          <w:rFonts w:ascii="Times New Roman" w:hAnsi="Times New Roman" w:eastAsia="宋体"/>
          <w:b w:val="0"/>
          <w:i w:val="0"/>
          <w:sz w:val="21"/>
        </w:rPr>
        <w:t>不同文献对同一材料或概念可能使用不同表述（如"Nafion"与"全氟磺酸树脂"、"PFOA"与"C8"、"PFOS"与"C8S"），</w:t>
      </w:r>
      <w:r>
        <w:rPr>
          <w:rFonts w:hint="eastAsia"/>
          <w:b w:val="0"/>
          <w:i w:val="0"/>
          <w:sz w:val="21"/>
          <w:lang w:val="en-US" w:eastAsia="zh-CN"/>
        </w:rPr>
        <w:t>虽然我们预定义了实体类型与超边类型，但是在具体的实体抽取环节，仍会出现同一个概念在抽取时未能名称归一化的情况。</w:t>
      </w:r>
      <w:r>
        <w:rPr>
          <w:rFonts w:ascii="Times New Roman" w:hAnsi="Times New Roman" w:eastAsia="宋体"/>
          <w:b w:val="0"/>
          <w:i w:val="0"/>
          <w:sz w:val="21"/>
        </w:rPr>
        <w:t>当前抽取流程</w:t>
      </w:r>
      <w:r>
        <w:rPr>
          <w:rFonts w:hint="eastAsia"/>
          <w:b w:val="0"/>
          <w:i w:val="0"/>
          <w:sz w:val="21"/>
          <w:lang w:val="en-US" w:eastAsia="zh-CN"/>
        </w:rPr>
        <w:t>仍会</w:t>
      </w:r>
      <w:r>
        <w:rPr>
          <w:rFonts w:ascii="Times New Roman" w:hAnsi="Times New Roman" w:eastAsia="宋体"/>
          <w:b w:val="0"/>
          <w:i w:val="0"/>
          <w:sz w:val="21"/>
        </w:rPr>
        <w:t>将这些变体视为独立节点，未进行语义层面的合并。这一问题在PFAS降解领域尤为突出：PFAS类物质存在大量同义词变体（如商用名与化学名的混用）、催化材料的缩写与全称并存、以及活性物种的多种表示方式（如"•OH"、"羟基自由基"、"OH radical"）。实体节点的大量分裂不仅增加了知识库冗余，也可能导致检索时因表述差异而遗漏相关文献。未来工作可引入ChEBI、PubChem等化学本体库作为外部知识源，通过实体链接或嵌入相似度计算实现PFAS类物质与催化材料的语义对齐。</w:t>
      </w:r>
    </w:p>
    <w:p w14:paraId="7D6444FA">
      <w:pPr>
        <w:keepNext w:val="0"/>
        <w:spacing w:before="120" w:after="60" w:line="240" w:lineRule="auto"/>
        <w:ind w:firstLine="420"/>
        <w:jc w:val="left"/>
      </w:pPr>
      <w:r>
        <w:rPr>
          <w:rFonts w:ascii="Times New Roman" w:hAnsi="Times New Roman" w:eastAsia="黑体"/>
          <w:b/>
          <w:i w:val="0"/>
          <w:sz w:val="21"/>
        </w:rPr>
        <w:t>第二，高阶超边的抽取质量存在稳定性问题。</w:t>
      </w:r>
    </w:p>
    <w:p w14:paraId="415D9F93">
      <w:pPr>
        <w:keepNext w:val="0"/>
        <w:spacing w:before="0" w:after="60" w:line="240" w:lineRule="auto"/>
        <w:ind w:firstLine="420"/>
        <w:jc w:val="both"/>
      </w:pPr>
      <w:r>
        <w:rPr>
          <w:rFonts w:ascii="Times New Roman" w:hAnsi="Times New Roman" w:eastAsia="宋体"/>
          <w:b w:val="0"/>
          <w:i w:val="0"/>
          <w:sz w:val="21"/>
        </w:rPr>
        <w:t>高阶超边的结构正确性依赖LLM对复杂语义的理解能力</w:t>
      </w:r>
      <w:r>
        <w:rPr>
          <w:rFonts w:hint="eastAsia"/>
          <w:b w:val="0"/>
          <w:i w:val="0"/>
          <w:sz w:val="21"/>
          <w:lang w:eastAsia="zh-CN"/>
        </w:rPr>
        <w:t>，</w:t>
      </w:r>
      <w:r>
        <w:rPr>
          <w:rFonts w:ascii="Times New Roman" w:hAnsi="Times New Roman" w:eastAsia="宋体"/>
          <w:b w:val="0"/>
          <w:i w:val="0"/>
          <w:sz w:val="21"/>
        </w:rPr>
        <w:t>当文献描述存在</w:t>
      </w:r>
      <w:r>
        <w:rPr>
          <w:rFonts w:hint="eastAsia"/>
          <w:b w:val="0"/>
          <w:i w:val="0"/>
          <w:sz w:val="21"/>
          <w:lang w:val="en-US" w:eastAsia="zh-CN"/>
        </w:rPr>
        <w:t>跨文本块依赖</w:t>
      </w:r>
      <w:r>
        <w:rPr>
          <w:rFonts w:ascii="Times New Roman" w:hAnsi="Times New Roman" w:eastAsia="宋体"/>
          <w:b w:val="0"/>
          <w:i w:val="0"/>
          <w:sz w:val="21"/>
        </w:rPr>
        <w:t>、隐含条件或复杂逻辑关系时，抽取的高阶超边可能出现实体遗漏或关系类型误判。在液流电池案例中，UNKNOWN率约为10%~15%，表明仍有部分术语或关系超出预定义类型的覆盖范围。未来可通过微调策略或多轮一致性校验提升高阶关系抽取的稳定性，例如利用验证LLM对已抽取的超边进行结构合理性检查。</w:t>
      </w:r>
    </w:p>
    <w:p w14:paraId="33CC282D">
      <w:pPr>
        <w:keepNext w:val="0"/>
        <w:spacing w:before="120" w:after="60" w:line="240" w:lineRule="auto"/>
        <w:ind w:firstLine="420"/>
        <w:jc w:val="left"/>
      </w:pPr>
      <w:r>
        <w:rPr>
          <w:rFonts w:ascii="Times New Roman" w:hAnsi="Times New Roman" w:eastAsia="黑体"/>
          <w:b/>
          <w:i w:val="0"/>
          <w:sz w:val="21"/>
        </w:rPr>
        <w:t>第三，结构化条件查询的联合优化尚未解决。</w:t>
      </w:r>
    </w:p>
    <w:p w14:paraId="3F10A6D4">
      <w:pPr>
        <w:keepNext w:val="0"/>
        <w:spacing w:before="0" w:after="60" w:line="240" w:lineRule="auto"/>
        <w:ind w:firstLine="420"/>
        <w:jc w:val="both"/>
      </w:pPr>
      <w:r>
        <w:rPr>
          <w:rFonts w:ascii="Times New Roman" w:hAnsi="Times New Roman" w:eastAsia="宋体"/>
          <w:b w:val="0"/>
          <w:i w:val="0"/>
          <w:sz w:val="21"/>
        </w:rPr>
        <w:t>当查询涉及数值范围（如"电流密度大于100 mA/cm²"）或多个条件的逻辑组合（如"温度低于30℃且电压高于1.5 V"）时，当前检索机制主要基于语义相似度匹配，缺乏对数值约束和逻辑运算符的精确处理。这在两个案例中均可能限制查询的精确性，特别是在需要筛选特定条件区间的实验数据时。未来工作可探索将数值解析与逻辑约束集成到超图检索过程中，实现语义匹配与结构化查询的联合优化。</w:t>
      </w:r>
    </w:p>
    <w:p w14:paraId="333954E2">
      <w:pPr>
        <w:keepNext/>
        <w:spacing w:before="240" w:after="240" w:line="240" w:lineRule="auto"/>
        <w:jc w:val="left"/>
      </w:pPr>
      <w:r>
        <w:rPr>
          <w:rFonts w:ascii="Times New Roman" w:hAnsi="Times New Roman" w:eastAsia="黑体"/>
          <w:b/>
          <w:i w:val="0"/>
          <w:sz w:val="28"/>
        </w:rPr>
        <w:t>5 结论</w:t>
      </w:r>
    </w:p>
    <w:p w14:paraId="2FA799DB">
      <w:pPr>
        <w:keepNext w:val="0"/>
        <w:spacing w:before="0" w:after="60" w:line="240" w:lineRule="auto"/>
        <w:ind w:firstLine="420"/>
        <w:jc w:val="both"/>
      </w:pPr>
      <w:r>
        <w:rPr>
          <w:rFonts w:ascii="Times New Roman" w:hAnsi="Times New Roman" w:eastAsia="宋体"/>
          <w:sz w:val="21"/>
        </w:rPr>
        <w:t>通过对液流电池和PFAS降解两个典型化工领域的文献分析，发现化工实验知识中的"体系—材料—条件—指标—机理"天然具有多变量耦合的结构特征，适合用超图进行建模。为验证这一判断，构建了适配于化工领域的超图增强RAG（Hyper-ChE）框架，以超图结构替代传统二元图结构进行知识存储与检索，并通过与Graph-RAG的对比实验，验证了超图建模在保持条件组合完整性方面的优势。</w:t>
      </w:r>
    </w:p>
    <w:p w14:paraId="1BAF47AA">
      <w:pPr>
        <w:keepNext w:val="0"/>
        <w:spacing w:before="0" w:after="60" w:line="240" w:lineRule="auto"/>
        <w:ind w:firstLine="420"/>
        <w:jc w:val="both"/>
      </w:pPr>
      <w:r>
        <w:rPr>
          <w:rFonts w:ascii="Times New Roman" w:hAnsi="Times New Roman" w:eastAsia="宋体"/>
          <w:sz w:val="21"/>
        </w:rPr>
        <w:t>在液流电池领域，基于50篇文献构建的知识库包含9970个实体和12987条超边，其中高阶超边占20.9%。对比评估表明，Hyper-</w:t>
      </w:r>
      <w:r>
        <w:rPr>
          <w:rFonts w:hint="eastAsia"/>
          <w:sz w:val="21"/>
          <w:lang w:val="en-US" w:eastAsia="zh-CN"/>
        </w:rPr>
        <w:t>ChE</w:t>
      </w:r>
      <w:r>
        <w:rPr>
          <w:rFonts w:ascii="Times New Roman" w:hAnsi="Times New Roman" w:eastAsia="宋体"/>
          <w:sz w:val="21"/>
        </w:rPr>
        <w:t>平均召回103条高阶超边/63个实体，Graph-RAG平均召回46条二元边。这一结果说明，超图结构对"体系—材料—条件—性能"高阶关系的表达能力优于二元图，化工实验知识中多变量共同约束的结构特征确实对检索效果产生了实质影响。</w:t>
      </w:r>
    </w:p>
    <w:p w14:paraId="54423D98">
      <w:pPr>
        <w:keepNext w:val="0"/>
        <w:spacing w:before="0" w:after="60" w:line="240" w:lineRule="auto"/>
        <w:ind w:firstLine="420"/>
        <w:jc w:val="both"/>
      </w:pPr>
      <w:r>
        <w:rPr>
          <w:rFonts w:ascii="Times New Roman" w:hAnsi="Times New Roman" w:eastAsia="宋体"/>
          <w:sz w:val="21"/>
        </w:rPr>
        <w:t>为进一步验证超图知识建模在多变量耦合实验科学中的适用性，本文以PFAS去除与降解领域为第二案例进行了验证。基于50篇文献构建的知识库包含7476个实体和10812条关系/超边，其中高阶超边占比21.98%。在覆盖语料总览、条件组合、跨策略比较、长短链对比、机理证据链和实验方案推荐的12个测试问题中，Hyper-ChE平均召回81.5条高阶超边，约为Graph-RAG（37.9条二元边）的2.15倍。典型问题分析表明，Hyper-ChE在多条件组合保留（Q5）、跨策略横向比较（Q7）、目标污染物差异化分析（Q8）、多证据机理链组织（Q10）和实验方案结构化推荐（Q12）等任务中表现更好。该结果与液流电池案例的发现一致，表明化工实验知识中的多变量耦合结构确实适合用超图建模，且超图结构对"目标污染物—材料—条件—指标—机理"高阶关系的表达能够有效提升复杂条件查询中的检索效果。</w:t>
      </w:r>
    </w:p>
    <w:p w14:paraId="442A2969">
      <w:pPr>
        <w:keepNext w:val="0"/>
        <w:spacing w:before="0" w:after="60" w:line="240" w:lineRule="auto"/>
        <w:ind w:firstLine="420"/>
        <w:jc w:val="both"/>
      </w:pPr>
      <w:r>
        <w:rPr>
          <w:rFonts w:ascii="Times New Roman" w:hAnsi="Times New Roman" w:eastAsia="宋体"/>
          <w:b w:val="0"/>
          <w:i w:val="0"/>
          <w:sz w:val="21"/>
        </w:rPr>
        <w:t>综合液流电池与PFAS降解两个案例的验证结果，超图增强检索方法的价值体现在以下三个方面：第一，条件完整性——高阶超边保留了同一实验中多个条件的关联信息，减少了二元关系拆分导致的信息损失；第二，上下文可解释性——通过机理路径和比较关系的结构化组织，检索结果包含事实数据与机理解释；第三，跨域关联能力——统一的知识建模框架支持不同化工子领域间的知识迁移。两个案例的领域差异——液流电池以电化学性能优化为主线、PFAS降解以污染物去除机理为核心——表明该方法不限于特定化工方向，可扩展至其他多变量耦合的实验科学领域。</w:t>
      </w:r>
    </w:p>
    <w:p w14:paraId="4FE95870">
      <w:pPr>
        <w:keepNext w:val="0"/>
        <w:spacing w:before="0" w:after="60" w:line="240" w:lineRule="auto"/>
        <w:ind w:firstLine="420"/>
        <w:jc w:val="both"/>
      </w:pPr>
      <w:r>
        <w:rPr>
          <w:rFonts w:hint="eastAsia"/>
          <w:b w:val="0"/>
          <w:i w:val="0"/>
          <w:sz w:val="21"/>
          <w:lang w:val="en-US" w:eastAsia="zh-CN"/>
        </w:rPr>
        <w:t>同时应该承认的是，当前每个领域的超图数据库仅嵌入了50篇论文语料，</w:t>
      </w:r>
      <w:r>
        <w:rPr>
          <w:rFonts w:ascii="Times New Roman" w:hAnsi="Times New Roman" w:eastAsia="宋体"/>
          <w:b w:val="0"/>
          <w:i w:val="0"/>
          <w:sz w:val="21"/>
        </w:rPr>
        <w:t>基于当前子集规模的验证结果虽已初步表明超图建模在多变量组合查询中的优势，但更全面的结论有待更大规模语料的支持。</w:t>
      </w:r>
    </w:p>
    <w:p w14:paraId="642C1725">
      <w:pPr>
        <w:keepNext w:val="0"/>
        <w:spacing w:before="0" w:after="60" w:line="240" w:lineRule="auto"/>
        <w:ind w:firstLine="420"/>
        <w:jc w:val="both"/>
      </w:pPr>
      <w:r>
        <w:rPr>
          <w:rFonts w:ascii="Times New Roman" w:hAnsi="Times New Roman" w:eastAsia="宋体"/>
          <w:b w:val="0"/>
          <w:i w:val="0"/>
          <w:sz w:val="21"/>
        </w:rPr>
        <w:t>此外，知识抽取的准确性受限于大语言模型的实体识别与关系抽取能力，复杂机理关系仍可能出现边界模糊的情况。未来工作将从以下方向展开：一是扩大语料覆盖范围，纳入更多文献以检验方法的可扩展性；二是探索超边权重学习机制，优化检索排序；三是将方法推广至电催化、电池材料、反应工程等其他化工子领域，进一步验证其领域通用性。</w:t>
      </w:r>
    </w:p>
    <w:p w14:paraId="1A36EDB8">
      <w:pPr>
        <w:keepNext/>
        <w:spacing w:before="240" w:after="240" w:line="240" w:lineRule="auto"/>
        <w:jc w:val="left"/>
      </w:pPr>
      <w:r>
        <w:rPr>
          <w:rFonts w:ascii="Times New Roman" w:hAnsi="Times New Roman" w:eastAsia="黑体"/>
          <w:b/>
          <w:i w:val="0"/>
          <w:sz w:val="28"/>
        </w:rPr>
        <w:t>参考文献</w:t>
      </w:r>
    </w:p>
    <w:p w14:paraId="2DAA361F">
      <w:pPr>
        <w:spacing w:before="20" w:after="20" w:line="240" w:lineRule="auto"/>
        <w:ind w:left="420" w:hanging="420"/>
      </w:pPr>
      <w:r>
        <w:rPr>
          <w:rFonts w:ascii="Times New Roman" w:hAnsi="Times New Roman" w:eastAsia="宋体"/>
          <w:b w:val="0"/>
          <w:i w:val="0"/>
          <w:sz w:val="15"/>
        </w:rPr>
        <w:t>[1] 陈海生, 蒋凯, 等. 液流电池关键材料发展研究[J]. 中国工程科学, 2025, 27(10): 1-12.</w:t>
      </w:r>
    </w:p>
    <w:p w14:paraId="445548B4">
      <w:pPr>
        <w:spacing w:before="20" w:after="20" w:line="240" w:lineRule="auto"/>
        <w:ind w:left="420" w:hanging="420"/>
      </w:pPr>
      <w:r>
        <w:rPr>
          <w:rFonts w:ascii="Times New Roman" w:hAnsi="Times New Roman" w:eastAsia="宋体"/>
          <w:b w:val="0"/>
          <w:i w:val="0"/>
          <w:sz w:val="15"/>
        </w:rPr>
        <w:t>[2] DING C S, ZHANG H N, et al. Sulfonated polybenzimidazole zwitterionic exchange membrane for vanadium flow batteries[J]. Journal of Membrane Science, 2023, 669: 121-135.</w:t>
      </w:r>
    </w:p>
    <w:p w14:paraId="3BED8E52">
      <w:pPr>
        <w:spacing w:before="20" w:after="20" w:line="240" w:lineRule="auto"/>
        <w:ind w:left="420" w:hanging="420"/>
      </w:pPr>
      <w:r>
        <w:rPr>
          <w:rFonts w:ascii="Times New Roman" w:hAnsi="Times New Roman" w:eastAsia="宋体"/>
          <w:b w:val="0"/>
          <w:i w:val="0"/>
          <w:sz w:val="15"/>
        </w:rPr>
        <w:t>[3] CHEN Y K, et al. High-activity and high-stability bismuth single-atom electrocatalyst for vanadium redox flow batteries[J]. Advanced Materials, 2024, 36: 2308124.</w:t>
      </w:r>
    </w:p>
    <w:p w14:paraId="220F6BE8">
      <w:pPr>
        <w:spacing w:before="20" w:after="20" w:line="240" w:lineRule="auto"/>
        <w:ind w:left="420" w:hanging="420"/>
      </w:pPr>
      <w:r>
        <w:rPr>
          <w:rFonts w:ascii="Times New Roman" w:hAnsi="Times New Roman" w:eastAsia="宋体"/>
          <w:b w:val="0"/>
          <w:i w:val="0"/>
          <w:sz w:val="15"/>
        </w:rPr>
        <w:t>[4] 中国储能技术研究进展2024[J]. 储能科学与技术, 2025, 14(1): 1-30.</w:t>
      </w:r>
    </w:p>
    <w:p w14:paraId="3346ECB7">
      <w:pPr>
        <w:spacing w:before="20" w:after="20" w:line="240" w:lineRule="auto"/>
        <w:ind w:left="420" w:hanging="420"/>
      </w:pPr>
      <w:r>
        <w:rPr>
          <w:rFonts w:ascii="Times New Roman" w:hAnsi="Times New Roman" w:eastAsia="宋体"/>
          <w:b w:val="0"/>
          <w:i w:val="0"/>
          <w:sz w:val="15"/>
        </w:rPr>
        <w:t>[5] YE Y P, REN J, WANG S Z, et al. Construction and application of materials knowledge graph in multidisciplinary materials science via large language model[J]. arXiv preprint arXiv:2404.03080, 2024.</w:t>
      </w:r>
    </w:p>
    <w:p w14:paraId="4C9ADCE8">
      <w:pPr>
        <w:spacing w:before="20" w:after="20" w:line="240" w:lineRule="auto"/>
        <w:ind w:left="420" w:hanging="420"/>
      </w:pPr>
      <w:r>
        <w:rPr>
          <w:rFonts w:ascii="Times New Roman" w:hAnsi="Times New Roman" w:eastAsia="宋体"/>
          <w:b w:val="0"/>
          <w:i w:val="0"/>
          <w:sz w:val="15"/>
        </w:rPr>
        <w:t>[6] LEWIS P, PEREZ E, PIKTUS A, et al. Retrieval-augmented generation for knowledge-intensive NLP tasks[J]. Advances in Neural Information Processing Systems, 2020, 33: 9459-9474.</w:t>
      </w:r>
    </w:p>
    <w:p w14:paraId="5A237CBA">
      <w:pPr>
        <w:spacing w:before="20" w:after="20" w:line="240" w:lineRule="auto"/>
        <w:ind w:left="420" w:hanging="420"/>
      </w:pPr>
      <w:r>
        <w:rPr>
          <w:rFonts w:ascii="Times New Roman" w:hAnsi="Times New Roman" w:eastAsia="宋体"/>
          <w:b w:val="0"/>
          <w:i w:val="0"/>
          <w:sz w:val="15"/>
        </w:rPr>
        <w:t>[7] GAO Y L, XIONG Y T, GAO X R, et al. Retrieval-augmented generation for large language models: A survey[J]. arXiv preprint arXiv:2312.10997, 2024.</w:t>
      </w:r>
    </w:p>
    <w:p w14:paraId="0A05B256">
      <w:pPr>
        <w:spacing w:before="20" w:after="20" w:line="240" w:lineRule="auto"/>
        <w:ind w:left="420" w:hanging="420"/>
      </w:pPr>
      <w:r>
        <w:rPr>
          <w:rFonts w:ascii="Times New Roman" w:hAnsi="Times New Roman" w:eastAsia="宋体"/>
          <w:b w:val="0"/>
          <w:i w:val="0"/>
          <w:sz w:val="15"/>
        </w:rPr>
        <w:t>[8] WU S C, XIONG Y T, CUI Y X, et al. Retrieval-augmented generation for natural language processing: A survey[J]. arXiv preprint arXiv:2407.13167, 2024.</w:t>
      </w:r>
    </w:p>
    <w:p w14:paraId="461ECB1B">
      <w:pPr>
        <w:spacing w:before="20" w:after="20" w:line="240" w:lineRule="auto"/>
        <w:ind w:left="420" w:hanging="420"/>
      </w:pPr>
      <w:r>
        <w:rPr>
          <w:rFonts w:ascii="Times New Roman" w:hAnsi="Times New Roman" w:eastAsia="宋体"/>
          <w:b w:val="0"/>
          <w:i w:val="0"/>
          <w:sz w:val="15"/>
        </w:rPr>
        <w:t>[9] MALLEN A, ASAI A, ZHONG V, et al. When not to trust language models: Investigating effectiveness of parametric and non-parametric memories[J]. Proceedings of ACL, 2023, 1: 9802-9822.</w:t>
      </w:r>
    </w:p>
    <w:p w14:paraId="11262D9C">
      <w:pPr>
        <w:spacing w:before="20" w:after="20" w:line="240" w:lineRule="auto"/>
        <w:ind w:left="420" w:hanging="420"/>
      </w:pPr>
      <w:r>
        <w:rPr>
          <w:rFonts w:ascii="Times New Roman" w:hAnsi="Times New Roman" w:eastAsia="宋体"/>
          <w:b w:val="0"/>
          <w:i w:val="0"/>
          <w:sz w:val="15"/>
        </w:rPr>
        <w:t>[10] PAN S R, LUO L, WANG Y F, et al. Unifying large language models and knowledge graphs: A roadmap[J]. IEEE Transactions on Knowledge and Data Engineering, 2024, 36(7): 3580-3599.</w:t>
      </w:r>
    </w:p>
    <w:p w14:paraId="3DB9E1F6">
      <w:pPr>
        <w:spacing w:before="20" w:after="20" w:line="240" w:lineRule="auto"/>
        <w:ind w:left="420" w:hanging="420"/>
      </w:pPr>
      <w:r>
        <w:rPr>
          <w:rFonts w:ascii="Times New Roman" w:hAnsi="Times New Roman" w:eastAsia="宋体"/>
          <w:b w:val="0"/>
          <w:i w:val="0"/>
          <w:sz w:val="15"/>
        </w:rPr>
        <w:t>[11] FENG Y, HU H, HOU X, et al. Hyper-RAG: Combating LLM hallucinations using hypergraph-driven retrieval-augmented generation[J]. arXiv preprint arXiv:2504.08758, 2025.</w:t>
      </w:r>
    </w:p>
    <w:p w14:paraId="63758F31">
      <w:pPr>
        <w:spacing w:before="20" w:after="20" w:line="240" w:lineRule="auto"/>
        <w:ind w:left="420" w:hanging="420"/>
      </w:pPr>
      <w:r>
        <w:rPr>
          <w:rFonts w:ascii="Times New Roman" w:hAnsi="Times New Roman" w:eastAsia="宋体"/>
          <w:b w:val="0"/>
          <w:i w:val="0"/>
          <w:sz w:val="15"/>
        </w:rPr>
        <w:t>[12] ZHOU D Y, ZHENG L, HAN J W, et al. A survey of graph neural networks for recommender systems: Challenges, methods, and directions[J]. ACM Transactions on Recommender Systems, 2025, 3(4): 1-53.</w:t>
      </w:r>
    </w:p>
    <w:p w14:paraId="0CA4F912">
      <w:pPr>
        <w:spacing w:before="20" w:after="20" w:line="240" w:lineRule="auto"/>
        <w:ind w:left="420" w:hanging="420"/>
      </w:pPr>
      <w:r>
        <w:rPr>
          <w:rFonts w:ascii="Times New Roman" w:hAnsi="Times New Roman" w:eastAsia="宋体"/>
          <w:b w:val="0"/>
          <w:i w:val="0"/>
          <w:sz w:val="15"/>
        </w:rPr>
        <w:t>[13] LUO H R, CHEN G T, ZHENG Y D, et al. HyperGraphRAG: Retrieval-augmented generation via hypergraph-structured knowledge representation[J]. arXiv preprint arXiv:2503.21322, 2025.</w:t>
      </w:r>
    </w:p>
    <w:p w14:paraId="7EFD87C4">
      <w:pPr>
        <w:spacing w:before="20" w:after="20" w:line="240" w:lineRule="auto"/>
        <w:ind w:left="420" w:hanging="420"/>
      </w:pPr>
      <w:r>
        <w:rPr>
          <w:rFonts w:ascii="Times New Roman" w:hAnsi="Times New Roman" w:eastAsia="宋体"/>
          <w:b w:val="0"/>
          <w:i w:val="0"/>
          <w:sz w:val="15"/>
        </w:rPr>
        <w:t>[14] EDGE D, TRINH H, CHENG N, et al. From local to global: A graph RAG approach to query-focused summarization[J]. arXiv preprint arXiv:2404.16130, 2024.</w:t>
      </w:r>
    </w:p>
    <w:p w14:paraId="53101B74">
      <w:pPr>
        <w:spacing w:before="20" w:after="20" w:line="240" w:lineRule="auto"/>
        <w:ind w:left="420" w:hanging="420"/>
      </w:pPr>
      <w:r>
        <w:rPr>
          <w:rFonts w:ascii="Times New Roman" w:hAnsi="Times New Roman" w:eastAsia="宋体"/>
          <w:b w:val="0"/>
          <w:i w:val="0"/>
          <w:sz w:val="15"/>
        </w:rPr>
        <w:t>[15] GUO Z, XIA L, YU Y, et al. LightRAG: Simple and fast retrieval-augmented generation[J]. arXiv preprint arXiv:2410.05779, 2024.</w:t>
      </w:r>
    </w:p>
    <w:p w14:paraId="746EE69C">
      <w:pPr>
        <w:spacing w:before="20" w:after="20" w:line="240" w:lineRule="auto"/>
        <w:ind w:left="420" w:hanging="420"/>
      </w:pPr>
      <w:r>
        <w:rPr>
          <w:rFonts w:ascii="Times New Roman" w:hAnsi="Times New Roman" w:eastAsia="宋体"/>
          <w:b w:val="0"/>
          <w:i w:val="0"/>
          <w:sz w:val="15"/>
        </w:rPr>
        <w:t>[16] ZHAO X, HUANG W, WANG Z, et al. Hypergraph structure learning for multimodal retrieval-augmented generation[J]. arXiv preprint arXiv:2506.03778, 2025.</w:t>
      </w:r>
    </w:p>
    <w:p w14:paraId="2B5DF8AA">
      <w:pPr>
        <w:spacing w:before="20" w:after="20" w:line="240" w:lineRule="auto"/>
        <w:ind w:left="420" w:hanging="420"/>
      </w:pPr>
      <w:r>
        <w:rPr>
          <w:rFonts w:ascii="Times New Roman" w:hAnsi="Times New Roman" w:eastAsia="宋体"/>
          <w:b w:val="0"/>
          <w:i w:val="0"/>
          <w:sz w:val="15"/>
        </w:rPr>
        <w:t>[17] GAO Y, FENG Y, JI S, et al. HGNN+: General hypergraph neural networks[J]. IEEE Transactions on Pattern Analysis and Machine Intelligence, 2023, 45: 3181-3199.</w:t>
      </w:r>
    </w:p>
    <w:p w14:paraId="75B1176E">
      <w:pPr>
        <w:spacing w:before="20" w:after="20" w:line="240" w:lineRule="auto"/>
        <w:ind w:left="420" w:hanging="420"/>
      </w:pPr>
      <w:r>
        <w:rPr>
          <w:rFonts w:ascii="Times New Roman" w:hAnsi="Times New Roman" w:eastAsia="宋体"/>
          <w:b w:val="0"/>
          <w:i w:val="0"/>
          <w:sz w:val="15"/>
        </w:rPr>
        <w:t>[18] DAGDELEN J, et al. Structured information extraction from scientific text with large language models[J]. Nature Communications, 2024, 15: 1418.</w:t>
      </w:r>
    </w:p>
    <w:p w14:paraId="5B49AE8B">
      <w:pPr>
        <w:spacing w:before="20" w:after="20" w:line="240" w:lineRule="auto"/>
        <w:ind w:left="420" w:hanging="420"/>
      </w:pPr>
      <w:r>
        <w:rPr>
          <w:rFonts w:ascii="Times New Roman" w:hAnsi="Times New Roman" w:eastAsia="宋体"/>
          <w:b w:val="0"/>
          <w:i w:val="0"/>
          <w:sz w:val="15"/>
        </w:rPr>
        <w:t>[19] PRINCE M H, et al. Opportunities for retrieval and tool augmented large language models in scientific facilities[J]. npj Computational Materials, 2024, 10: 251.</w:t>
      </w:r>
    </w:p>
    <w:p w14:paraId="5B4ED488">
      <w:pPr>
        <w:spacing w:before="20" w:after="20" w:line="240" w:lineRule="auto"/>
        <w:ind w:left="420" w:hanging="420"/>
      </w:pPr>
      <w:r>
        <w:rPr>
          <w:rFonts w:ascii="Times New Roman" w:hAnsi="Times New Roman" w:eastAsia="宋体"/>
          <w:b w:val="0"/>
          <w:i w:val="0"/>
          <w:sz w:val="15"/>
        </w:rPr>
        <w:t>[20] HUANG L, et al. A survey on hallucination in large language models: Principles, taxonomy, challenges, and open questions[J]. ACM Transactions on Information Systems, 2025, 43: 1-55.</w:t>
      </w:r>
    </w:p>
    <w:p w14:paraId="02D17080"/>
    <w:p w14:paraId="2FC5F5CC"/>
    <w:sectPr>
      <w:pgSz w:w="11906" w:h="16838"/>
      <w:pgMar w:top="1417"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C0F2D"/>
    <w:rsid w:val="00AA1D8D"/>
    <w:rsid w:val="00B47730"/>
    <w:rsid w:val="00CB0664"/>
    <w:rsid w:val="00FC693F"/>
    <w:rsid w:val="02BE3A7E"/>
    <w:rsid w:val="07172F45"/>
    <w:rsid w:val="08940DDD"/>
    <w:rsid w:val="09196711"/>
    <w:rsid w:val="0A7E1D45"/>
    <w:rsid w:val="0C160487"/>
    <w:rsid w:val="0C767178"/>
    <w:rsid w:val="0EEE4BDC"/>
    <w:rsid w:val="0F265058"/>
    <w:rsid w:val="113D64B6"/>
    <w:rsid w:val="114F61E9"/>
    <w:rsid w:val="127F10A5"/>
    <w:rsid w:val="19BD63E6"/>
    <w:rsid w:val="1C370605"/>
    <w:rsid w:val="22995516"/>
    <w:rsid w:val="25602A1C"/>
    <w:rsid w:val="2593624D"/>
    <w:rsid w:val="26A050C5"/>
    <w:rsid w:val="29A94291"/>
    <w:rsid w:val="2AEF15E9"/>
    <w:rsid w:val="2C7B06C4"/>
    <w:rsid w:val="2E701821"/>
    <w:rsid w:val="32313075"/>
    <w:rsid w:val="32C47EE2"/>
    <w:rsid w:val="345832FE"/>
    <w:rsid w:val="35C0308E"/>
    <w:rsid w:val="380E48D5"/>
    <w:rsid w:val="395A55A8"/>
    <w:rsid w:val="3B3179AD"/>
    <w:rsid w:val="3C4D4F50"/>
    <w:rsid w:val="3DE25B6C"/>
    <w:rsid w:val="3F073ADC"/>
    <w:rsid w:val="41EC0D67"/>
    <w:rsid w:val="421A39A5"/>
    <w:rsid w:val="42AD6748"/>
    <w:rsid w:val="452E5F85"/>
    <w:rsid w:val="4682613E"/>
    <w:rsid w:val="47410C27"/>
    <w:rsid w:val="495518E8"/>
    <w:rsid w:val="4A987CDE"/>
    <w:rsid w:val="4B2647D6"/>
    <w:rsid w:val="4C1A4723"/>
    <w:rsid w:val="4CD22170"/>
    <w:rsid w:val="4D783DF7"/>
    <w:rsid w:val="50AA42C7"/>
    <w:rsid w:val="51E67581"/>
    <w:rsid w:val="55A61F25"/>
    <w:rsid w:val="567105B4"/>
    <w:rsid w:val="5AAE2C06"/>
    <w:rsid w:val="5C11729B"/>
    <w:rsid w:val="5C1271C4"/>
    <w:rsid w:val="5E8E6FD6"/>
    <w:rsid w:val="60C34F31"/>
    <w:rsid w:val="62065A1D"/>
    <w:rsid w:val="628E2720"/>
    <w:rsid w:val="633A597E"/>
    <w:rsid w:val="6894168D"/>
    <w:rsid w:val="68B7181F"/>
    <w:rsid w:val="6AA91EAE"/>
    <w:rsid w:val="6C2471CC"/>
    <w:rsid w:val="6CBC11B2"/>
    <w:rsid w:val="6D6B02CD"/>
    <w:rsid w:val="6F5A4CB2"/>
    <w:rsid w:val="73E074D6"/>
    <w:rsid w:val="74D07DFD"/>
    <w:rsid w:val="75970A0E"/>
    <w:rsid w:val="780103C1"/>
    <w:rsid w:val="78472EBC"/>
    <w:rsid w:val="794401B0"/>
    <w:rsid w:val="79A74F98"/>
    <w:rsid w:val="7BC524AD"/>
    <w:rsid w:val="7D252775"/>
    <w:rsid w:val="7EEE3597"/>
    <w:rsid w:val="7F2F1CB8"/>
    <w:rsid w:val="7F8A15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2643</Words>
  <Characters>4265</Characters>
  <Lines>0</Lines>
  <Paragraphs>0</Paragraphs>
  <TotalTime>42</TotalTime>
  <ScaleCrop>false</ScaleCrop>
  <LinksUpToDate>false</LinksUpToDate>
  <CharactersWithSpaces>4519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Fall Rain</cp:lastModifiedBy>
  <dcterms:modified xsi:type="dcterms:W3CDTF">2026-06-09T03:09:05Z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eyJoZGlkIjoiNTcwZGI1Yzg3NTJiMDY5NDU1NTc5ZjFkMjg1NTI4OTMiLCJ1c2VySWQiOiIxNzMxNTA1NzQ1In0=</vt:lpwstr>
  </property>
  <property fmtid="{D5CDD505-2E9C-101B-9397-08002B2CF9AE}" pid="3" name="KSOProductBuildVer">
    <vt:lpwstr>2052-12.1.0.26375</vt:lpwstr>
  </property>
  <property fmtid="{D5CDD505-2E9C-101B-9397-08002B2CF9AE}" pid="4" name="ICV">
    <vt:lpwstr>702A48207FCF4AB5B96935A864C11111_13</vt:lpwstr>
  </property>
</Properties>
</file>