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9A31">
      <w:pPr>
        <w:spacing w:after="120"/>
        <w:jc w:val="center"/>
      </w:pPr>
      <w:r>
        <w:rPr>
          <w:rFonts w:hint="eastAsia" w:eastAsia="黑体" w:ascii="Times New Roman" w:hAnsi="Times New Roman"/>
          <w:b/>
          <w:sz w:val="32"/>
          <w:lang w:val="en-US" w:eastAsia="zh-CN"/>
        </w:rPr>
        <w:t>适配</w:t>
      </w:r>
      <w:r>
        <w:rPr>
          <w:rFonts w:ascii="Times New Roman" w:hAnsi="Times New Roman" w:eastAsia="黑体"/>
          <w:b/>
          <w:sz w:val="32"/>
        </w:rPr>
        <w:t>化工知识高阶关系表达的超图建模与检索方法</w:t>
      </w:r>
    </w:p>
    <w:p w14:paraId="6609E24B">
      <w:pPr>
        <w:spacing w:after="120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8"/>
        </w:rPr>
        <w:t>张明华，李志强，王建国</w:t>
      </w:r>
    </w:p>
    <w:p w14:paraId="6E2E09F3"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（中国石油大学（北京）化学工程学院，北京 102249）</w:t>
      </w:r>
    </w:p>
    <w:p w14:paraId="7B2D686C">
      <w:pPr>
        <w:spacing w:before="120" w:after="60"/>
      </w:pPr>
      <w:r>
        <w:rPr>
          <w:rFonts w:ascii="Times New Roman" w:hAnsi="Times New Roman" w:eastAsia="黑体"/>
          <w:b/>
          <w:sz w:val="21"/>
        </w:rPr>
        <w:t>1  引言与背景发现</w:t>
      </w:r>
    </w:p>
    <w:p w14:paraId="746E165A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化工实验知识天然呈现多变量耦合特征——体系、材料、条件、指标与机理等变量常以多实体关联形式描述同一实验事实。传统二元图谱将高阶关系拆分为多条二元边，导致同一实验上下文的关联信息分散各处。超图通过超边连接任意数量顶点，可完整保留高阶关系。对液流电池和PFAS降解两个子领域的文献分析表明，约21%的关系具三元及以上高阶耦合结构，据此构建领域适配超图增强检索框架Hyper-ChE，验证超图对化工知识表达与检索的有效性。</w:t>
      </w:r>
    </w:p>
    <w:p w14:paraId="4EACD7DF">
      <w:pPr>
        <w:spacing w:before="120" w:after="60"/>
      </w:pPr>
      <w:r>
        <w:rPr>
          <w:rFonts w:ascii="Times New Roman" w:hAnsi="Times New Roman" w:eastAsia="黑体"/>
          <w:b/>
          <w:sz w:val="21"/>
        </w:rPr>
        <w:t>2  超图知识建模方法</w:t>
      </w:r>
    </w:p>
    <w:p w14:paraId="0F86B625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Hyper-ChE以实验事实单元为基本粒度，预定义实体与关系/超边类型，通过LLM抽取结构化信息后自动构建超图。检索阶段并行执行实体路径和关系路径，融合上下文生成回答。</w:t>
      </w:r>
    </w:p>
    <w:p w14:paraId="41EFDBFB">
      <w:pPr>
        <w:spacing w:before="120" w:after="60"/>
      </w:pPr>
      <w:r>
        <w:rPr>
          <w:rFonts w:ascii="Times New Roman" w:hAnsi="Times New Roman" w:eastAsia="黑体"/>
          <w:b/>
          <w:sz w:val="21"/>
        </w:rPr>
        <w:t>3  案例研究</w:t>
      </w:r>
    </w:p>
    <w:p w14:paraId="5DD2F1AD">
      <w:pPr>
        <w:spacing w:before="120" w:after="60"/>
      </w:pPr>
      <w:r>
        <w:rPr>
          <w:rFonts w:ascii="Times New Roman" w:hAnsi="Times New Roman" w:eastAsia="黑体"/>
          <w:b/>
          <w:sz w:val="21"/>
        </w:rPr>
        <w:t>3.1  案例一：液流电池</w:t>
      </w:r>
    </w:p>
    <w:p w14:paraId="68AF2571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液流电池案例入库50篇文献，获得664个文本块、9970个实体和12987条关系/超边。二元关系10262条，高阶超边2715条（20.9%），最高阶数20。</w:t>
      </w:r>
    </w:p>
    <w:p w14:paraId="2C73BD09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12个问题测试中，Hyper-ChE平均召回103条超边/63个实体，Graph-RAG仅46条二元边。Q4多条件组合查询中，超图直接召回体系—材料—电流密度—效率的组合上下文；Q11策略推荐召回124条超边，Graph-RAG仅41条。</w:t>
      </w:r>
    </w:p>
    <w:p w14:paraId="7E9F635A">
      <w:pPr>
        <w:spacing w:before="60" w:after="40"/>
        <w:jc w:val="center"/>
      </w:pPr>
      <w:r>
        <w:drawing>
          <wp:inline distT="0" distB="0" distL="114300" distR="114300">
            <wp:extent cx="3823335" cy="3097530"/>
            <wp:effectExtent l="0" t="0" r="5715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A35D">
      <w:pPr>
        <w:spacing w:after="120"/>
        <w:jc w:val="center"/>
        <w:rPr>
          <w:rFonts w:ascii="Times New Roman" w:hAnsi="Times New Roman" w:eastAsia="宋体"/>
          <w:sz w:val="18"/>
        </w:rPr>
      </w:pPr>
      <w:r>
        <w:rPr>
          <w:rFonts w:ascii="Times New Roman" w:hAnsi="Times New Roman" w:eastAsia="宋体"/>
          <w:b w:val="0"/>
          <w:sz w:val="18"/>
        </w:rPr>
        <w:t>图1  液流电池案例知识库统计：(a) 关系阶数组成；(b) 高阶超边阶数分布；(c) 实体类型分布；(d) 关系/超边类型分布</w:t>
      </w:r>
    </w:p>
    <w:p w14:paraId="09DB763C">
      <w:pPr>
        <w:spacing w:before="120" w:after="60"/>
      </w:pPr>
      <w:r>
        <w:rPr>
          <w:rFonts w:ascii="Times New Roman" w:hAnsi="Times New Roman" w:eastAsia="黑体"/>
          <w:b/>
          <w:sz w:val="21"/>
        </w:rPr>
        <w:t>3.2  案例二：PFAS去除与降解</w:t>
      </w:r>
    </w:p>
    <w:p w14:paraId="435B07E8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PFAS案例入库51篇文献，获得624个文本块、7476个实体和10812条关系/超边。二元关系8401条，高阶超边2377条（21.98%），与液流电池案例（20.9%）接近。</w:t>
      </w:r>
    </w:p>
    <w:p w14:paraId="11DB3618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性能指标（1462）、实验条件（1210）、催化材料（1203）为主要实体；操作性能（3323）、机理路径（2675）、材料设计（2336）为主要关系类型。</w:t>
      </w:r>
    </w:p>
    <w:p w14:paraId="28ADBF64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Hyper-ChE平均召回81.5条超边/61个实体，Graph-RAG仅37.9条二元边，召回达2.15倍。Q5多条件优化、Q7跨策略比较、Q10机理追溯等场景中，超图保持了多变量关联的完整上下文。</w:t>
      </w:r>
    </w:p>
    <w:p w14:paraId="2014AA20">
      <w:pPr>
        <w:spacing w:before="6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960" cy="2791460"/>
            <wp:effectExtent l="0" t="0" r="8890" b="8890"/>
            <wp:docPr id="4" name="图片 4" descr="ChatGPT_Image_2026年6月6日_21_17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_Image_2026年6月6日_21_17_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ACAC">
      <w:pPr>
        <w:spacing w:after="120"/>
        <w:jc w:val="center"/>
      </w:pPr>
      <w:r>
        <w:rPr>
          <w:rFonts w:ascii="Times New Roman" w:hAnsi="Times New Roman" w:eastAsia="宋体"/>
          <w:b w:val="0"/>
          <w:sz w:val="18"/>
        </w:rPr>
        <w:t>图2  PFAS去除与降解案例中Graph-RAG与Hyper-</w:t>
      </w:r>
      <w:r>
        <w:rPr>
          <w:rFonts w:hint="eastAsia" w:ascii="Times New Roman" w:hAnsi="Times New Roman" w:eastAsia="宋体"/>
          <w:b w:val="0"/>
          <w:sz w:val="18"/>
          <w:lang w:val="en-US" w:eastAsia="zh-CN"/>
        </w:rPr>
        <w:t>ChE</w:t>
      </w:r>
      <w:r>
        <w:rPr>
          <w:rFonts w:ascii="Times New Roman" w:hAnsi="Times New Roman" w:eastAsia="宋体"/>
          <w:b w:val="0"/>
          <w:sz w:val="18"/>
        </w:rPr>
        <w:t>检索召回数量对比</w:t>
      </w:r>
    </w:p>
    <w:p w14:paraId="2C9A3864">
      <w:pPr>
        <w:spacing w:before="120" w:after="60"/>
      </w:pPr>
      <w:r>
        <w:rPr>
          <w:rFonts w:ascii="Times New Roman" w:hAnsi="Times New Roman" w:eastAsia="黑体"/>
          <w:b/>
          <w:sz w:val="21"/>
        </w:rPr>
        <w:t>4  讨论与结论</w:t>
      </w:r>
    </w:p>
    <w:p w14:paraId="536DF690">
      <w:pPr>
        <w:spacing w:after="6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液流电池与PFAS两个子领域的高阶超边占比分别为20.9%和21.98%，化工知识约五分之一的关系具三元及以上高阶耦合结构。超图检索优势集中于多条件约束查询、跨材料对比和策略推荐。Hyper-ChE实现了从文献到超图知识库的自动化构建，未来将扩展领域覆盖并完善质量评价。</w:t>
      </w:r>
    </w:p>
    <w:p w14:paraId="1E1E744D">
      <w:pPr>
        <w:spacing w:before="120" w:after="60"/>
      </w:pPr>
      <w:r>
        <w:rPr>
          <w:rFonts w:ascii="Times New Roman" w:hAnsi="Times New Roman" w:eastAsia="宋体"/>
          <w:b w:val="0"/>
          <w:sz w:val="21"/>
        </w:rPr>
        <w:t>关键词：超图知识建模；检索增强生成；化工知识工程；液流电池；PFAS降解</w:t>
      </w:r>
    </w:p>
    <w:p w14:paraId="12E98BAD">
      <w:pPr>
        <w:spacing w:before="120" w:after="60"/>
      </w:pPr>
      <w:r>
        <w:rPr>
          <w:rFonts w:ascii="Times New Roman" w:hAnsi="Times New Roman" w:eastAsia="黑体"/>
          <w:b/>
          <w:sz w:val="21"/>
        </w:rPr>
        <w:t>参考文献</w:t>
      </w:r>
    </w:p>
    <w:p w14:paraId="745583BF">
      <w:pPr>
        <w:spacing w:after="20" w:line="240" w:lineRule="auto"/>
        <w:ind w:left="420"/>
      </w:pPr>
      <w:r>
        <w:rPr>
          <w:rFonts w:ascii="Times New Roman" w:hAnsi="Times New Roman" w:eastAsia="宋体"/>
          <w:b w:val="0"/>
          <w:sz w:val="18"/>
        </w:rPr>
        <w:t>[1]  Feng Y, Hu H, Hou X, et al. Hyper-RAG: Combating LLM hallucinations using hypergraph-driven retrieval-augmented generation [J]. arXiv preprint arXiv:2504.08758, 2025.</w:t>
      </w:r>
    </w:p>
    <w:p w14:paraId="1BEA6138">
      <w:pPr>
        <w:spacing w:after="20" w:line="240" w:lineRule="auto"/>
        <w:ind w:left="420"/>
      </w:pPr>
      <w:r>
        <w:rPr>
          <w:rFonts w:ascii="Times New Roman" w:hAnsi="Times New Roman" w:eastAsia="宋体"/>
          <w:b w:val="0"/>
          <w:sz w:val="18"/>
        </w:rPr>
        <w:t>[2]  Lee J, et al. Knowledge graphs for process systems engineering: A review of fundamentals, applications and challenges [J]. Computers &amp; Chemical Engineering, 2024, 185: 108696.</w:t>
      </w:r>
    </w:p>
    <w:p w14:paraId="4170EEE2">
      <w:pPr>
        <w:spacing w:after="20" w:line="240" w:lineRule="auto"/>
        <w:ind w:left="420"/>
      </w:pPr>
      <w:r>
        <w:rPr>
          <w:rFonts w:ascii="Times New Roman" w:hAnsi="Times New Roman" w:eastAsia="宋体"/>
          <w:b w:val="0"/>
          <w:sz w:val="18"/>
        </w:rPr>
        <w:t>[3]  Dagdelen J, Dunn A, Lee S, et al. Structured information extraction from scientific text with large language models [J]. Nature Communications, 2024, 15: 1418.</w:t>
      </w:r>
    </w:p>
    <w:p w14:paraId="6F35455E">
      <w:pPr>
        <w:spacing w:after="20" w:line="240" w:lineRule="auto"/>
        <w:ind w:left="420"/>
      </w:pPr>
      <w:r>
        <w:rPr>
          <w:rFonts w:ascii="Times New Roman" w:hAnsi="Times New Roman" w:eastAsia="宋体"/>
          <w:b w:val="0"/>
          <w:sz w:val="18"/>
        </w:rPr>
        <w:t>[4]  Gao Y, Xiong Y, Gao X, et al. Retrieval-augmented generation for large language models: A survey [J]. arXiv preprint arXiv:2312.10997, 2024.</w:t>
      </w:r>
    </w:p>
    <w:p w14:paraId="027CDE13">
      <w:pPr>
        <w:spacing w:after="20" w:line="240" w:lineRule="auto"/>
        <w:ind w:left="420"/>
      </w:pPr>
      <w:r>
        <w:rPr>
          <w:rFonts w:ascii="Times New Roman" w:hAnsi="Times New Roman" w:eastAsia="宋体"/>
          <w:b w:val="0"/>
          <w:sz w:val="18"/>
        </w:rPr>
        <w:t>[5]  Zhang R, et al. A review of knowledge graph reasoning technology: Applications and prospects in process industry [J]. Chinese Journal of Chemical Engineering, 2023, 63: 144-158.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368DE"/>
    <w:rsid w:val="0A7F7F97"/>
    <w:rsid w:val="24FD7FDE"/>
    <w:rsid w:val="2A015C9E"/>
    <w:rsid w:val="2A4C4A62"/>
    <w:rsid w:val="2B0F281A"/>
    <w:rsid w:val="35FB0374"/>
    <w:rsid w:val="429A08D7"/>
    <w:rsid w:val="447F7E47"/>
    <w:rsid w:val="455530C7"/>
    <w:rsid w:val="487877F8"/>
    <w:rsid w:val="4BC32B39"/>
    <w:rsid w:val="59C87B78"/>
    <w:rsid w:val="5B85352B"/>
    <w:rsid w:val="6372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3006</Words>
  <Characters>4115</Characters>
  <Lines>0</Lines>
  <Paragraphs>0</Paragraphs>
  <TotalTime>0</TotalTime>
  <ScaleCrop>false</ScaleCrop>
  <LinksUpToDate>false</LinksUpToDate>
  <CharactersWithSpaces>4257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Fall Rain</cp:lastModifiedBy>
  <dcterms:modified xsi:type="dcterms:W3CDTF">2026-06-06T13:19:10Z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eyJoZGlkIjoiNTcwZGI1Yzg3NTJiMDY5NDU1NTc5ZjFkMjg1NTI4OTMiLCJ1c2VySWQiOiIxNzMxNTA1NzQ1In0=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9A8BC9657483416ABD0A268BD59F154E_12</vt:lpwstr>
  </property>
</Properties>
</file>