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pPr w:leftFromText="180" w:rightFromText="180" w:vertAnchor="page" w:horzAnchor="page" w:tblpX="1930" w:tblpY="1878"/>
        <w:tblOverlap w:val="never"/>
        <w:tblW w:w="80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777"/>
        <w:gridCol w:w="4242"/>
      </w:tblGrid>
      <w:tr w14:paraId="4D22F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trPr>
        <w:tc>
          <w:tcPr>
            <w:tcW w:w="3777" w:type="dxa"/>
            <w:tcBorders>
              <w:top w:val="single" w:color="auto" w:sz="4" w:space="0"/>
              <w:bottom w:val="single" w:color="auto" w:sz="4" w:space="0"/>
            </w:tcBorders>
            <w:shd w:val="clear"/>
            <w:vAlign w:val="center"/>
          </w:tcPr>
          <w:p w14:paraId="14A4E571">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Functional</w:t>
            </w:r>
          </w:p>
        </w:tc>
        <w:tc>
          <w:tcPr>
            <w:tcW w:w="4242" w:type="dxa"/>
            <w:tcBorders>
              <w:top w:val="single" w:color="auto" w:sz="4" w:space="0"/>
              <w:bottom w:val="single" w:color="auto" w:sz="4" w:space="0"/>
            </w:tcBorders>
            <w:shd w:val="clear"/>
            <w:vAlign w:val="center"/>
          </w:tcPr>
          <w:p w14:paraId="7D0F5801">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Requirement Description</w:t>
            </w:r>
          </w:p>
        </w:tc>
      </w:tr>
      <w:tr w14:paraId="33641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5" w:hRule="atLeast"/>
        </w:trPr>
        <w:tc>
          <w:tcPr>
            <w:tcW w:w="3777" w:type="dxa"/>
            <w:tcBorders>
              <w:top w:val="single" w:color="auto" w:sz="4" w:space="0"/>
            </w:tcBorders>
            <w:shd w:val="clear"/>
            <w:vAlign w:val="center"/>
          </w:tcPr>
          <w:p w14:paraId="1A72C14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Syllabus Upload</w:t>
            </w:r>
          </w:p>
        </w:tc>
        <w:tc>
          <w:tcPr>
            <w:tcW w:w="4242" w:type="dxa"/>
            <w:tcBorders>
              <w:top w:val="single" w:color="auto" w:sz="4" w:space="0"/>
            </w:tcBorders>
            <w:shd w:val="clear"/>
            <w:vAlign w:val="center"/>
          </w:tcPr>
          <w:p w14:paraId="2C26CDC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allows faculty to upload syllabi in digital format.</w:t>
            </w:r>
          </w:p>
        </w:tc>
      </w:tr>
      <w:tr w14:paraId="32A6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75" w:hRule="atLeast"/>
        </w:trPr>
        <w:tc>
          <w:tcPr>
            <w:tcW w:w="3777" w:type="dxa"/>
            <w:shd w:val="clear"/>
            <w:vAlign w:val="center"/>
          </w:tcPr>
          <w:p w14:paraId="388CC93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Status Tracking</w:t>
            </w:r>
          </w:p>
        </w:tc>
        <w:tc>
          <w:tcPr>
            <w:tcW w:w="4242" w:type="dxa"/>
            <w:shd w:val="clear"/>
            <w:vAlign w:val="center"/>
          </w:tcPr>
          <w:p w14:paraId="30FE7BC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provides real-time tracking of syllabus status across the approval chain.</w:t>
            </w:r>
          </w:p>
        </w:tc>
      </w:tr>
      <w:tr w14:paraId="5DCFD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515" w:hRule="atLeast"/>
        </w:trPr>
        <w:tc>
          <w:tcPr>
            <w:tcW w:w="3777" w:type="dxa"/>
            <w:shd w:val="clear"/>
            <w:vAlign w:val="center"/>
          </w:tcPr>
          <w:p w14:paraId="26BF5EB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Syllabus Review</w:t>
            </w:r>
          </w:p>
        </w:tc>
        <w:tc>
          <w:tcPr>
            <w:tcW w:w="4242" w:type="dxa"/>
            <w:shd w:val="clear"/>
            <w:vAlign w:val="center"/>
          </w:tcPr>
          <w:p w14:paraId="65A24E1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enables senior faculty, department heads, deans, CITL Director, and VPAA to review and approve or reject syllabi.</w:t>
            </w:r>
          </w:p>
        </w:tc>
      </w:tr>
      <w:tr w14:paraId="64B55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5" w:hRule="atLeast"/>
        </w:trPr>
        <w:tc>
          <w:tcPr>
            <w:tcW w:w="3777" w:type="dxa"/>
            <w:shd w:val="clear"/>
            <w:vAlign w:val="center"/>
          </w:tcPr>
          <w:p w14:paraId="42362F1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Digital Signing</w:t>
            </w:r>
          </w:p>
        </w:tc>
        <w:tc>
          <w:tcPr>
            <w:tcW w:w="4242" w:type="dxa"/>
            <w:shd w:val="clear"/>
            <w:vAlign w:val="center"/>
          </w:tcPr>
          <w:p w14:paraId="01DDE7B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allows authorized users to digitally sign approved syllabi.</w:t>
            </w:r>
          </w:p>
        </w:tc>
      </w:tr>
      <w:tr w14:paraId="04620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3777" w:type="dxa"/>
            <w:shd w:val="clear"/>
            <w:vAlign w:val="center"/>
          </w:tcPr>
          <w:p w14:paraId="7FD431E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AI Compliance Checking</w:t>
            </w:r>
          </w:p>
        </w:tc>
        <w:tc>
          <w:tcPr>
            <w:tcW w:w="4242" w:type="dxa"/>
            <w:shd w:val="clear"/>
            <w:vAlign w:val="center"/>
          </w:tcPr>
          <w:p w14:paraId="07A5CE5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uses an AI/NLP compliance checker to verify required information such as course details, learning outcomes, and standard sections.</w:t>
            </w:r>
          </w:p>
        </w:tc>
      </w:tr>
      <w:tr w14:paraId="494A8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5" w:hRule="atLeast"/>
        </w:trPr>
        <w:tc>
          <w:tcPr>
            <w:tcW w:w="3777" w:type="dxa"/>
            <w:shd w:val="clear"/>
            <w:vAlign w:val="center"/>
          </w:tcPr>
          <w:p w14:paraId="017DB3E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Report Generation</w:t>
            </w:r>
          </w:p>
        </w:tc>
        <w:tc>
          <w:tcPr>
            <w:tcW w:w="4242" w:type="dxa"/>
            <w:shd w:val="clear"/>
            <w:vAlign w:val="center"/>
          </w:tcPr>
          <w:p w14:paraId="0CB4277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generates compliance reports per department and per semester.</w:t>
            </w:r>
          </w:p>
        </w:tc>
      </w:tr>
      <w:tr w14:paraId="3B1AA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50" w:hRule="atLeast"/>
        </w:trPr>
        <w:tc>
          <w:tcPr>
            <w:tcW w:w="3777" w:type="dxa"/>
            <w:shd w:val="clear"/>
            <w:vAlign w:val="center"/>
          </w:tcPr>
          <w:p w14:paraId="43935E2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Dashboard</w:t>
            </w:r>
          </w:p>
        </w:tc>
        <w:tc>
          <w:tcPr>
            <w:tcW w:w="4242" w:type="dxa"/>
            <w:shd w:val="clear"/>
            <w:vAlign w:val="center"/>
          </w:tcPr>
          <w:p w14:paraId="0AC1765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provides a centralized dashboard displaying pending approvals, completed submissions, and overall activity.</w:t>
            </w:r>
          </w:p>
        </w:tc>
      </w:tr>
      <w:tr w14:paraId="5BF14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0" w:hRule="atLeast"/>
        </w:trPr>
        <w:tc>
          <w:tcPr>
            <w:tcW w:w="3777" w:type="dxa"/>
            <w:shd w:val="clear"/>
            <w:vAlign w:val="center"/>
          </w:tcPr>
          <w:p w14:paraId="5D30B23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Notifications</w:t>
            </w:r>
          </w:p>
        </w:tc>
        <w:tc>
          <w:tcPr>
            <w:tcW w:w="4242" w:type="dxa"/>
            <w:shd w:val="clear"/>
            <w:vAlign w:val="center"/>
          </w:tcPr>
          <w:p w14:paraId="1DF21DB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sends alerts and updates to faculty and administrators regarding submission status.</w:t>
            </w:r>
          </w:p>
        </w:tc>
      </w:tr>
      <w:tr w14:paraId="186B5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5" w:hRule="atLeast"/>
        </w:trPr>
        <w:tc>
          <w:tcPr>
            <w:tcW w:w="3777" w:type="dxa"/>
            <w:tcBorders>
              <w:bottom w:val="single" w:color="auto" w:sz="4" w:space="0"/>
            </w:tcBorders>
            <w:shd w:val="clear"/>
            <w:vAlign w:val="center"/>
          </w:tcPr>
          <w:p w14:paraId="4BF0361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Data Export</w:t>
            </w:r>
          </w:p>
        </w:tc>
        <w:tc>
          <w:tcPr>
            <w:tcW w:w="4242" w:type="dxa"/>
            <w:tcBorders>
              <w:bottom w:val="single" w:color="auto" w:sz="4" w:space="0"/>
            </w:tcBorders>
            <w:shd w:val="clear"/>
            <w:vAlign w:val="center"/>
          </w:tcPr>
          <w:p w14:paraId="283A125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bdr w:val="none" w:color="auto" w:sz="0" w:space="0"/>
                <w:lang w:val="en-US" w:eastAsia="zh-CN" w:bidi="ar"/>
              </w:rPr>
              <w:t>The system allows administrators to export compliance and approval data for accreditation purposes.</w:t>
            </w:r>
          </w:p>
        </w:tc>
      </w:tr>
    </w:tbl>
    <w:p w14:paraId="54CEC9FC">
      <w:pPr>
        <w:rPr>
          <w:rFonts w:hint="default"/>
          <w:lang w:val="en-PH"/>
        </w:rPr>
      </w:pPr>
      <w:r>
        <w:rPr>
          <w:rFonts w:hint="default" w:ascii="Times New Roman" w:hAnsi="Times New Roman" w:eastAsia="SimSun" w:cs="Times New Roman"/>
          <w:b/>
          <w:bCs/>
          <w:i w:val="0"/>
          <w:iCs w:val="0"/>
          <w:color w:val="000000"/>
          <w:kern w:val="0"/>
          <w:sz w:val="24"/>
          <w:szCs w:val="24"/>
          <w:u w:val="none"/>
          <w:lang w:val="en-US" w:eastAsia="zh-CN" w:bidi="ar"/>
        </w:rPr>
        <w:t xml:space="preserve">Functional </w:t>
      </w:r>
      <w:r>
        <w:rPr>
          <w:rFonts w:hint="default" w:ascii="Times New Roman" w:hAnsi="Times New Roman" w:eastAsia="SimSun" w:cs="Times New Roman"/>
          <w:b/>
          <w:bCs/>
          <w:i w:val="0"/>
          <w:iCs w:val="0"/>
          <w:color w:val="000000"/>
          <w:kern w:val="0"/>
          <w:sz w:val="24"/>
          <w:szCs w:val="24"/>
          <w:u w:val="none"/>
          <w:lang w:val="en-PH" w:eastAsia="zh-CN" w:bidi="ar"/>
        </w:rPr>
        <w:t xml:space="preserve">Requirements </w:t>
      </w:r>
    </w:p>
    <w:p w14:paraId="23845399">
      <w:pPr>
        <w:spacing w:line="480" w:lineRule="auto"/>
        <w:ind w:firstLine="720" w:firstLineChars="0"/>
        <w:jc w:val="both"/>
        <w:rPr>
          <w:rFonts w:hint="default" w:ascii="Times New Roman" w:hAnsi="Times New Roman" w:cs="Times New Roman"/>
          <w:sz w:val="24"/>
          <w:szCs w:val="24"/>
        </w:rPr>
      </w:pPr>
    </w:p>
    <w:p w14:paraId="60EEC8E3">
      <w:pPr>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table shows the functional requirements that define the core operations of the Web-Based Syllabus Tracking and Digital Signing System with AI Compliance Checking. These functions cover the entire workflow, starting with syllabus upload by faculty and real-time status tracking throughout the approval chain. It ensures that senior faculty, department heads, deans, the CITL Director, and the VPAA can review, approve, or reject submissions as needed, with digital signing to formalize approvals. To support compliance, the system integrates an AI/NLP checker that verifies required details such as course information and learning outcomes. Additional features like report generation, dashboards, notifications, and data export provide transparency, convenience, and support for accreditation needs, making the system efficient and reliable for all stakeholders involved.</w:t>
      </w:r>
    </w:p>
    <w:p w14:paraId="1D353C78">
      <w:bookmarkStart w:id="0" w:name="_GoBack"/>
      <w:bookmarkEnd w:id="0"/>
    </w:p>
    <w:p w14:paraId="13685636"/>
    <w:p w14:paraId="088FED20">
      <w:pPr>
        <w:rPr>
          <w:rFonts w:hint="default"/>
          <w:lang w:val="en-PH"/>
        </w:rPr>
      </w:pPr>
      <w:r>
        <w:rPr>
          <w:rFonts w:hint="default" w:ascii="Times New Roman" w:hAnsi="Times New Roman" w:cs="Times New Roman"/>
          <w:b/>
          <w:bCs/>
          <w:sz w:val="24"/>
          <w:szCs w:val="24"/>
          <w:lang w:val="en-US" w:eastAsia="zh-CN"/>
        </w:rPr>
        <w:t xml:space="preserve">Non-Functional </w:t>
      </w:r>
      <w:r>
        <w:rPr>
          <w:rFonts w:hint="default" w:ascii="Times New Roman" w:hAnsi="Times New Roman" w:cs="Times New Roman"/>
          <w:b/>
          <w:bCs/>
          <w:sz w:val="24"/>
          <w:szCs w:val="24"/>
          <w:lang w:val="en-PH" w:eastAsia="zh-CN"/>
        </w:rPr>
        <w:t>Requirements</w:t>
      </w:r>
    </w:p>
    <w:p w14:paraId="1A47D5C8"/>
    <w:tbl>
      <w:tblPr>
        <w:tblStyle w:val="3"/>
        <w:tblpPr w:leftFromText="180" w:rightFromText="180" w:vertAnchor="text" w:horzAnchor="page" w:tblpX="1900" w:tblpY="232"/>
        <w:tblOverlap w:val="never"/>
        <w:tblW w:w="8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57"/>
        <w:gridCol w:w="4282"/>
      </w:tblGrid>
      <w:tr w14:paraId="71F0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857" w:type="dxa"/>
            <w:tcBorders>
              <w:top w:val="single" w:color="auto" w:sz="4" w:space="0"/>
              <w:bottom w:val="single" w:color="auto" w:sz="4" w:space="0"/>
            </w:tcBorders>
            <w:shd w:val="clear" w:color="auto" w:fill="auto"/>
            <w:vAlign w:val="center"/>
          </w:tcPr>
          <w:p w14:paraId="60BD8712">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Non-Functional </w:t>
            </w:r>
          </w:p>
        </w:tc>
        <w:tc>
          <w:tcPr>
            <w:tcW w:w="4282" w:type="dxa"/>
            <w:tcBorders>
              <w:top w:val="single" w:color="auto" w:sz="4" w:space="0"/>
              <w:bottom w:val="single" w:color="auto" w:sz="4" w:space="0"/>
            </w:tcBorders>
            <w:shd w:val="clear" w:color="auto" w:fill="auto"/>
            <w:vAlign w:val="center"/>
          </w:tcPr>
          <w:p w14:paraId="568CCFF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Requirement Description</w:t>
            </w:r>
          </w:p>
        </w:tc>
      </w:tr>
      <w:tr w14:paraId="442FF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7" w:hRule="atLeast"/>
        </w:trPr>
        <w:tc>
          <w:tcPr>
            <w:tcW w:w="3857" w:type="dxa"/>
            <w:tcBorders>
              <w:top w:val="single" w:color="auto" w:sz="4" w:space="0"/>
            </w:tcBorders>
            <w:shd w:val="clear" w:color="auto" w:fill="auto"/>
            <w:vAlign w:val="center"/>
          </w:tcPr>
          <w:p w14:paraId="579BBFF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Performance</w:t>
            </w:r>
          </w:p>
        </w:tc>
        <w:tc>
          <w:tcPr>
            <w:tcW w:w="4282" w:type="dxa"/>
            <w:tcBorders>
              <w:top w:val="single" w:color="auto" w:sz="4" w:space="0"/>
            </w:tcBorders>
            <w:shd w:val="clear" w:color="auto" w:fill="auto"/>
            <w:vAlign w:val="center"/>
          </w:tcPr>
          <w:p w14:paraId="4B15FF6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supports at least 100 concurrent users without noticeable performance degradation.</w:t>
            </w:r>
          </w:p>
        </w:tc>
      </w:tr>
      <w:tr w14:paraId="43773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2" w:hRule="atLeast"/>
        </w:trPr>
        <w:tc>
          <w:tcPr>
            <w:tcW w:w="3857" w:type="dxa"/>
            <w:shd w:val="clear" w:color="auto" w:fill="auto"/>
            <w:vAlign w:val="center"/>
          </w:tcPr>
          <w:p w14:paraId="6A58099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Response Time</w:t>
            </w:r>
          </w:p>
        </w:tc>
        <w:tc>
          <w:tcPr>
            <w:tcW w:w="4282" w:type="dxa"/>
            <w:shd w:val="clear" w:color="auto" w:fill="auto"/>
            <w:vAlign w:val="center"/>
          </w:tcPr>
          <w:p w14:paraId="45FC30F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responds to user actions within 3 seconds under normal operating conditions.</w:t>
            </w:r>
          </w:p>
        </w:tc>
      </w:tr>
      <w:tr w14:paraId="4E60C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2" w:hRule="atLeast"/>
        </w:trPr>
        <w:tc>
          <w:tcPr>
            <w:tcW w:w="3857" w:type="dxa"/>
            <w:shd w:val="clear" w:color="auto" w:fill="auto"/>
            <w:vAlign w:val="center"/>
          </w:tcPr>
          <w:p w14:paraId="0C45969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Reliability</w:t>
            </w:r>
          </w:p>
        </w:tc>
        <w:tc>
          <w:tcPr>
            <w:tcW w:w="4282" w:type="dxa"/>
            <w:shd w:val="clear" w:color="auto" w:fill="auto"/>
            <w:vAlign w:val="center"/>
          </w:tcPr>
          <w:p w14:paraId="336FB67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provides backup and recovery features to protect against data loss.</w:t>
            </w:r>
          </w:p>
        </w:tc>
      </w:tr>
      <w:tr w14:paraId="7FFB3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2" w:hRule="atLeast"/>
        </w:trPr>
        <w:tc>
          <w:tcPr>
            <w:tcW w:w="3857" w:type="dxa"/>
            <w:shd w:val="clear" w:color="auto" w:fill="auto"/>
            <w:vAlign w:val="center"/>
          </w:tcPr>
          <w:p w14:paraId="7184C75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Compliance</w:t>
            </w:r>
          </w:p>
        </w:tc>
        <w:tc>
          <w:tcPr>
            <w:tcW w:w="4282" w:type="dxa"/>
            <w:shd w:val="clear" w:color="auto" w:fill="auto"/>
            <w:vAlign w:val="center"/>
          </w:tcPr>
          <w:p w14:paraId="51896DD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adheres to institutional IT policies and CHED requirements on digital records.</w:t>
            </w:r>
          </w:p>
        </w:tc>
      </w:tr>
      <w:tr w14:paraId="5DA02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6" w:hRule="atLeast"/>
        </w:trPr>
        <w:tc>
          <w:tcPr>
            <w:tcW w:w="3857" w:type="dxa"/>
            <w:shd w:val="clear" w:color="auto" w:fill="auto"/>
            <w:vAlign w:val="center"/>
          </w:tcPr>
          <w:p w14:paraId="26F6013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Usability</w:t>
            </w:r>
          </w:p>
        </w:tc>
        <w:tc>
          <w:tcPr>
            <w:tcW w:w="4282" w:type="dxa"/>
            <w:shd w:val="clear" w:color="auto" w:fill="auto"/>
            <w:vAlign w:val="center"/>
          </w:tcPr>
          <w:p w14:paraId="7FB9A0B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has a responsive interface that works on both desktop and mobile devices.</w:t>
            </w:r>
          </w:p>
        </w:tc>
      </w:tr>
      <w:tr w14:paraId="6B60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0" w:hRule="atLeast"/>
        </w:trPr>
        <w:tc>
          <w:tcPr>
            <w:tcW w:w="3857" w:type="dxa"/>
            <w:tcBorders>
              <w:bottom w:val="single" w:color="auto" w:sz="4" w:space="0"/>
            </w:tcBorders>
            <w:shd w:val="clear" w:color="auto" w:fill="auto"/>
            <w:vAlign w:val="center"/>
          </w:tcPr>
          <w:p w14:paraId="7690A83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Availability</w:t>
            </w:r>
          </w:p>
        </w:tc>
        <w:tc>
          <w:tcPr>
            <w:tcW w:w="4282" w:type="dxa"/>
            <w:tcBorders>
              <w:bottom w:val="single" w:color="auto" w:sz="4" w:space="0"/>
            </w:tcBorders>
            <w:shd w:val="clear" w:color="auto" w:fill="auto"/>
            <w:vAlign w:val="center"/>
          </w:tcPr>
          <w:p w14:paraId="43A2C99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maintains at least 99% uptime during deployment, excluding scheduled maintenance.</w:t>
            </w:r>
          </w:p>
        </w:tc>
      </w:tr>
    </w:tbl>
    <w:p w14:paraId="4EC2AEE9"/>
    <w:p w14:paraId="3EDCF1CE">
      <w:pPr>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table shows the non-functional requirements that ensure the system will not only function correctly but also deliver a secure, reliable, and user-friendly experience. Security is addressed through role-based access and data encryption, while accessibility is ensured by making the system available on common web browsers. Performance and response time are defined so the system can support multiple users at once without slowing down. Reliability is maintained through backup and recovery features, and compliance ensures alignment with institutional policies and CHED standards. Usability is prioritized with a responsive interface for both desktop and mobile users, while auditability provides transparency by logging user actions. Finally, availability sets a standard for system uptime to guarantee that the platform remains dependable for academic use.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7A4051"/>
    <w:rsid w:val="647A4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2025-09-22T11:11:00Z</dcterms:created>
  <dc:creator>LOUIE JAY LABASTIDA</dc:creator>
  <cp:lastModifiedBy>LOUIE JAY LABASTIDA</cp:lastModifiedBy>
  <dcterms:modified xsi:type="dcterms:W3CDTF">2025-09-22T11:19:52Z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8C5277925C1843CA8F92F0B2244F69B4_11</vt:lpwstr>
  </property>
</Properties>
</file>