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598400"/>
                <wp:effectExtent l="0" t="0" r="0" b="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824196" name="ЦЭС Россети Урал ЧЭ письмо_202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7560000" cy="159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page;mso-position-horizontal:left;mso-position-vertical-relative:page;mso-position-vertical:top;width:595.28pt;height:125.86pt;mso-wrap-distance-left:9.00pt;mso-wrap-distance-top:0.00pt;mso-wrap-distance-right:9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/>
      <w:r/>
    </w:p>
    <w:p>
      <w:pPr>
        <w:pStyle w:val="642"/>
      </w:pPr>
      <w:r/>
      <w:r/>
    </w:p>
    <w:p>
      <w:pPr>
        <w:pStyle w:val="642"/>
      </w:pPr>
      <w:r/>
      <w:r/>
    </w:p>
    <w:p>
      <w:pPr>
        <w:pStyle w:val="642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2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642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2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2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</w:t>
            </w:r>
            <w:r>
              <w:rPr>
                <w:sz w:val="28"/>
                <w:szCs w:val="28"/>
              </w:rPr>
              <w:t xml:space="preserve">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2"/>
      </w:pPr>
      <w:r/>
      <w:r/>
    </w:p>
    <w:p>
      <w:pPr>
        <w:pStyle w:val="642"/>
      </w:pPr>
      <w:r/>
      <w:r/>
    </w:p>
    <w:p>
      <w:pPr>
        <w:pStyle w:val="6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</w:t>
      </w:r>
      <w:r>
        <w:rPr>
          <w:sz w:val="24"/>
          <w:szCs w:val="24"/>
          <w:lang w:val="ru-RU"/>
        </w:rPr>
        <w:t xml:space="preserve">б установлении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</w:t>
      </w:r>
      <w:r>
        <w:rPr>
          <w:sz w:val="24"/>
          <w:szCs w:val="24"/>
          <w:lang w:val="ru-RU"/>
        </w:rPr>
        <w:t xml:space="preserve">плат</w:t>
      </w:r>
      <w:r>
        <w:rPr>
          <w:sz w:val="24"/>
          <w:szCs w:val="24"/>
          <w:lang w:val="ru-RU"/>
        </w:rPr>
        <w:t xml:space="preserve">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4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2"/>
      </w:pPr>
      <w:r/>
      <w:r/>
    </w:p>
    <w:p>
      <w:pPr>
        <w:pStyle w:val="642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</w:p>
    <w:p>
      <w:pPr>
        <w:pStyle w:val="642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 связи с наличием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вакантной должностью</w:t>
      </w:r>
      <w:r>
        <w:rPr>
          <w:sz w:val="28"/>
          <w:szCs w:val="28"/>
        </w:rPr>
        <w:t xml:space="preserve"> инженера 2 категории</w:t>
      </w:r>
      <w:r>
        <w:rPr>
          <w:sz w:val="28"/>
          <w:szCs w:val="28"/>
        </w:rPr>
        <w:t xml:space="preserve"> с 13.02.2026 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  <w:t xml:space="preserve">на работников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numPr>
          <w:ilvl w:val="0"/>
          <w:numId w:val="3"/>
        </w:numPr>
        <w:ind w:left="0"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инженера 1 категории </w:t>
      </w:r>
      <w:r>
        <w:rPr>
          <w:sz w:val="28"/>
          <w:szCs w:val="28"/>
        </w:rPr>
        <w:t xml:space="preserve">Отставнова Д.И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таб. № </w:t>
      </w:r>
      <w:r>
        <w:rPr>
          <w:sz w:val="28"/>
          <w:szCs w:val="28"/>
        </w:rPr>
        <w:t xml:space="preserve">45870</w:t>
      </w:r>
      <w:r>
        <w:rPr>
          <w:sz w:val="28"/>
          <w:szCs w:val="28"/>
        </w:rPr>
        <w:t xml:space="preserve">, с установлением доплаты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% за дополнительный объем работ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numPr>
          <w:ilvl w:val="0"/>
          <w:numId w:val="3"/>
        </w:numPr>
        <w:ind w:left="0"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ведущего </w:t>
      </w:r>
      <w:r>
        <w:rPr>
          <w:sz w:val="28"/>
          <w:szCs w:val="28"/>
        </w:rPr>
        <w:t xml:space="preserve">инженера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Чистякова И.В</w:t>
      </w:r>
      <w:r>
        <w:rPr>
          <w:sz w:val="28"/>
          <w:szCs w:val="28"/>
        </w:rPr>
        <w:t xml:space="preserve">., таб. № </w:t>
      </w:r>
      <w:r>
        <w:rPr>
          <w:sz w:val="28"/>
          <w:szCs w:val="28"/>
        </w:rPr>
        <w:t xml:space="preserve">41247</w:t>
      </w:r>
      <w:r>
        <w:rPr>
          <w:sz w:val="28"/>
          <w:szCs w:val="28"/>
        </w:rPr>
        <w:t xml:space="preserve">, с установлением доплаты 2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%</w:t>
      </w:r>
      <w:r>
        <w:rPr>
          <w:sz w:val="28"/>
          <w:szCs w:val="28"/>
        </w:rPr>
        <w:t xml:space="preserve"> за дополнительный объем работ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3"/>
        </w:numPr>
        <w:ind w:left="0" w:firstLine="357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мастера Ерушина А.Ю., таб. № 8123, </w:t>
      </w:r>
      <w:r>
        <w:rPr>
          <w:sz w:val="28"/>
          <w:szCs w:val="28"/>
        </w:rPr>
        <w:t xml:space="preserve">с установлением доплаты 2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%</w:t>
      </w:r>
      <w:r>
        <w:rPr>
          <w:sz w:val="28"/>
          <w:szCs w:val="28"/>
        </w:rPr>
        <w:t xml:space="preserve"> за дополнительный объем работ</w:t>
      </w:r>
      <w:r>
        <w:rPr>
          <w:sz w:val="28"/>
          <w:szCs w:val="28"/>
        </w:rPr>
        <w:t xml:space="preserve">;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numPr>
          <w:ilvl w:val="0"/>
          <w:numId w:val="3"/>
        </w:numPr>
        <w:ind w:left="0" w:firstLine="357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w:t xml:space="preserve">инженера 1 категории </w:t>
      </w:r>
      <w:r>
        <w:rPr>
          <w:sz w:val="28"/>
          <w:szCs w:val="28"/>
        </w:rPr>
        <w:t xml:space="preserve">Харлова А.А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таб. № 8128</w:t>
      </w:r>
      <w:r>
        <w:rPr>
          <w:sz w:val="28"/>
          <w:szCs w:val="28"/>
        </w:rPr>
        <w:t xml:space="preserve">, с установлением доплаты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% за дополнительный объем работ.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642"/>
        <w:contextualSpacing/>
        <w:ind w:firstLine="709"/>
        <w:jc w:val="both"/>
      </w:pPr>
      <w:r/>
      <w:r/>
    </w:p>
    <w:p>
      <w:pPr>
        <w:pStyle w:val="642"/>
        <w:contextualSpacing/>
        <w:ind w:firstLine="709"/>
        <w:jc w:val="both"/>
      </w:pPr>
      <w:r/>
      <w:r/>
    </w:p>
    <w:p>
      <w:pPr>
        <w:pStyle w:val="642"/>
        <w:ind w:firstLine="708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А.В. Бочкарев</w:t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4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3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4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2"/>
    <w:next w:val="642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2"/>
    <w:next w:val="642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2"/>
    <w:next w:val="642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2"/>
    <w:next w:val="642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2"/>
    <w:next w:val="64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2"/>
    <w:next w:val="64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2"/>
    <w:next w:val="64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2"/>
    <w:next w:val="64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2"/>
    <w:next w:val="64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2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2"/>
    <w:next w:val="64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2"/>
    <w:next w:val="64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2"/>
    <w:next w:val="64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2"/>
    <w:next w:val="64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2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2"/>
    <w:next w:val="642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2"/>
    <w:next w:val="64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2"/>
    <w:next w:val="64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2"/>
    <w:next w:val="64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2"/>
    <w:next w:val="64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2"/>
    <w:next w:val="64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2"/>
    <w:next w:val="64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2"/>
    <w:next w:val="64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2"/>
    <w:next w:val="64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2"/>
    <w:next w:val="64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2"/>
    <w:next w:val="642"/>
    <w:uiPriority w:val="99"/>
    <w:unhideWhenUsed/>
    <w:pPr>
      <w:spacing w:after="0" w:afterAutospacing="0"/>
    </w:pPr>
  </w:style>
  <w:style w:type="paragraph" w:styleId="642" w:default="1">
    <w:name w:val="Normal"/>
    <w:next w:val="642"/>
    <w:link w:val="642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3">
    <w:name w:val="Заголовок 1"/>
    <w:basedOn w:val="642"/>
    <w:next w:val="642"/>
    <w:link w:val="657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4">
    <w:name w:val="Заголовок 2"/>
    <w:basedOn w:val="642"/>
    <w:next w:val="642"/>
    <w:link w:val="658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5">
    <w:name w:val="Основной шрифт абзаца"/>
    <w:next w:val="645"/>
    <w:link w:val="642"/>
    <w:uiPriority w:val="1"/>
    <w:semiHidden/>
    <w:unhideWhenUsed/>
  </w:style>
  <w:style w:type="table" w:styleId="646">
    <w:name w:val="Обычная таблица"/>
    <w:next w:val="646"/>
    <w:link w:val="642"/>
    <w:uiPriority w:val="99"/>
    <w:semiHidden/>
    <w:unhideWhenUsed/>
    <w:qFormat/>
    <w:tblPr/>
  </w:style>
  <w:style w:type="numbering" w:styleId="647">
    <w:name w:val="Нет списка"/>
    <w:next w:val="647"/>
    <w:link w:val="642"/>
    <w:uiPriority w:val="99"/>
    <w:semiHidden/>
    <w:unhideWhenUsed/>
  </w:style>
  <w:style w:type="paragraph" w:styleId="648">
    <w:name w:val="Текст выноски"/>
    <w:basedOn w:val="642"/>
    <w:next w:val="648"/>
    <w:link w:val="649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9">
    <w:name w:val="Текст выноски Знак"/>
    <w:next w:val="649"/>
    <w:link w:val="648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50">
    <w:name w:val="Верхний колонтитул"/>
    <w:basedOn w:val="642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Верх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Нижний колонтитул"/>
    <w:basedOn w:val="642"/>
    <w:next w:val="652"/>
    <w:link w:val="653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3">
    <w:name w:val="Нижний колонтитул Знак"/>
    <w:next w:val="653"/>
    <w:link w:val="65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4">
    <w:name w:val="ОбычныйТекст"/>
    <w:basedOn w:val="642"/>
    <w:next w:val="654"/>
    <w:link w:val="642"/>
    <w:pPr>
      <w:spacing w:before="240"/>
    </w:pPr>
    <w:rPr>
      <w:rFonts w:ascii="Tahoma" w:hAnsi="Tahoma"/>
      <w:sz w:val="20"/>
      <w:szCs w:val="20"/>
    </w:rPr>
  </w:style>
  <w:style w:type="table" w:styleId="655">
    <w:name w:val="Сетка таблицы"/>
    <w:basedOn w:val="646"/>
    <w:next w:val="655"/>
    <w:link w:val="642"/>
    <w:rPr>
      <w:rFonts w:ascii="Times New Roman" w:hAnsi="Times New Roman" w:eastAsia="Times New Roman"/>
    </w:rPr>
    <w:tblPr/>
  </w:style>
  <w:style w:type="character" w:styleId="656">
    <w:name w:val="defaultlabelstyle1"/>
    <w:next w:val="656"/>
    <w:link w:val="642"/>
    <w:rPr>
      <w:rFonts w:ascii="Verdana" w:hAnsi="Verdana"/>
      <w:color w:val="333333"/>
    </w:rPr>
  </w:style>
  <w:style w:type="character" w:styleId="657">
    <w:name w:val="Заголовок 1 Знак"/>
    <w:next w:val="657"/>
    <w:link w:val="643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8">
    <w:name w:val="Заголовок 2 Знак"/>
    <w:next w:val="658"/>
    <w:link w:val="644"/>
    <w:rPr>
      <w:rFonts w:ascii="Times New Roman" w:hAnsi="Times New Roman" w:eastAsia="Times New Roman"/>
      <w:sz w:val="28"/>
      <w:lang w:eastAsia="ar-SA"/>
    </w:rPr>
  </w:style>
  <w:style w:type="paragraph" w:styleId="659">
    <w:name w:val="Абзац списка"/>
    <w:basedOn w:val="642"/>
    <w:next w:val="659"/>
    <w:link w:val="642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30" w:default="1">
    <w:name w:val="Default Paragraph Font"/>
    <w:uiPriority w:val="1"/>
    <w:semiHidden/>
    <w:unhideWhenUsed/>
  </w:style>
  <w:style w:type="numbering" w:styleId="931" w:default="1">
    <w:name w:val="No List"/>
    <w:uiPriority w:val="99"/>
    <w:semiHidden/>
    <w:unhideWhenUsed/>
  </w:style>
  <w:style w:type="table" w:styleId="93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Vernergold-EYU</cp:lastModifiedBy>
  <cp:revision>6</cp:revision>
  <dcterms:created xsi:type="dcterms:W3CDTF">2024-10-11T09:25:00Z</dcterms:created>
  <dcterms:modified xsi:type="dcterms:W3CDTF">2026-01-13T08:46:14Z</dcterms:modified>
  <cp:version>1048576</cp:version>
</cp:coreProperties>
</file>