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40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  <wp:simplePos x="0" y="0"/>
                <wp:positionH relativeFrom="page">
                  <wp:posOffset>-9524</wp:posOffset>
                </wp:positionH>
                <wp:positionV relativeFrom="paragraph">
                  <wp:posOffset>-720089</wp:posOffset>
                </wp:positionV>
                <wp:extent cx="7520305" cy="1591310"/>
                <wp:effectExtent l="0" t="0" r="0" b="0"/>
                <wp:wrapNone/>
                <wp:docPr id="1" name="_x0000_s10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7520305" cy="159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-524288;o:allowoverlap:true;o:allowincell:true;mso-position-horizontal-relative:page;margin-left:-0.75pt;mso-position-horizontal:absolute;mso-position-vertical-relative:text;margin-top:-56.70pt;mso-position-vertical:absolute;width:592.15pt;height:125.30pt;mso-wrap-distance-left:9.00pt;mso-wrap-distance-top:0.00pt;mso-wrap-distance-right:9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/>
    </w:p>
    <w:p>
      <w:pPr>
        <w:pStyle w:val="640"/>
      </w:pPr>
      <w:r/>
      <w:r/>
    </w:p>
    <w:p>
      <w:pPr>
        <w:pStyle w:val="64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left="4962"/>
        <w:jc w:val="both"/>
        <w:rPr>
          <w:b/>
          <w:color w:val="005999"/>
          <w:sz w:val="30"/>
          <w:szCs w:val="30"/>
        </w:rPr>
      </w:pPr>
      <w:r>
        <w:rPr>
          <w:b/>
          <w:color w:val="005999"/>
          <w:sz w:val="30"/>
          <w:szCs w:val="30"/>
        </w:rPr>
      </w:r>
      <w:r>
        <w:rPr>
          <w:b/>
          <w:color w:val="005999"/>
          <w:sz w:val="30"/>
          <w:szCs w:val="30"/>
        </w:rPr>
      </w:r>
    </w:p>
    <w:p>
      <w:pPr>
        <w:pStyle w:val="640"/>
        <w:ind w:left="4962"/>
        <w:jc w:val="both"/>
      </w:pPr>
      <w:r>
        <w:rPr>
          <w:b/>
          <w:color w:val="005999"/>
          <w:sz w:val="30"/>
          <w:szCs w:val="30"/>
        </w:rPr>
        <w:t xml:space="preserve">Служба диагностики и защиты от перенапряжения</w:t>
      </w:r>
      <w:r/>
    </w:p>
    <w:p>
      <w:pPr>
        <w:pStyle w:val="640"/>
      </w:pPr>
      <w:r/>
      <w:r/>
    </w:p>
    <w:tbl>
      <w:tblPr>
        <w:tblW w:w="0" w:type="auto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>
        <w:tblPrEx/>
        <w:trPr>
          <w:trHeight w:val="167"/>
        </w:trPr>
        <w:tc>
          <w:tcPr>
            <w:gridSpan w:val="2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749" w:type="dxa"/>
            <w:vAlign w:val="bottom"/>
            <w:textDirection w:val="lrTb"/>
            <w:noWrap w:val="false"/>
          </w:tcPr>
          <w:p>
            <w:pPr>
              <w:pStyle w:val="640"/>
              <w:jc w:val="center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ind w:left="-288" w:firstLine="288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restart"/>
            <w:textDirection w:val="lrTb"/>
            <w:noWrap w:val="false"/>
          </w:tcPr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</w:t>
            </w:r>
            <w:r>
              <w:rPr>
                <w:sz w:val="28"/>
                <w:szCs w:val="28"/>
              </w:rPr>
              <w:t xml:space="preserve">иректор</w:t>
            </w:r>
            <w:r>
              <w:rPr>
                <w:sz w:val="28"/>
                <w:szCs w:val="28"/>
              </w:rPr>
              <w:t xml:space="preserve">у</w:t>
            </w:r>
            <w:r>
              <w:rPr>
                <w:sz w:val="28"/>
                <w:szCs w:val="28"/>
              </w:rPr>
              <w:t xml:space="preserve"> ПО «Центральные 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электрические сети» филиала </w:t>
            </w:r>
            <w:r>
              <w:rPr>
                <w:sz w:val="28"/>
                <w:szCs w:val="28"/>
              </w:rPr>
              <w:t xml:space="preserve">ПАО «Россети</w:t>
            </w:r>
            <w:r>
              <w:rPr>
                <w:sz w:val="28"/>
                <w:szCs w:val="28"/>
              </w:rPr>
              <w:t xml:space="preserve"> Урал»- «Челябэнерго»</w:t>
            </w:r>
            <w:r>
              <w:rPr>
                <w:sz w:val="28"/>
                <w:szCs w:val="28"/>
              </w:rPr>
            </w:r>
          </w:p>
          <w:p>
            <w:pPr>
              <w:pStyle w:val="640"/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А.Б. Денисову</w: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</w:tc>
      </w:tr>
      <w:tr>
        <w:tblPrEx/>
        <w:trPr>
          <w:trHeight w:val="168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828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921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19" w:type="dxa"/>
            <w:vAlign w:val="bottom"/>
            <w:textDirection w:val="lrTb"/>
            <w:noWrap w:val="false"/>
          </w:tcPr>
          <w:p>
            <w:pPr>
              <w:pStyle w:val="640"/>
              <w:rPr>
                <w:rFonts w:ascii="Micra" w:hAnsi="Micra" w:cs="Arial"/>
                <w:sz w:val="14"/>
                <w:szCs w:val="14"/>
              </w:rPr>
            </w:pPr>
            <w:r>
              <w:rPr>
                <w:rFonts w:ascii="Micra" w:hAnsi="Micra" w:cs="Arial"/>
                <w:sz w:val="14"/>
                <w:szCs w:val="14"/>
              </w:rPr>
            </w:r>
            <w:r>
              <w:rPr>
                <w:rFonts w:ascii="Micra" w:hAnsi="Micra" w:cs="Arial"/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1674" w:type="dxa"/>
            <w:vAlign w:val="bottom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  <w:tr>
        <w:tblPrEx/>
        <w:trPr>
          <w:trHeight w:val="354"/>
        </w:trPr>
        <w:tc>
          <w:tcPr>
            <w:gridSpan w:val="4"/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3942" w:type="dxa"/>
            <w:vAlign w:val="top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5725" w:type="dxa"/>
            <w:vAlign w:val="top"/>
            <w:vMerge w:val="continue"/>
            <w:textDirection w:val="lrTb"/>
            <w:noWrap w:val="false"/>
          </w:tcPr>
          <w:p>
            <w:pPr>
              <w:pStyle w:val="64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  <w:r>
              <w:rPr>
                <w:sz w:val="14"/>
                <w:szCs w:val="14"/>
              </w:rPr>
            </w:r>
          </w:p>
        </w:tc>
      </w:tr>
    </w:tbl>
    <w:p>
      <w:pPr>
        <w:pStyle w:val="640"/>
      </w:pPr>
      <w:r/>
      <w:r/>
    </w:p>
    <w:p>
      <w:pPr>
        <w:pStyle w:val="640"/>
      </w:pPr>
      <w:r/>
      <w:r/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возложении обязанностей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установлению доплат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42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40"/>
      </w:pPr>
      <w:r/>
      <w:r/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  <w:t xml:space="preserve">Уважаемый </w:t>
      </w:r>
      <w:r>
        <w:rPr>
          <w:sz w:val="28"/>
          <w:szCs w:val="28"/>
        </w:rPr>
        <w:t xml:space="preserve">Александр Борисович</w:t>
      </w:r>
      <w:r>
        <w:rPr>
          <w:sz w:val="28"/>
          <w:szCs w:val="28"/>
        </w:rPr>
        <w:t xml:space="preserve">!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tabs>
          <w:tab w:val="left" w:pos="3157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ind w:firstLine="851"/>
        <w:jc w:val="both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На пер</w:t>
      </w:r>
      <w:r>
        <w:rPr>
          <w:sz w:val="28"/>
          <w:szCs w:val="28"/>
        </w:rPr>
        <w:t xml:space="preserve">иод </w:t>
      </w:r>
      <w:r>
        <w:rPr>
          <w:sz w:val="28"/>
          <w:szCs w:val="28"/>
        </w:rPr>
        <w:t xml:space="preserve">очередного отпуска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17</w:t>
      </w:r>
      <w:r>
        <w:rPr>
          <w:sz w:val="28"/>
          <w:szCs w:val="28"/>
        </w:rPr>
        <w:t xml:space="preserve">.11</w:t>
      </w:r>
      <w:r>
        <w:rPr>
          <w:sz w:val="28"/>
          <w:szCs w:val="28"/>
        </w:rPr>
        <w:t xml:space="preserve">.202</w:t>
      </w:r>
      <w:r>
        <w:rPr>
          <w:sz w:val="28"/>
          <w:szCs w:val="28"/>
        </w:rPr>
        <w:t xml:space="preserve">5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23.11.2025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инженера 2 категории Бабкиной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Ю.В,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таб. №</w:t>
      </w:r>
      <w:r>
        <w:rPr>
          <w:sz w:val="28"/>
          <w:szCs w:val="28"/>
        </w:rPr>
        <w:t xml:space="preserve"> 2</w:t>
      </w:r>
      <w:r>
        <w:rPr>
          <w:sz w:val="28"/>
          <w:szCs w:val="28"/>
        </w:rPr>
        <w:t xml:space="preserve">2122</w:t>
      </w:r>
      <w:r>
        <w:rPr>
          <w:sz w:val="28"/>
          <w:szCs w:val="28"/>
        </w:rPr>
        <w:t xml:space="preserve">, прошу возложить обязанности 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 инженера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2 </w:t>
      </w:r>
      <w:r>
        <w:rPr>
          <w:sz w:val="28"/>
          <w:szCs w:val="28"/>
        </w:rPr>
        <w:t xml:space="preserve">категории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Алекперову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Ю.А.</w:t>
      </w:r>
      <w:r>
        <w:rPr>
          <w:sz w:val="28"/>
          <w:szCs w:val="28"/>
        </w:rPr>
        <w:t xml:space="preserve">, таб. № </w:t>
      </w:r>
      <w:r>
        <w:rPr>
          <w:sz w:val="28"/>
          <w:szCs w:val="28"/>
        </w:rPr>
        <w:t xml:space="preserve">46077</w:t>
      </w:r>
      <w:r>
        <w:rPr>
          <w:sz w:val="28"/>
          <w:szCs w:val="28"/>
        </w:rPr>
        <w:t xml:space="preserve">, с установлением доплаты 15</w:t>
      </w:r>
      <w:r>
        <w:rPr>
          <w:sz w:val="28"/>
          <w:szCs w:val="28"/>
        </w:rPr>
        <w:t xml:space="preserve">% за дополнительный объем работ</w:t>
      </w:r>
      <w:r>
        <w:rPr>
          <w:sz w:val="28"/>
          <w:szCs w:val="28"/>
        </w:rPr>
        <w:t xml:space="preserve">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Зам. н</w:t>
      </w:r>
      <w:r>
        <w:rPr>
          <w:sz w:val="28"/>
          <w:szCs w:val="28"/>
        </w:rPr>
        <w:t xml:space="preserve">ачальника</w:t>
      </w:r>
      <w:r>
        <w:rPr>
          <w:sz w:val="28"/>
          <w:szCs w:val="28"/>
        </w:rPr>
        <w:tab/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  <w:tab/>
        <w:tab/>
      </w:r>
      <w:r>
        <w:rPr>
          <w:sz w:val="28"/>
          <w:szCs w:val="28"/>
        </w:rPr>
        <w:t xml:space="preserve">А.Г. Бугреев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640"/>
        <w:tabs>
          <w:tab w:val="left" w:pos="3594" w:leader="none"/>
        </w:tabs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1134" w:right="567" w:bottom="1134" w:left="1701" w:header="709" w:footer="380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a">
    <w:panose1 w:val="02000603000000000000"/>
  </w:font>
  <w:font w:name="Symbol">
    <w:panose1 w:val="05050102010706020507"/>
  </w:font>
  <w:font w:name="Courier New">
    <w:panose1 w:val="02070309020205020404"/>
  </w:font>
  <w:font w:name="Wingdings">
    <w:panose1 w:val="05000000000000000000"/>
  </w:font>
  <w:font w:name="Verdana">
    <w:panose1 w:val="020B060403050404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2"/>
      <w:ind w:left="-1701"/>
      <w:spacing w:before="0"/>
      <w:rPr>
        <w:rFonts w:ascii="Micra" w:hAnsi="Micra"/>
        <w:b/>
        <w:bCs/>
        <w:color w:val="244061"/>
        <w:sz w:val="12"/>
        <w:szCs w:val="12"/>
      </w:rPr>
    </w:pPr>
    <w:r>
      <w:rPr>
        <w:rFonts w:ascii="Micra" w:hAnsi="Micra"/>
        <w:b/>
        <w:bCs/>
        <w:color w:val="244061"/>
        <w:sz w:val="12"/>
        <w:szCs w:val="12"/>
      </w:rPr>
    </w:r>
    <w:r>
      <w:rPr>
        <w:rFonts w:ascii="Micra" w:hAnsi="Micra"/>
        <w:b/>
        <w:bCs/>
        <w:color w:val="244061"/>
        <w:sz w:val="12"/>
        <w:szCs w:val="12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50"/>
      <w:ind w:left="-1701"/>
      <w:jc w:val="center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641"/>
      <w:isLgl w:val="false"/>
      <w:suff w:val="nothing"/>
      <w:lvlText w:val=""/>
      <w:lvlJc w:val="left"/>
      <w:pPr>
        <w:ind w:left="432" w:hanging="432"/>
        <w:tabs>
          <w:tab w:val="num" w:pos="0" w:leader="none"/>
        </w:tabs>
      </w:pPr>
    </w:lvl>
    <w:lvl w:ilvl="1">
      <w:start w:val="1"/>
      <w:numFmt w:val="decimal"/>
      <w:pStyle w:val="642"/>
      <w:isLgl w:val="false"/>
      <w:suff w:val="nothing"/>
      <w:lvlText w:val=""/>
      <w:lvlJc w:val="left"/>
      <w:pPr>
        <w:ind w:left="576" w:hanging="576"/>
        <w:tabs>
          <w:tab w:val="num" w:pos="0" w:leader="none"/>
        </w:tabs>
      </w:pPr>
    </w:lvl>
    <w:lvl w:ilvl="2">
      <w:start w:val="1"/>
      <w:numFmt w:val="decimal"/>
      <w:isLgl w:val="false"/>
      <w:suff w:val="nothing"/>
      <w:lvlText w:val=""/>
      <w:lvlJc w:val="left"/>
      <w:pPr>
        <w:ind w:left="720" w:hanging="720"/>
        <w:tabs>
          <w:tab w:val="num" w:pos="0" w:leader="none"/>
        </w:tabs>
      </w:pPr>
    </w:lvl>
    <w:lvl w:ilvl="3">
      <w:start w:val="1"/>
      <w:numFmt w:val="decimal"/>
      <w:isLgl w:val="false"/>
      <w:suff w:val="nothing"/>
      <w:lvlText w:val=""/>
      <w:lvlJc w:val="left"/>
      <w:pPr>
        <w:ind w:left="864" w:hanging="864"/>
        <w:tabs>
          <w:tab w:val="num" w:pos="0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ind w:left="1008" w:hanging="1008"/>
        <w:tabs>
          <w:tab w:val="num" w:pos="0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ind w:left="1152" w:hanging="1152"/>
        <w:tabs>
          <w:tab w:val="num" w:pos="0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ind w:left="1296" w:hanging="1296"/>
        <w:tabs>
          <w:tab w:val="num" w:pos="0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ind w:left="1440" w:hanging="1440"/>
        <w:tabs>
          <w:tab w:val="num" w:pos="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ind w:left="1584" w:hanging="1584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5747" w:hanging="360"/>
      </w:pPr>
      <w:rPr>
        <w:rFonts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7187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7907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9347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10067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40"/>
    <w:next w:val="640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40"/>
    <w:next w:val="640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40"/>
    <w:next w:val="640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40"/>
    <w:next w:val="640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40"/>
    <w:next w:val="640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40"/>
    <w:next w:val="640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40"/>
    <w:next w:val="64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40"/>
    <w:next w:val="64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40"/>
    <w:next w:val="64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4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40"/>
    <w:next w:val="640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40"/>
    <w:next w:val="64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40"/>
    <w:next w:val="64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40"/>
    <w:next w:val="64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4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40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40"/>
    <w:next w:val="640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4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4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40"/>
    <w:next w:val="64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40"/>
    <w:next w:val="64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40"/>
    <w:next w:val="64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40"/>
    <w:next w:val="64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40"/>
    <w:next w:val="64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40"/>
    <w:next w:val="64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40"/>
    <w:next w:val="64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40"/>
    <w:next w:val="64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40"/>
    <w:next w:val="64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40"/>
    <w:next w:val="640"/>
    <w:uiPriority w:val="99"/>
    <w:unhideWhenUsed/>
    <w:pPr>
      <w:spacing w:after="0" w:afterAutospacing="0"/>
    </w:pPr>
  </w:style>
  <w:style w:type="paragraph" w:styleId="640" w:default="1">
    <w:name w:val="Normal"/>
    <w:next w:val="640"/>
    <w:link w:val="640"/>
    <w:qFormat/>
    <w:rPr>
      <w:rFonts w:ascii="Times New Roman" w:hAnsi="Times New Roman" w:eastAsia="Times New Roman"/>
      <w:sz w:val="24"/>
      <w:szCs w:val="24"/>
      <w:lang w:val="ru-RU" w:eastAsia="ru-RU" w:bidi="ar-SA"/>
    </w:rPr>
  </w:style>
  <w:style w:type="paragraph" w:styleId="641">
    <w:name w:val="Заголовок 1"/>
    <w:basedOn w:val="640"/>
    <w:next w:val="640"/>
    <w:link w:val="655"/>
    <w:qFormat/>
    <w:pPr>
      <w:numPr>
        <w:ilvl w:val="0"/>
        <w:numId w:val="1"/>
      </w:numPr>
      <w:keepNext/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642">
    <w:name w:val="Заголовок 2"/>
    <w:basedOn w:val="640"/>
    <w:next w:val="640"/>
    <w:link w:val="656"/>
    <w:qFormat/>
    <w:pPr>
      <w:numPr>
        <w:ilvl w:val="1"/>
        <w:numId w:val="1"/>
      </w:numPr>
      <w:jc w:val="center"/>
      <w:keepNext/>
      <w:outlineLvl w:val="1"/>
    </w:pPr>
    <w:rPr>
      <w:sz w:val="28"/>
      <w:szCs w:val="20"/>
      <w:lang w:val="en-US" w:eastAsia="ar-SA"/>
    </w:rPr>
  </w:style>
  <w:style w:type="character" w:styleId="643">
    <w:name w:val="Основной шрифт абзаца"/>
    <w:next w:val="643"/>
    <w:link w:val="640"/>
    <w:uiPriority w:val="1"/>
    <w:semiHidden/>
    <w:unhideWhenUsed/>
  </w:style>
  <w:style w:type="table" w:styleId="644">
    <w:name w:val="Обычная таблица"/>
    <w:next w:val="644"/>
    <w:link w:val="640"/>
    <w:uiPriority w:val="99"/>
    <w:semiHidden/>
    <w:unhideWhenUsed/>
    <w:qFormat/>
    <w:tblPr/>
  </w:style>
  <w:style w:type="numbering" w:styleId="645">
    <w:name w:val="Нет списка"/>
    <w:next w:val="645"/>
    <w:link w:val="640"/>
    <w:uiPriority w:val="99"/>
    <w:semiHidden/>
    <w:unhideWhenUsed/>
  </w:style>
  <w:style w:type="paragraph" w:styleId="646">
    <w:name w:val="Текст выноски"/>
    <w:basedOn w:val="640"/>
    <w:next w:val="646"/>
    <w:link w:val="647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styleId="647">
    <w:name w:val="Текст выноски Знак"/>
    <w:next w:val="647"/>
    <w:link w:val="646"/>
    <w:uiPriority w:val="99"/>
    <w:semiHidden/>
    <w:rPr>
      <w:rFonts w:ascii="Tahoma" w:hAnsi="Tahoma" w:eastAsia="Times New Roman" w:cs="Tahoma"/>
      <w:sz w:val="16"/>
      <w:szCs w:val="16"/>
      <w:lang w:eastAsia="ru-RU"/>
    </w:rPr>
  </w:style>
  <w:style w:type="paragraph" w:styleId="648">
    <w:name w:val="Верхний колонтитул"/>
    <w:basedOn w:val="640"/>
    <w:next w:val="648"/>
    <w:link w:val="649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49">
    <w:name w:val="Верхний колонтитул Знак"/>
    <w:next w:val="649"/>
    <w:link w:val="648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0">
    <w:name w:val="Нижний колонтитул"/>
    <w:basedOn w:val="640"/>
    <w:next w:val="650"/>
    <w:link w:val="651"/>
    <w:uiPriority w:val="99"/>
    <w:unhideWhenUsed/>
    <w:pPr>
      <w:tabs>
        <w:tab w:val="center" w:pos="4677" w:leader="none"/>
        <w:tab w:val="right" w:pos="9355" w:leader="none"/>
      </w:tabs>
    </w:pPr>
    <w:rPr>
      <w:lang w:val="en-US"/>
    </w:rPr>
  </w:style>
  <w:style w:type="character" w:styleId="651">
    <w:name w:val="Нижний колонтитул Знак"/>
    <w:next w:val="651"/>
    <w:link w:val="650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52">
    <w:name w:val="ОбычныйТекст"/>
    <w:basedOn w:val="640"/>
    <w:next w:val="652"/>
    <w:link w:val="640"/>
    <w:pPr>
      <w:spacing w:before="240"/>
    </w:pPr>
    <w:rPr>
      <w:rFonts w:ascii="Tahoma" w:hAnsi="Tahoma"/>
      <w:sz w:val="20"/>
      <w:szCs w:val="20"/>
    </w:rPr>
  </w:style>
  <w:style w:type="table" w:styleId="653">
    <w:name w:val="Сетка таблицы"/>
    <w:basedOn w:val="644"/>
    <w:next w:val="653"/>
    <w:link w:val="640"/>
    <w:rPr>
      <w:rFonts w:ascii="Times New Roman" w:hAnsi="Times New Roman" w:eastAsia="Times New Roman"/>
    </w:rPr>
    <w:tblPr/>
  </w:style>
  <w:style w:type="character" w:styleId="654">
    <w:name w:val="defaultlabelstyle1"/>
    <w:next w:val="654"/>
    <w:link w:val="640"/>
    <w:rPr>
      <w:rFonts w:ascii="Verdana" w:hAnsi="Verdana"/>
      <w:color w:val="333333"/>
    </w:rPr>
  </w:style>
  <w:style w:type="character" w:styleId="655">
    <w:name w:val="Заголовок 1 Знак"/>
    <w:next w:val="655"/>
    <w:link w:val="641"/>
    <w:rPr>
      <w:rFonts w:ascii="Arial" w:hAnsi="Arial" w:eastAsia="Times New Roman" w:cs="Arial"/>
      <w:b/>
      <w:bCs/>
      <w:sz w:val="32"/>
      <w:szCs w:val="32"/>
      <w:lang w:eastAsia="ar-SA"/>
    </w:rPr>
  </w:style>
  <w:style w:type="character" w:styleId="656">
    <w:name w:val="Заголовок 2 Знак"/>
    <w:next w:val="656"/>
    <w:link w:val="642"/>
    <w:rPr>
      <w:rFonts w:ascii="Times New Roman" w:hAnsi="Times New Roman" w:eastAsia="Times New Roman"/>
      <w:sz w:val="28"/>
      <w:lang w:eastAsia="ar-SA"/>
    </w:rPr>
  </w:style>
  <w:style w:type="paragraph" w:styleId="657">
    <w:name w:val="Абзац списка"/>
    <w:basedOn w:val="640"/>
    <w:next w:val="657"/>
    <w:link w:val="640"/>
    <w:uiPriority w:val="34"/>
    <w:qFormat/>
    <w:pPr>
      <w:contextualSpacing/>
      <w:ind w:left="720"/>
      <w:spacing w:after="200" w:line="276" w:lineRule="auto"/>
    </w:pPr>
    <w:rPr>
      <w:rFonts w:ascii="Calibri" w:hAnsi="Calibri" w:eastAsia="Calibri" w:cs="Times New Roman"/>
      <w:sz w:val="22"/>
      <w:szCs w:val="22"/>
      <w:lang w:eastAsia="en-US"/>
    </w:rPr>
  </w:style>
  <w:style w:type="character" w:styleId="959" w:default="1">
    <w:name w:val="Default Paragraph Font"/>
    <w:uiPriority w:val="1"/>
    <w:semiHidden/>
    <w:unhideWhenUsed/>
  </w:style>
  <w:style w:type="numbering" w:styleId="960" w:default="1">
    <w:name w:val="No List"/>
    <w:uiPriority w:val="99"/>
    <w:semiHidden/>
    <w:unhideWhenUsed/>
  </w:style>
  <w:style w:type="table" w:styleId="961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Alekperova-YUA</cp:lastModifiedBy>
  <cp:revision>8</cp:revision>
  <dcterms:created xsi:type="dcterms:W3CDTF">2024-02-07T09:41:00Z</dcterms:created>
  <dcterms:modified xsi:type="dcterms:W3CDTF">2025-11-13T11:15:26Z</dcterms:modified>
  <cp:version>1048576</cp:version>
</cp:coreProperties>
</file>