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640"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524288" behindDoc="1" locked="0" layoutInCell="1" allowOverlap="1">
                <wp:simplePos x="0" y="0"/>
                <wp:positionH relativeFrom="page">
                  <wp:posOffset>-9524</wp:posOffset>
                </wp:positionH>
                <wp:positionV relativeFrom="paragraph">
                  <wp:posOffset>-720089</wp:posOffset>
                </wp:positionV>
                <wp:extent cx="7520305" cy="1591310"/>
                <wp:effectExtent l="0" t="0" r="0" b="0"/>
                <wp:wrapNone/>
                <wp:docPr id="1" name="_x0000_s104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7520305" cy="1591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position:absolute;z-index:-524288;o:allowoverlap:true;o:allowincell:true;mso-position-horizontal-relative:page;margin-left:-0.75pt;mso-position-horizontal:absolute;mso-position-vertical-relative:text;margin-top:-56.70pt;mso-position-vertical:absolute;width:592.15pt;height:125.30pt;mso-wrap-distance-left:9.00pt;mso-wrap-distance-top:0.00pt;mso-wrap-distance-right:9.00pt;mso-wrap-distance-bottom:0.00pt;" stroked="f">
                <v:path textboxrect="0,0,0,0"/>
                <v:imagedata r:id="rId11" o:title=""/>
              </v:shape>
            </w:pict>
          </mc:Fallback>
        </mc:AlternateContent>
      </w:r>
      <w:r/>
    </w:p>
    <w:p>
      <w:pPr>
        <w:pStyle w:val="640"/>
      </w:pPr>
      <w:r/>
      <w:r/>
    </w:p>
    <w:p>
      <w:pPr>
        <w:pStyle w:val="640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640"/>
        <w:ind w:left="4962"/>
        <w:jc w:val="both"/>
        <w:rPr>
          <w:b/>
          <w:color w:val="005999"/>
          <w:sz w:val="30"/>
          <w:szCs w:val="30"/>
        </w:rPr>
      </w:pPr>
      <w:r>
        <w:rPr>
          <w:b/>
          <w:color w:val="005999"/>
          <w:sz w:val="30"/>
          <w:szCs w:val="30"/>
        </w:rPr>
      </w:r>
      <w:r>
        <w:rPr>
          <w:b/>
          <w:color w:val="005999"/>
          <w:sz w:val="30"/>
          <w:szCs w:val="30"/>
        </w:rPr>
      </w:r>
    </w:p>
    <w:p>
      <w:pPr>
        <w:pStyle w:val="640"/>
        <w:ind w:left="4962"/>
        <w:jc w:val="both"/>
      </w:pPr>
      <w:r>
        <w:rPr>
          <w:b/>
          <w:color w:val="005999"/>
          <w:sz w:val="30"/>
          <w:szCs w:val="30"/>
        </w:rPr>
        <w:t xml:space="preserve">Служба диагностики и защиты от перенапряжения</w:t>
      </w:r>
      <w:r/>
    </w:p>
    <w:p>
      <w:pPr>
        <w:pStyle w:val="640"/>
      </w:pPr>
      <w:r/>
      <w:r/>
    </w:p>
    <w:tbl>
      <w:tblPr>
        <w:tblW w:w="0" w:type="auto"/>
        <w:tblInd w:w="0" w:type="dxa"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828"/>
        <w:gridCol w:w="921"/>
        <w:gridCol w:w="519"/>
        <w:gridCol w:w="1674"/>
        <w:gridCol w:w="5725"/>
      </w:tblGrid>
      <w:tr>
        <w:tblPrEx/>
        <w:trPr>
          <w:trHeight w:val="167"/>
        </w:trPr>
        <w:tc>
          <w:tcPr>
            <w:gridSpan w:val="2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1749" w:type="dxa"/>
            <w:vAlign w:val="bottom"/>
            <w:textDirection w:val="lrTb"/>
            <w:noWrap w:val="false"/>
          </w:tcPr>
          <w:p>
            <w:pPr>
              <w:pStyle w:val="640"/>
              <w:jc w:val="center"/>
              <w:rPr>
                <w:rFonts w:ascii="Micra" w:hAnsi="Micra" w:cs="Arial"/>
                <w:sz w:val="14"/>
                <w:szCs w:val="14"/>
              </w:rPr>
            </w:pPr>
            <w:r>
              <w:rPr>
                <w:rFonts w:ascii="Micra" w:hAnsi="Micra" w:cs="Arial"/>
                <w:sz w:val="14"/>
                <w:szCs w:val="14"/>
              </w:rPr>
            </w:r>
            <w:r>
              <w:rPr>
                <w:rFonts w:ascii="Micra" w:hAnsi="Micra" w:cs="Arial"/>
                <w:sz w:val="14"/>
                <w:szCs w:val="1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519" w:type="dxa"/>
            <w:vAlign w:val="bottom"/>
            <w:textDirection w:val="lrTb"/>
            <w:noWrap w:val="false"/>
          </w:tcPr>
          <w:p>
            <w:pPr>
              <w:pStyle w:val="640"/>
              <w:rPr>
                <w:rFonts w:ascii="Micra" w:hAnsi="Micra" w:cs="Arial"/>
                <w:sz w:val="14"/>
                <w:szCs w:val="14"/>
              </w:rPr>
            </w:pPr>
            <w:r>
              <w:rPr>
                <w:rFonts w:ascii="Micra" w:hAnsi="Micra" w:cs="Arial"/>
                <w:sz w:val="14"/>
                <w:szCs w:val="14"/>
              </w:rPr>
            </w:r>
            <w:r>
              <w:rPr>
                <w:rFonts w:ascii="Micra" w:hAnsi="Micra" w:cs="Arial"/>
                <w:sz w:val="14"/>
                <w:szCs w:val="1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1674" w:type="dxa"/>
            <w:vAlign w:val="bottom"/>
            <w:textDirection w:val="lrTb"/>
            <w:noWrap w:val="false"/>
          </w:tcPr>
          <w:p>
            <w:pPr>
              <w:pStyle w:val="640"/>
              <w:ind w:left="-288" w:firstLine="288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5725" w:type="dxa"/>
            <w:vAlign w:val="top"/>
            <w:vMerge w:val="restart"/>
            <w:textDirection w:val="lrTb"/>
            <w:noWrap w:val="false"/>
          </w:tcPr>
          <w:p>
            <w:pPr>
              <w:pStyle w:val="640"/>
              <w:ind w:left="10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Д</w:t>
            </w:r>
            <w:r>
              <w:rPr>
                <w:sz w:val="28"/>
                <w:szCs w:val="28"/>
              </w:rPr>
              <w:t xml:space="preserve">иректор</w:t>
            </w:r>
            <w:r>
              <w:rPr>
                <w:sz w:val="28"/>
                <w:szCs w:val="28"/>
              </w:rPr>
              <w:t xml:space="preserve">у</w:t>
            </w:r>
            <w:r>
              <w:rPr>
                <w:sz w:val="28"/>
                <w:szCs w:val="28"/>
              </w:rPr>
              <w:t xml:space="preserve"> ПО «Центральные </w:t>
            </w:r>
            <w:r>
              <w:rPr>
                <w:sz w:val="28"/>
                <w:szCs w:val="28"/>
              </w:rPr>
            </w:r>
          </w:p>
          <w:p>
            <w:pPr>
              <w:pStyle w:val="640"/>
              <w:ind w:left="10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электрические сети» филиала ПАО «Россети Урал»- «Челябэнерго»</w:t>
            </w:r>
            <w:r>
              <w:rPr>
                <w:sz w:val="28"/>
                <w:szCs w:val="28"/>
              </w:rPr>
            </w:r>
          </w:p>
          <w:p>
            <w:pPr>
              <w:pStyle w:val="640"/>
              <w:ind w:left="10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А.</w:t>
            </w:r>
            <w:r>
              <w:rPr>
                <w:sz w:val="28"/>
                <w:szCs w:val="28"/>
              </w:rPr>
              <w:t xml:space="preserve">Б.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Денисову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>
          <w:trHeight w:val="168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828" w:type="dxa"/>
            <w:vAlign w:val="bottom"/>
            <w:textDirection w:val="lrTb"/>
            <w:noWrap w:val="false"/>
          </w:tcPr>
          <w:p>
            <w:pPr>
              <w:pStyle w:val="640"/>
              <w:rPr>
                <w:rFonts w:ascii="Micra" w:hAnsi="Micra" w:cs="Arial"/>
                <w:sz w:val="14"/>
                <w:szCs w:val="14"/>
              </w:rPr>
            </w:pPr>
            <w:r>
              <w:rPr>
                <w:rFonts w:ascii="Micra" w:hAnsi="Micra" w:cs="Arial"/>
                <w:sz w:val="14"/>
                <w:szCs w:val="14"/>
              </w:rPr>
            </w:r>
            <w:r>
              <w:rPr>
                <w:rFonts w:ascii="Micra" w:hAnsi="Micra" w:cs="Arial"/>
                <w:sz w:val="14"/>
                <w:szCs w:val="1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921" w:type="dxa"/>
            <w:vAlign w:val="bottom"/>
            <w:textDirection w:val="lrTb"/>
            <w:noWrap w:val="false"/>
          </w:tcPr>
          <w:p>
            <w:pPr>
              <w:pStyle w:val="640"/>
              <w:rPr>
                <w:rFonts w:ascii="Micra" w:hAnsi="Micra" w:cs="Arial"/>
                <w:sz w:val="14"/>
                <w:szCs w:val="14"/>
              </w:rPr>
            </w:pPr>
            <w:r>
              <w:rPr>
                <w:rFonts w:ascii="Micra" w:hAnsi="Micra" w:cs="Arial"/>
                <w:sz w:val="14"/>
                <w:szCs w:val="14"/>
              </w:rPr>
            </w:r>
            <w:r>
              <w:rPr>
                <w:rFonts w:ascii="Micra" w:hAnsi="Micra" w:cs="Arial"/>
                <w:sz w:val="14"/>
                <w:szCs w:val="1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519" w:type="dxa"/>
            <w:vAlign w:val="bottom"/>
            <w:textDirection w:val="lrTb"/>
            <w:noWrap w:val="false"/>
          </w:tcPr>
          <w:p>
            <w:pPr>
              <w:pStyle w:val="640"/>
              <w:rPr>
                <w:rFonts w:ascii="Micra" w:hAnsi="Micra" w:cs="Arial"/>
                <w:sz w:val="14"/>
                <w:szCs w:val="14"/>
              </w:rPr>
            </w:pPr>
            <w:r>
              <w:rPr>
                <w:rFonts w:ascii="Micra" w:hAnsi="Micra" w:cs="Arial"/>
                <w:sz w:val="14"/>
                <w:szCs w:val="14"/>
              </w:rPr>
            </w:r>
            <w:r>
              <w:rPr>
                <w:rFonts w:ascii="Micra" w:hAnsi="Micra" w:cs="Arial"/>
                <w:sz w:val="14"/>
                <w:szCs w:val="1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1674" w:type="dxa"/>
            <w:vAlign w:val="bottom"/>
            <w:textDirection w:val="lrTb"/>
            <w:noWrap w:val="false"/>
          </w:tcPr>
          <w:p>
            <w:pPr>
              <w:pStyle w:val="64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5725" w:type="dxa"/>
            <w:vAlign w:val="top"/>
            <w:vMerge w:val="continue"/>
            <w:textDirection w:val="lrTb"/>
            <w:noWrap w:val="false"/>
          </w:tcPr>
          <w:p>
            <w:pPr>
              <w:pStyle w:val="64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</w:p>
        </w:tc>
      </w:tr>
      <w:tr>
        <w:tblPrEx/>
        <w:trPr>
          <w:trHeight w:val="354"/>
        </w:trPr>
        <w:tc>
          <w:tcPr>
            <w:gridSpan w:val="4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3942" w:type="dxa"/>
            <w:vAlign w:val="top"/>
            <w:textDirection w:val="lrTb"/>
            <w:noWrap w:val="false"/>
          </w:tcPr>
          <w:p>
            <w:pPr>
              <w:pStyle w:val="64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5725" w:type="dxa"/>
            <w:vAlign w:val="top"/>
            <w:vMerge w:val="continue"/>
            <w:textDirection w:val="lrTb"/>
            <w:noWrap w:val="false"/>
          </w:tcPr>
          <w:p>
            <w:pPr>
              <w:pStyle w:val="64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</w:p>
        </w:tc>
      </w:tr>
    </w:tbl>
    <w:p>
      <w:pPr>
        <w:pStyle w:val="640"/>
      </w:pPr>
      <w:r/>
      <w:r/>
    </w:p>
    <w:p>
      <w:pPr>
        <w:pStyle w:val="640"/>
      </w:pPr>
      <w:r/>
      <w:r/>
    </w:p>
    <w:p>
      <w:pPr>
        <w:pStyle w:val="642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О возложении обязанностей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642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и установлению доплат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642"/>
        <w:rPr>
          <w:szCs w:val="28"/>
        </w:rPr>
      </w:pPr>
      <w:r>
        <w:rPr>
          <w:szCs w:val="28"/>
        </w:rPr>
      </w:r>
      <w:r>
        <w:rPr>
          <w:szCs w:val="28"/>
        </w:rPr>
      </w:r>
    </w:p>
    <w:p>
      <w:pPr>
        <w:pStyle w:val="640"/>
      </w:pPr>
      <w:r/>
      <w:r/>
    </w:p>
    <w:p>
      <w:pPr>
        <w:pStyle w:val="640"/>
        <w:jc w:val="center"/>
        <w:tabs>
          <w:tab w:val="left" w:pos="3157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640"/>
        <w:jc w:val="center"/>
        <w:tabs>
          <w:tab w:val="left" w:pos="3157" w:leader="none"/>
        </w:tabs>
        <w:rPr>
          <w:sz w:val="28"/>
          <w:szCs w:val="28"/>
        </w:rPr>
      </w:pPr>
      <w:r>
        <w:rPr>
          <w:sz w:val="28"/>
          <w:szCs w:val="28"/>
        </w:rPr>
        <w:t xml:space="preserve">Уважаемый </w:t>
      </w:r>
      <w:r>
        <w:rPr>
          <w:sz w:val="28"/>
          <w:szCs w:val="28"/>
        </w:rPr>
        <w:t xml:space="preserve">Александр </w:t>
      </w:r>
      <w:r>
        <w:rPr>
          <w:sz w:val="28"/>
          <w:szCs w:val="28"/>
        </w:rPr>
        <w:t xml:space="preserve">Борисови</w:t>
      </w:r>
      <w:r>
        <w:rPr>
          <w:sz w:val="28"/>
          <w:szCs w:val="28"/>
        </w:rPr>
        <w:t xml:space="preserve">ч</w:t>
      </w:r>
      <w:r>
        <w:rPr>
          <w:sz w:val="28"/>
          <w:szCs w:val="28"/>
        </w:rPr>
        <w:t xml:space="preserve">!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640"/>
        <w:jc w:val="center"/>
        <w:tabs>
          <w:tab w:val="left" w:pos="3157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640"/>
        <w:ind w:firstLine="851"/>
        <w:jc w:val="both"/>
        <w:spacing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На пер</w:t>
      </w:r>
      <w:r>
        <w:rPr>
          <w:sz w:val="28"/>
          <w:szCs w:val="28"/>
        </w:rPr>
        <w:t xml:space="preserve">иод очередного отпуска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 17.11.2025  по 23.11.2025 </w:t>
      </w:r>
      <w:r>
        <w:rPr>
          <w:sz w:val="28"/>
          <w:szCs w:val="28"/>
        </w:rPr>
        <w:t xml:space="preserve">года</w:t>
      </w:r>
      <w:r>
        <w:rPr>
          <w:sz w:val="28"/>
          <w:szCs w:val="28"/>
        </w:rPr>
        <w:t xml:space="preserve">  ведущего </w:t>
      </w:r>
      <w:r>
        <w:rPr>
          <w:sz w:val="28"/>
          <w:szCs w:val="28"/>
        </w:rPr>
        <w:t xml:space="preserve">инженера</w:t>
      </w:r>
      <w:r>
        <w:rPr>
          <w:sz w:val="28"/>
          <w:szCs w:val="28"/>
        </w:rPr>
        <w:t xml:space="preserve">  Вернергольд Е.Ю.,таб. № 8124</w:t>
      </w:r>
      <w:r>
        <w:rPr>
          <w:sz w:val="28"/>
          <w:szCs w:val="28"/>
        </w:rPr>
        <w:t xml:space="preserve">, прошу возложить 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обязанности 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  инженера</w:t>
      </w:r>
      <w:r>
        <w:rPr>
          <w:sz w:val="28"/>
          <w:szCs w:val="28"/>
        </w:rPr>
        <w:t xml:space="preserve"> 1</w:t>
      </w:r>
      <w:r>
        <w:rPr>
          <w:sz w:val="28"/>
          <w:szCs w:val="28"/>
        </w:rPr>
        <w:t xml:space="preserve"> категории</w:t>
      </w:r>
      <w:r>
        <w:rPr>
          <w:sz w:val="28"/>
          <w:szCs w:val="28"/>
        </w:rPr>
        <w:t xml:space="preserve"> Меньшикова А.Б.</w:t>
      </w:r>
      <w:r>
        <w:rPr>
          <w:sz w:val="28"/>
          <w:szCs w:val="28"/>
        </w:rPr>
        <w:t xml:space="preserve">, таб. № 8126</w:t>
      </w:r>
      <w:r>
        <w:rPr>
          <w:sz w:val="28"/>
          <w:szCs w:val="28"/>
        </w:rPr>
        <w:t xml:space="preserve">, с установлением доплаты 15 % за дополнительный объем работ</w:t>
      </w:r>
      <w:r>
        <w:rPr>
          <w:sz w:val="28"/>
          <w:szCs w:val="28"/>
        </w:rPr>
        <w:t xml:space="preserve">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640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640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640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64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Заместитель н</w:t>
      </w:r>
      <w:r>
        <w:rPr>
          <w:sz w:val="28"/>
          <w:szCs w:val="28"/>
        </w:rPr>
        <w:t xml:space="preserve">ачальник</w:t>
      </w:r>
      <w:r>
        <w:rPr>
          <w:sz w:val="28"/>
          <w:szCs w:val="28"/>
        </w:rPr>
        <w:t xml:space="preserve">а</w:t>
      </w:r>
      <w:r>
        <w:rPr>
          <w:sz w:val="28"/>
          <w:szCs w:val="28"/>
        </w:rPr>
        <w:t xml:space="preserve">           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  </w:t>
        <w:tab/>
        <w:tab/>
      </w:r>
      <w:r>
        <w:rPr>
          <w:sz w:val="28"/>
          <w:szCs w:val="28"/>
        </w:rPr>
        <w:t xml:space="preserve">А.Г</w:t>
      </w:r>
      <w:r>
        <w:rPr>
          <w:sz w:val="28"/>
          <w:szCs w:val="28"/>
        </w:rPr>
        <w:t xml:space="preserve">. Б</w:t>
      </w:r>
      <w:r>
        <w:rPr>
          <w:sz w:val="28"/>
          <w:szCs w:val="28"/>
        </w:rPr>
        <w:t xml:space="preserve">угреев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640"/>
        <w:tabs>
          <w:tab w:val="left" w:pos="3594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640"/>
        <w:tabs>
          <w:tab w:val="left" w:pos="3594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640"/>
        <w:tabs>
          <w:tab w:val="left" w:pos="3594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640"/>
        <w:tabs>
          <w:tab w:val="left" w:pos="3594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640"/>
        <w:tabs>
          <w:tab w:val="left" w:pos="3594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640"/>
        <w:tabs>
          <w:tab w:val="left" w:pos="3594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640"/>
        <w:tabs>
          <w:tab w:val="left" w:pos="3594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sectPr>
      <w:footerReference w:type="default" r:id="rId9"/>
      <w:footerReference w:type="first" r:id="rId10"/>
      <w:footnotePr/>
      <w:endnotePr/>
      <w:type w:val="nextPage"/>
      <w:pgSz w:w="11906" w:h="16838" w:orient="portrait"/>
      <w:pgMar w:top="1134" w:right="567" w:bottom="1134" w:left="1701" w:header="709" w:footer="380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icra">
    <w:panose1 w:val="02000603000000000000"/>
  </w:font>
  <w:font w:name="Symbol">
    <w:panose1 w:val="05050102010706020507"/>
  </w:font>
  <w:font w:name="Courier New">
    <w:panose1 w:val="02070309020205020404"/>
  </w:font>
  <w:font w:name="Wingdings">
    <w:panose1 w:val="05000000000000000000"/>
  </w:font>
  <w:font w:name="Verdana">
    <w:panose1 w:val="020B0604030504040204"/>
  </w:font>
  <w:font w:name="Tahoma">
    <w:panose1 w:val="020B0604030504040204"/>
  </w:font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652"/>
      <w:ind w:left="-1701"/>
      <w:spacing w:before="0"/>
      <w:rPr>
        <w:rFonts w:ascii="Micra" w:hAnsi="Micra"/>
        <w:b/>
        <w:bCs/>
        <w:color w:val="244061"/>
        <w:sz w:val="12"/>
        <w:szCs w:val="12"/>
      </w:rPr>
    </w:pPr>
    <w:r>
      <w:rPr>
        <w:rFonts w:ascii="Micra" w:hAnsi="Micra"/>
        <w:b/>
        <w:bCs/>
        <w:color w:val="244061"/>
        <w:sz w:val="12"/>
        <w:szCs w:val="12"/>
      </w:rPr>
    </w:r>
    <w:r>
      <w:rPr>
        <w:rFonts w:ascii="Micra" w:hAnsi="Micra"/>
        <w:b/>
        <w:bCs/>
        <w:color w:val="244061"/>
        <w:sz w:val="12"/>
        <w:szCs w:val="12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650"/>
      <w:ind w:left="-1701"/>
      <w:jc w:val="center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pStyle w:val="641"/>
      <w:isLgl w:val="false"/>
      <w:suff w:val="nothing"/>
      <w:lvlText w:val=""/>
      <w:lvlJc w:val="left"/>
      <w:pPr>
        <w:ind w:left="432" w:hanging="432"/>
        <w:tabs>
          <w:tab w:val="num" w:pos="0" w:leader="none"/>
        </w:tabs>
      </w:pPr>
    </w:lvl>
    <w:lvl w:ilvl="1">
      <w:start w:val="1"/>
      <w:numFmt w:val="decimal"/>
      <w:pStyle w:val="642"/>
      <w:isLgl w:val="false"/>
      <w:suff w:val="nothing"/>
      <w:lvlText w:val=""/>
      <w:lvlJc w:val="left"/>
      <w:pPr>
        <w:ind w:left="576" w:hanging="576"/>
        <w:tabs>
          <w:tab w:val="num" w:pos="0" w:leader="none"/>
        </w:tabs>
      </w:pPr>
    </w:lvl>
    <w:lvl w:ilvl="2">
      <w:start w:val="1"/>
      <w:numFmt w:val="decimal"/>
      <w:isLgl w:val="false"/>
      <w:suff w:val="nothing"/>
      <w:lvlText w:val=""/>
      <w:lvlJc w:val="left"/>
      <w:pPr>
        <w:ind w:left="720" w:hanging="720"/>
        <w:tabs>
          <w:tab w:val="num" w:pos="0" w:leader="none"/>
        </w:tabs>
      </w:pPr>
    </w:lvl>
    <w:lvl w:ilvl="3">
      <w:start w:val="1"/>
      <w:numFmt w:val="decimal"/>
      <w:isLgl w:val="false"/>
      <w:suff w:val="nothing"/>
      <w:lvlText w:val=""/>
      <w:lvlJc w:val="left"/>
      <w:pPr>
        <w:ind w:left="864" w:hanging="864"/>
        <w:tabs>
          <w:tab w:val="num" w:pos="0" w:leader="none"/>
        </w:tabs>
      </w:pPr>
    </w:lvl>
    <w:lvl w:ilvl="4">
      <w:start w:val="1"/>
      <w:numFmt w:val="decimal"/>
      <w:isLgl w:val="false"/>
      <w:suff w:val="nothing"/>
      <w:lvlText w:val=""/>
      <w:lvlJc w:val="left"/>
      <w:pPr>
        <w:ind w:left="1008" w:hanging="1008"/>
        <w:tabs>
          <w:tab w:val="num" w:pos="0" w:leader="none"/>
        </w:tabs>
      </w:pPr>
    </w:lvl>
    <w:lvl w:ilvl="5">
      <w:start w:val="1"/>
      <w:numFmt w:val="decimal"/>
      <w:isLgl w:val="false"/>
      <w:suff w:val="nothing"/>
      <w:lvlText w:val=""/>
      <w:lvlJc w:val="left"/>
      <w:pPr>
        <w:ind w:left="1152" w:hanging="1152"/>
        <w:tabs>
          <w:tab w:val="num" w:pos="0" w:leader="none"/>
        </w:tabs>
      </w:pPr>
    </w:lvl>
    <w:lvl w:ilvl="6">
      <w:start w:val="1"/>
      <w:numFmt w:val="decimal"/>
      <w:isLgl w:val="false"/>
      <w:suff w:val="nothing"/>
      <w:lvlText w:val=""/>
      <w:lvlJc w:val="left"/>
      <w:pPr>
        <w:ind w:left="1296" w:hanging="1296"/>
        <w:tabs>
          <w:tab w:val="num" w:pos="0" w:leader="none"/>
        </w:tabs>
      </w:pPr>
    </w:lvl>
    <w:lvl w:ilvl="7">
      <w:start w:val="1"/>
      <w:numFmt w:val="decimal"/>
      <w:isLgl w:val="false"/>
      <w:suff w:val="nothing"/>
      <w:lvlText w:val=""/>
      <w:lvlJc w:val="left"/>
      <w:pPr>
        <w:ind w:left="1440" w:hanging="1440"/>
        <w:tabs>
          <w:tab w:val="num" w:pos="0" w:leader="none"/>
        </w:tabs>
      </w:pPr>
    </w:lvl>
    <w:lvl w:ilvl="8">
      <w:start w:val="1"/>
      <w:numFmt w:val="decimal"/>
      <w:isLgl w:val="false"/>
      <w:suff w:val="nothing"/>
      <w:lvlText w:val=""/>
      <w:lvlJc w:val="left"/>
      <w:pPr>
        <w:ind w:left="1584" w:hanging="1584"/>
        <w:tabs>
          <w:tab w:val="num" w:pos="0" w:leader="none"/>
        </w:tabs>
      </w:p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"/>
      <w:lvlJc w:val="left"/>
      <w:pPr>
        <w:ind w:left="5747" w:hanging="360"/>
      </w:pPr>
      <w:rPr>
        <w:rFonts w:ascii="Wingdings" w:hAnsi="Wingdings"/>
      </w:rPr>
    </w:lvl>
    <w:lvl w:ilvl="1">
      <w:start w:val="1"/>
      <w:numFmt w:val="bullet"/>
      <w:isLgl w:val="false"/>
      <w:suff w:val="tab"/>
      <w:lvlText w:val="o"/>
      <w:lvlJc w:val="left"/>
      <w:pPr>
        <w:ind w:left="6467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7187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7907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8627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9347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10067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10787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11507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Times New Roman"/>
        <w:lang w:val="ru-RU" w:eastAsia="zh-CN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40"/>
    <w:next w:val="640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11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40"/>
    <w:next w:val="640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11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40"/>
    <w:next w:val="640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11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40"/>
    <w:next w:val="640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11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40"/>
    <w:next w:val="640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11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40"/>
    <w:next w:val="640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11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40"/>
    <w:next w:val="640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11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40"/>
    <w:next w:val="640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11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40"/>
    <w:next w:val="640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11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1">
    <w:name w:val="List Paragraph"/>
    <w:basedOn w:val="640"/>
    <w:uiPriority w:val="34"/>
    <w:qFormat/>
    <w:pPr>
      <w:contextualSpacing/>
      <w:ind w:left="720"/>
    </w:pPr>
  </w:style>
  <w:style w:type="paragraph" w:styleId="33">
    <w:name w:val="No Spacing"/>
    <w:uiPriority w:val="1"/>
    <w:qFormat/>
    <w:pPr>
      <w:spacing w:before="0" w:after="0" w:line="240" w:lineRule="auto"/>
    </w:pPr>
  </w:style>
  <w:style w:type="paragraph" w:styleId="34">
    <w:name w:val="Title"/>
    <w:basedOn w:val="640"/>
    <w:next w:val="640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11"/>
    <w:link w:val="34"/>
    <w:uiPriority w:val="10"/>
    <w:rPr>
      <w:sz w:val="48"/>
      <w:szCs w:val="48"/>
    </w:rPr>
  </w:style>
  <w:style w:type="paragraph" w:styleId="36">
    <w:name w:val="Subtitle"/>
    <w:basedOn w:val="640"/>
    <w:next w:val="640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11"/>
    <w:link w:val="36"/>
    <w:uiPriority w:val="11"/>
    <w:rPr>
      <w:sz w:val="24"/>
      <w:szCs w:val="24"/>
    </w:rPr>
  </w:style>
  <w:style w:type="paragraph" w:styleId="38">
    <w:name w:val="Quote"/>
    <w:basedOn w:val="640"/>
    <w:next w:val="640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40"/>
    <w:next w:val="640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40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11"/>
    <w:link w:val="42"/>
    <w:uiPriority w:val="99"/>
  </w:style>
  <w:style w:type="paragraph" w:styleId="44">
    <w:name w:val="Footer"/>
    <w:basedOn w:val="640"/>
    <w:link w:val="4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11"/>
    <w:link w:val="44"/>
    <w:uiPriority w:val="99"/>
  </w:style>
  <w:style w:type="paragraph" w:styleId="46">
    <w:name w:val="Caption"/>
    <w:basedOn w:val="640"/>
    <w:next w:val="640"/>
    <w:link w:val="4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11"/>
    <w:link w:val="46"/>
    <w:uiPriority w:val="35"/>
    <w:rPr>
      <w:b/>
      <w:bCs/>
      <w:color w:val="4f81bd" w:themeColor="accent1"/>
      <w:sz w:val="18"/>
      <w:szCs w:val="18"/>
    </w:rPr>
  </w:style>
  <w:style w:type="table" w:styleId="48">
    <w:name w:val="Table Grid"/>
    <w:basedOn w:val="32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3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3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3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148">
    <w:name w:val="List Table 7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149">
    <w:name w:val="List Table 7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150">
    <w:name w:val="List Table 7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151">
    <w:name w:val="List Table 7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152">
    <w:name w:val="List Table 7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153">
    <w:name w:val="Lined - Accent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55">
    <w:name w:val="Lined - Accent 2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56">
    <w:name w:val="Lined - Accent 3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57">
    <w:name w:val="Lined - Accent 4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58">
    <w:name w:val="Lined - Accent 5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59">
    <w:name w:val="Lined - Accent 6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0">
    <w:name w:val="Bordered &amp; Lined - Accent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62">
    <w:name w:val="Bordered &amp; Lined - Accent 2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63">
    <w:name w:val="Bordered &amp; Lined - Accent 3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4">
    <w:name w:val="Bordered &amp; Lined - Accent 4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5">
    <w:name w:val="Bordered &amp; Lined - Accent 5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6">
    <w:name w:val="Bordered &amp; Lined - Accent 6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7">
    <w:name w:val="Bordered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40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11"/>
    <w:uiPriority w:val="99"/>
    <w:unhideWhenUsed/>
    <w:rPr>
      <w:vertAlign w:val="superscript"/>
    </w:rPr>
  </w:style>
  <w:style w:type="paragraph" w:styleId="178">
    <w:name w:val="endnote text"/>
    <w:basedOn w:val="640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11"/>
    <w:uiPriority w:val="99"/>
    <w:semiHidden/>
    <w:unhideWhenUsed/>
    <w:rPr>
      <w:vertAlign w:val="superscript"/>
    </w:rPr>
  </w:style>
  <w:style w:type="paragraph" w:styleId="181">
    <w:name w:val="toc 1"/>
    <w:basedOn w:val="640"/>
    <w:next w:val="640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40"/>
    <w:next w:val="640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40"/>
    <w:next w:val="640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40"/>
    <w:next w:val="640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40"/>
    <w:next w:val="640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40"/>
    <w:next w:val="640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40"/>
    <w:next w:val="640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40"/>
    <w:next w:val="640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40"/>
    <w:next w:val="640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40"/>
    <w:next w:val="640"/>
    <w:uiPriority w:val="99"/>
    <w:unhideWhenUsed/>
    <w:pPr>
      <w:spacing w:after="0" w:afterAutospacing="0"/>
    </w:pPr>
  </w:style>
  <w:style w:type="paragraph" w:styleId="640" w:default="1">
    <w:name w:val="Normal"/>
    <w:next w:val="640"/>
    <w:link w:val="640"/>
    <w:qFormat/>
    <w:rPr>
      <w:rFonts w:ascii="Times New Roman" w:hAnsi="Times New Roman" w:eastAsia="Times New Roman"/>
      <w:sz w:val="24"/>
      <w:szCs w:val="24"/>
      <w:lang w:val="ru-RU" w:eastAsia="ru-RU" w:bidi="ar-SA"/>
    </w:rPr>
  </w:style>
  <w:style w:type="paragraph" w:styleId="641">
    <w:name w:val="Заголовок 1"/>
    <w:basedOn w:val="640"/>
    <w:next w:val="640"/>
    <w:link w:val="655"/>
    <w:qFormat/>
    <w:pPr>
      <w:numPr>
        <w:ilvl w:val="0"/>
        <w:numId w:val="1"/>
      </w:numPr>
      <w:keepNext/>
      <w:spacing w:before="240" w:after="60"/>
      <w:outlineLvl w:val="0"/>
    </w:pPr>
    <w:rPr>
      <w:rFonts w:ascii="Arial" w:hAnsi="Arial"/>
      <w:b/>
      <w:bCs/>
      <w:sz w:val="32"/>
      <w:szCs w:val="32"/>
      <w:lang w:val="en-US" w:eastAsia="ar-SA"/>
    </w:rPr>
  </w:style>
  <w:style w:type="paragraph" w:styleId="642">
    <w:name w:val="Заголовок 2"/>
    <w:basedOn w:val="640"/>
    <w:next w:val="640"/>
    <w:link w:val="656"/>
    <w:qFormat/>
    <w:pPr>
      <w:numPr>
        <w:ilvl w:val="1"/>
        <w:numId w:val="1"/>
      </w:numPr>
      <w:jc w:val="center"/>
      <w:keepNext/>
      <w:outlineLvl w:val="1"/>
    </w:pPr>
    <w:rPr>
      <w:sz w:val="28"/>
      <w:szCs w:val="20"/>
      <w:lang w:val="en-US" w:eastAsia="ar-SA"/>
    </w:rPr>
  </w:style>
  <w:style w:type="character" w:styleId="643">
    <w:name w:val="Основной шрифт абзаца"/>
    <w:next w:val="643"/>
    <w:link w:val="640"/>
    <w:uiPriority w:val="1"/>
    <w:unhideWhenUsed/>
  </w:style>
  <w:style w:type="table" w:styleId="644">
    <w:name w:val="Обычная таблица"/>
    <w:next w:val="644"/>
    <w:link w:val="640"/>
    <w:uiPriority w:val="99"/>
    <w:semiHidden/>
    <w:unhideWhenUsed/>
    <w:qFormat/>
    <w:tblPr/>
  </w:style>
  <w:style w:type="numbering" w:styleId="645">
    <w:name w:val="Нет списка"/>
    <w:next w:val="645"/>
    <w:link w:val="640"/>
    <w:uiPriority w:val="99"/>
    <w:semiHidden/>
    <w:unhideWhenUsed/>
  </w:style>
  <w:style w:type="paragraph" w:styleId="646">
    <w:name w:val="Текст выноски"/>
    <w:basedOn w:val="640"/>
    <w:next w:val="646"/>
    <w:link w:val="647"/>
    <w:uiPriority w:val="99"/>
    <w:semiHidden/>
    <w:unhideWhenUsed/>
    <w:rPr>
      <w:rFonts w:ascii="Tahoma" w:hAnsi="Tahoma"/>
      <w:sz w:val="16"/>
      <w:szCs w:val="16"/>
      <w:lang w:val="en-US"/>
    </w:rPr>
  </w:style>
  <w:style w:type="character" w:styleId="647">
    <w:name w:val="Текст выноски Знак"/>
    <w:next w:val="647"/>
    <w:link w:val="646"/>
    <w:uiPriority w:val="99"/>
    <w:semiHidden/>
    <w:rPr>
      <w:rFonts w:ascii="Tahoma" w:hAnsi="Tahoma" w:eastAsia="Times New Roman" w:cs="Tahoma"/>
      <w:sz w:val="16"/>
      <w:szCs w:val="16"/>
      <w:lang w:eastAsia="ru-RU"/>
    </w:rPr>
  </w:style>
  <w:style w:type="paragraph" w:styleId="648">
    <w:name w:val="Верхний колонтитул"/>
    <w:basedOn w:val="640"/>
    <w:next w:val="648"/>
    <w:link w:val="649"/>
    <w:uiPriority w:val="99"/>
    <w:unhideWhenUsed/>
    <w:pPr>
      <w:tabs>
        <w:tab w:val="center" w:pos="4677" w:leader="none"/>
        <w:tab w:val="right" w:pos="9355" w:leader="none"/>
      </w:tabs>
    </w:pPr>
    <w:rPr>
      <w:lang w:val="en-US"/>
    </w:rPr>
  </w:style>
  <w:style w:type="character" w:styleId="649">
    <w:name w:val="Верхний колонтитул Знак"/>
    <w:next w:val="649"/>
    <w:link w:val="648"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650">
    <w:name w:val="Нижний колонтитул"/>
    <w:basedOn w:val="640"/>
    <w:next w:val="650"/>
    <w:link w:val="651"/>
    <w:uiPriority w:val="99"/>
    <w:unhideWhenUsed/>
    <w:pPr>
      <w:tabs>
        <w:tab w:val="center" w:pos="4677" w:leader="none"/>
        <w:tab w:val="right" w:pos="9355" w:leader="none"/>
      </w:tabs>
    </w:pPr>
    <w:rPr>
      <w:lang w:val="en-US"/>
    </w:rPr>
  </w:style>
  <w:style w:type="character" w:styleId="651">
    <w:name w:val="Нижний колонтитул Знак"/>
    <w:next w:val="651"/>
    <w:link w:val="650"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652">
    <w:name w:val="ОбычныйТекст"/>
    <w:basedOn w:val="640"/>
    <w:next w:val="652"/>
    <w:link w:val="640"/>
    <w:pPr>
      <w:spacing w:before="240"/>
    </w:pPr>
    <w:rPr>
      <w:rFonts w:ascii="Tahoma" w:hAnsi="Tahoma"/>
      <w:sz w:val="20"/>
      <w:szCs w:val="20"/>
    </w:rPr>
  </w:style>
  <w:style w:type="table" w:styleId="653">
    <w:name w:val="Сетка таблицы"/>
    <w:basedOn w:val="644"/>
    <w:next w:val="653"/>
    <w:link w:val="640"/>
    <w:rPr>
      <w:rFonts w:ascii="Times New Roman" w:hAnsi="Times New Roman" w:eastAsia="Times New Roman"/>
    </w:rPr>
    <w:tblPr/>
  </w:style>
  <w:style w:type="character" w:styleId="654">
    <w:name w:val="defaultlabelstyle1"/>
    <w:next w:val="654"/>
    <w:link w:val="640"/>
    <w:rPr>
      <w:rFonts w:ascii="Verdana" w:hAnsi="Verdana"/>
      <w:color w:val="333333"/>
    </w:rPr>
  </w:style>
  <w:style w:type="character" w:styleId="655">
    <w:name w:val="Заголовок 1 Знак"/>
    <w:next w:val="655"/>
    <w:link w:val="641"/>
    <w:rPr>
      <w:rFonts w:ascii="Arial" w:hAnsi="Arial" w:eastAsia="Times New Roman" w:cs="Arial"/>
      <w:b/>
      <w:bCs/>
      <w:sz w:val="32"/>
      <w:szCs w:val="32"/>
      <w:lang w:eastAsia="ar-SA"/>
    </w:rPr>
  </w:style>
  <w:style w:type="character" w:styleId="656">
    <w:name w:val="Заголовок 2 Знак"/>
    <w:next w:val="656"/>
    <w:link w:val="642"/>
    <w:rPr>
      <w:rFonts w:ascii="Times New Roman" w:hAnsi="Times New Roman" w:eastAsia="Times New Roman"/>
      <w:sz w:val="28"/>
      <w:lang w:eastAsia="ar-SA"/>
    </w:rPr>
  </w:style>
  <w:style w:type="paragraph" w:styleId="657">
    <w:name w:val="Абзац списка"/>
    <w:basedOn w:val="640"/>
    <w:next w:val="657"/>
    <w:link w:val="640"/>
    <w:uiPriority w:val="34"/>
    <w:qFormat/>
    <w:pPr>
      <w:contextualSpacing/>
      <w:ind w:left="720"/>
      <w:spacing w:after="200" w:line="276" w:lineRule="auto"/>
    </w:pPr>
    <w:rPr>
      <w:rFonts w:ascii="Calibri" w:hAnsi="Calibri" w:eastAsia="Calibri" w:cs="Times New Roman"/>
      <w:sz w:val="22"/>
      <w:szCs w:val="22"/>
      <w:lang w:eastAsia="en-US"/>
    </w:rPr>
  </w:style>
  <w:style w:type="character" w:styleId="959" w:default="1">
    <w:name w:val="Default Paragraph Font"/>
    <w:uiPriority w:val="1"/>
    <w:semiHidden/>
    <w:unhideWhenUsed/>
  </w:style>
  <w:style w:type="numbering" w:styleId="960" w:default="1">
    <w:name w:val="No List"/>
    <w:uiPriority w:val="99"/>
    <w:semiHidden/>
    <w:unhideWhenUsed/>
  </w:style>
  <w:style w:type="table" w:styleId="961" w:default="1">
    <w:name w:val="Normal Table"/>
    <w:uiPriority w:val="99"/>
    <w:semiHidden/>
    <w:unhideWhenUsed/>
    <w:tblPr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footer" Target="footer2.xml" /><Relationship Id="rId11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Р7-Офис/2025.3.1.923</Application>
  <DocSecurity>0</DocSecurity>
  <HyperlinksChanged>false</HyperlinksChanged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creator>EKohanova</dc:creator>
  <cp:lastModifiedBy>Alekperova-YUA</cp:lastModifiedBy>
  <cp:revision>15</cp:revision>
  <dcterms:created xsi:type="dcterms:W3CDTF">2024-02-07T09:41:00Z</dcterms:created>
  <dcterms:modified xsi:type="dcterms:W3CDTF">2025-11-13T11:26:24Z</dcterms:modified>
  <cp:version>1048576</cp:version>
</cp:coreProperties>
</file>