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4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  <wp:simplePos x="0" y="0"/>
                <wp:positionH relativeFrom="page">
                  <wp:posOffset>-38099</wp:posOffset>
                </wp:positionH>
                <wp:positionV relativeFrom="page">
                  <wp:posOffset>47625</wp:posOffset>
                </wp:positionV>
                <wp:extent cx="7560310" cy="1598295"/>
                <wp:effectExtent l="0" t="0" r="0" b="0"/>
                <wp:wrapNone/>
                <wp:docPr id="1" name="_x0000_s10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7560310" cy="159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524288;o:allowoverlap:true;o:allowincell:true;mso-position-horizontal-relative:page;margin-left:-3.00pt;mso-position-horizontal:absolute;mso-position-vertical-relative:page;margin-top:3.75pt;mso-position-vertical:absolute;width:595.30pt;height:125.85pt;mso-wrap-distance-left:9.00pt;mso-wrap-distance-top:0.00pt;mso-wrap-distance-right:9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pStyle w:val="640"/>
      </w:pPr>
      <w:r/>
      <w:r/>
    </w:p>
    <w:p>
      <w:pPr>
        <w:pStyle w:val="64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pStyle w:val="640"/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pStyle w:val="640"/>
        <w:ind w:left="4962"/>
        <w:jc w:val="both"/>
      </w:pPr>
      <w:r>
        <w:rPr>
          <w:b/>
          <w:color w:val="005999"/>
          <w:sz w:val="30"/>
          <w:szCs w:val="30"/>
        </w:rPr>
        <w:t xml:space="preserve">С</w:t>
      </w:r>
      <w:r>
        <w:rPr>
          <w:b/>
          <w:color w:val="005999"/>
          <w:sz w:val="30"/>
          <w:szCs w:val="30"/>
        </w:rPr>
        <w:t xml:space="preserve">лужба диагностики и защиты от перенапряжения</w:t>
      </w:r>
      <w:r/>
    </w:p>
    <w:p>
      <w:pPr>
        <w:pStyle w:val="640"/>
      </w:pPr>
      <w:r/>
      <w:r/>
    </w:p>
    <w:tbl>
      <w:tblPr>
        <w:tblW w:w="0" w:type="auto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28"/>
        <w:gridCol w:w="921"/>
        <w:gridCol w:w="519"/>
        <w:gridCol w:w="1674"/>
        <w:gridCol w:w="5725"/>
      </w:tblGrid>
      <w:tr>
        <w:tblPrEx/>
        <w:trPr>
          <w:trHeight w:val="167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749" w:type="dxa"/>
            <w:vAlign w:val="bottom"/>
            <w:textDirection w:val="lrTb"/>
            <w:noWrap w:val="false"/>
          </w:tcPr>
          <w:p>
            <w:pPr>
              <w:pStyle w:val="640"/>
              <w:jc w:val="center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pStyle w:val="640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pStyle w:val="640"/>
              <w:ind w:left="-288" w:firstLine="28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restart"/>
            <w:textDirection w:val="lrTb"/>
            <w:noWrap w:val="false"/>
          </w:tcPr>
          <w:p>
            <w:pPr>
              <w:pStyle w:val="640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Директору ПО «Центральные </w:t>
            </w:r>
            <w:r>
              <w:rPr>
                <w:sz w:val="28"/>
                <w:szCs w:val="28"/>
              </w:rPr>
            </w:r>
          </w:p>
          <w:p>
            <w:pPr>
              <w:pStyle w:val="640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электрические сети» филиала ПАО «Россети Урал»- «Челябэнерго»</w:t>
            </w:r>
            <w:r>
              <w:rPr>
                <w:sz w:val="28"/>
                <w:szCs w:val="28"/>
              </w:rPr>
            </w:r>
          </w:p>
          <w:p>
            <w:pPr>
              <w:pStyle w:val="640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А.Б. Денисову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16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828" w:type="dxa"/>
            <w:vAlign w:val="bottom"/>
            <w:textDirection w:val="lrTb"/>
            <w:noWrap w:val="false"/>
          </w:tcPr>
          <w:p>
            <w:pPr>
              <w:pStyle w:val="640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921" w:type="dxa"/>
            <w:vAlign w:val="bottom"/>
            <w:textDirection w:val="lrTb"/>
            <w:noWrap w:val="false"/>
          </w:tcPr>
          <w:p>
            <w:pPr>
              <w:pStyle w:val="640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pStyle w:val="640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pStyle w:val="64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continue"/>
            <w:textDirection w:val="lrTb"/>
            <w:noWrap w:val="false"/>
          </w:tcPr>
          <w:p>
            <w:pPr>
              <w:pStyle w:val="64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  <w:tr>
        <w:tblPrEx/>
        <w:trPr>
          <w:trHeight w:val="354"/>
        </w:trPr>
        <w:tc>
          <w:tcPr>
            <w:gridSpan w:val="4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942" w:type="dxa"/>
            <w:vAlign w:val="top"/>
            <w:textDirection w:val="lrTb"/>
            <w:noWrap w:val="false"/>
          </w:tcPr>
          <w:p>
            <w:pPr>
              <w:pStyle w:val="64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continue"/>
            <w:textDirection w:val="lrTb"/>
            <w:noWrap w:val="false"/>
          </w:tcPr>
          <w:p>
            <w:pPr>
              <w:pStyle w:val="64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</w:tbl>
    <w:p>
      <w:pPr>
        <w:pStyle w:val="640"/>
      </w:pPr>
      <w:r/>
      <w:r/>
    </w:p>
    <w:p>
      <w:pPr>
        <w:pStyle w:val="640"/>
      </w:pPr>
      <w:r/>
      <w:r/>
    </w:p>
    <w:p>
      <w:pPr>
        <w:pStyle w:val="642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 возложении обязанностей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42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и установлению доплат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42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640"/>
      </w:pPr>
      <w:r/>
      <w:r/>
    </w:p>
    <w:p>
      <w:pPr>
        <w:pStyle w:val="640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Уважаемый </w:t>
      </w:r>
      <w:r>
        <w:rPr>
          <w:sz w:val="28"/>
          <w:szCs w:val="28"/>
        </w:rPr>
        <w:t xml:space="preserve">Александр Борисович</w:t>
      </w:r>
      <w:r>
        <w:rPr>
          <w:sz w:val="28"/>
          <w:szCs w:val="28"/>
        </w:rPr>
        <w:t xml:space="preserve">!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ind w:firstLine="851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На пер</w:t>
      </w:r>
      <w:r>
        <w:rPr>
          <w:sz w:val="28"/>
          <w:szCs w:val="28"/>
        </w:rPr>
        <w:t xml:space="preserve">иод </w:t>
      </w:r>
      <w:r>
        <w:rPr>
          <w:sz w:val="28"/>
          <w:szCs w:val="28"/>
        </w:rPr>
        <w:t xml:space="preserve">отсутствия </w:t>
      </w:r>
      <w:r>
        <w:rPr>
          <w:sz w:val="28"/>
          <w:szCs w:val="28"/>
        </w:rPr>
        <w:t xml:space="preserve">(больничный)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</w:t>
      </w:r>
      <w:r>
        <w:rPr>
          <w:sz w:val="28"/>
          <w:szCs w:val="28"/>
        </w:rPr>
        <w:t xml:space="preserve">02</w:t>
      </w:r>
      <w:r>
        <w:rPr>
          <w:sz w:val="28"/>
          <w:szCs w:val="28"/>
        </w:rPr>
        <w:t xml:space="preserve">.04</w:t>
      </w:r>
      <w:r>
        <w:rPr>
          <w:sz w:val="28"/>
          <w:szCs w:val="28"/>
        </w:rPr>
        <w:t xml:space="preserve">.2026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ведущего </w:t>
      </w:r>
      <w:r>
        <w:rPr>
          <w:sz w:val="28"/>
          <w:szCs w:val="28"/>
        </w:rPr>
        <w:t xml:space="preserve">инженера </w:t>
      </w:r>
      <w:r>
        <w:rPr>
          <w:sz w:val="28"/>
          <w:szCs w:val="28"/>
        </w:rPr>
        <w:t xml:space="preserve">Мохнаткина А.Н.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таб. №</w:t>
      </w:r>
      <w:r>
        <w:rPr>
          <w:sz w:val="28"/>
          <w:szCs w:val="28"/>
        </w:rPr>
        <w:t xml:space="preserve"> 8125</w:t>
      </w:r>
      <w:r>
        <w:rPr>
          <w:sz w:val="28"/>
          <w:szCs w:val="28"/>
        </w:rPr>
        <w:t xml:space="preserve">, прошу возложить обязанности </w:t>
      </w:r>
      <w:r>
        <w:rPr>
          <w:sz w:val="28"/>
          <w:szCs w:val="28"/>
        </w:rPr>
        <w:t xml:space="preserve">на инженера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Ведущего инженера</w:t>
      </w:r>
      <w:r>
        <w:rPr>
          <w:sz w:val="28"/>
          <w:szCs w:val="28"/>
        </w:rPr>
        <w:t xml:space="preserve"> Чистякова И.В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, таб. № 41247</w:t>
      </w:r>
      <w:r>
        <w:rPr>
          <w:sz w:val="28"/>
          <w:szCs w:val="28"/>
        </w:rPr>
        <w:t xml:space="preserve"> с установлением доплаты 10% за дополнительный объем работ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pStyle w:val="640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</w:t>
      </w:r>
      <w:r>
        <w:rPr>
          <w:sz w:val="28"/>
          <w:szCs w:val="28"/>
        </w:rPr>
        <w:t xml:space="preserve">ачальник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>
        <w:rPr>
          <w:sz w:val="28"/>
          <w:szCs w:val="28"/>
        </w:rPr>
        <w:tab/>
        <w:tab/>
        <w:tab/>
        <w:tab/>
      </w:r>
      <w:r>
        <w:rPr>
          <w:sz w:val="28"/>
          <w:szCs w:val="28"/>
        </w:rPr>
        <w:t xml:space="preserve">      </w:t>
        <w:tab/>
        <w:tab/>
      </w:r>
      <w:r>
        <w:rPr>
          <w:sz w:val="28"/>
          <w:szCs w:val="28"/>
        </w:rPr>
        <w:t xml:space="preserve">А.В. Бочкарев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sectPr>
      <w:footerReference w:type="default" r:id="rId9"/>
      <w:footerReference w:type="first" r:id="rId10"/>
      <w:footnotePr/>
      <w:endnotePr/>
      <w:type w:val="nextPage"/>
      <w:pgSz w:w="11906" w:h="16838" w:orient="portrait"/>
      <w:pgMar w:top="1134" w:right="567" w:bottom="1134" w:left="1701" w:header="709" w:footer="380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a">
    <w:panose1 w:val="05000600020000020004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52"/>
      <w:ind w:left="-1701"/>
      <w:spacing w:before="0"/>
      <w:rPr>
        <w:rFonts w:ascii="Micra" w:hAnsi="Micra"/>
        <w:b/>
        <w:bCs/>
        <w:color w:val="244061"/>
        <w:sz w:val="12"/>
        <w:szCs w:val="12"/>
      </w:rPr>
    </w:pP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50"/>
      <w:ind w:left="-1701"/>
      <w:jc w:val="center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641"/>
      <w:isLgl w:val="false"/>
      <w:suff w:val="nothing"/>
      <w:lvlText w:val=""/>
      <w:lvlJc w:val="left"/>
      <w:pPr>
        <w:ind w:left="432" w:hanging="432"/>
        <w:tabs>
          <w:tab w:val="num" w:pos="0" w:leader="none"/>
        </w:tabs>
      </w:pPr>
    </w:lvl>
    <w:lvl w:ilvl="1">
      <w:start w:val="1"/>
      <w:numFmt w:val="decimal"/>
      <w:pStyle w:val="642"/>
      <w:isLgl w:val="false"/>
      <w:suff w:val="nothing"/>
      <w:lvlText w:val=""/>
      <w:lvlJc w:val="left"/>
      <w:pPr>
        <w:ind w:left="576" w:hanging="576"/>
        <w:tabs>
          <w:tab w:val="num" w:pos="0" w:leader="none"/>
        </w:tabs>
      </w:pPr>
    </w:lvl>
    <w:lvl w:ilvl="2">
      <w:start w:val="1"/>
      <w:numFmt w:val="decimal"/>
      <w:isLgl w:val="false"/>
      <w:suff w:val="nothing"/>
      <w:lvlText w:val=""/>
      <w:lvlJc w:val="left"/>
      <w:pPr>
        <w:ind w:left="720" w:hanging="720"/>
        <w:tabs>
          <w:tab w:val="num" w:pos="0" w:leader="none"/>
        </w:tabs>
      </w:pPr>
    </w:lvl>
    <w:lvl w:ilvl="3">
      <w:start w:val="1"/>
      <w:numFmt w:val="decimal"/>
      <w:isLgl w:val="false"/>
      <w:suff w:val="nothing"/>
      <w:lvlText w:val=""/>
      <w:lvlJc w:val="left"/>
      <w:pPr>
        <w:ind w:left="864" w:hanging="864"/>
        <w:tabs>
          <w:tab w:val="num" w:pos="0" w:leader="none"/>
        </w:tabs>
      </w:pPr>
    </w:lvl>
    <w:lvl w:ilvl="4">
      <w:start w:val="1"/>
      <w:numFmt w:val="decimal"/>
      <w:isLgl w:val="false"/>
      <w:suff w:val="nothing"/>
      <w:lvlText w:val=""/>
      <w:lvlJc w:val="left"/>
      <w:pPr>
        <w:ind w:left="1008" w:hanging="1008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ind w:left="1584" w:hanging="1584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5747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646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718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790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862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934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1006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1078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11507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40"/>
    <w:next w:val="640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40"/>
    <w:next w:val="640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40"/>
    <w:next w:val="640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40"/>
    <w:next w:val="640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40"/>
    <w:next w:val="640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40"/>
    <w:next w:val="640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40"/>
    <w:next w:val="640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40"/>
    <w:next w:val="640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40"/>
    <w:next w:val="640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40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40"/>
    <w:next w:val="640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40"/>
    <w:next w:val="640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40"/>
    <w:next w:val="640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40"/>
    <w:next w:val="640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40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40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40"/>
    <w:next w:val="640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40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40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40"/>
    <w:next w:val="640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40"/>
    <w:next w:val="640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40"/>
    <w:next w:val="640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40"/>
    <w:next w:val="640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40"/>
    <w:next w:val="640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40"/>
    <w:next w:val="640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40"/>
    <w:next w:val="640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40"/>
    <w:next w:val="640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40"/>
    <w:next w:val="640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40"/>
    <w:next w:val="640"/>
    <w:uiPriority w:val="99"/>
    <w:unhideWhenUsed/>
    <w:pPr>
      <w:spacing w:after="0" w:afterAutospacing="0"/>
    </w:pPr>
  </w:style>
  <w:style w:type="paragraph" w:styleId="640" w:default="1">
    <w:name w:val="Normal"/>
    <w:next w:val="640"/>
    <w:link w:val="640"/>
    <w:qFormat/>
    <w:rPr>
      <w:rFonts w:ascii="Times New Roman" w:hAnsi="Times New Roman" w:eastAsia="Times New Roman"/>
      <w:sz w:val="24"/>
      <w:szCs w:val="24"/>
      <w:lang w:val="ru-RU" w:eastAsia="ru-RU" w:bidi="ar-SA"/>
    </w:rPr>
  </w:style>
  <w:style w:type="paragraph" w:styleId="641">
    <w:name w:val="Заголовок 1"/>
    <w:basedOn w:val="640"/>
    <w:next w:val="640"/>
    <w:link w:val="655"/>
    <w:qFormat/>
    <w:pPr>
      <w:numPr>
        <w:ilvl w:val="0"/>
        <w:numId w:val="1"/>
      </w:numPr>
      <w:keepNext/>
      <w:spacing w:before="240" w:after="60"/>
      <w:outlineLvl w:val="0"/>
    </w:pPr>
    <w:rPr>
      <w:rFonts w:ascii="Arial" w:hAnsi="Arial"/>
      <w:b/>
      <w:bCs/>
      <w:sz w:val="32"/>
      <w:szCs w:val="32"/>
      <w:lang w:val="en-US" w:eastAsia="ar-SA"/>
    </w:rPr>
  </w:style>
  <w:style w:type="paragraph" w:styleId="642">
    <w:name w:val="Заголовок 2"/>
    <w:basedOn w:val="640"/>
    <w:next w:val="640"/>
    <w:link w:val="656"/>
    <w:qFormat/>
    <w:pPr>
      <w:numPr>
        <w:ilvl w:val="1"/>
        <w:numId w:val="1"/>
      </w:numPr>
      <w:jc w:val="center"/>
      <w:keepNext/>
      <w:outlineLvl w:val="1"/>
    </w:pPr>
    <w:rPr>
      <w:sz w:val="28"/>
      <w:szCs w:val="20"/>
      <w:lang w:val="en-US" w:eastAsia="ar-SA"/>
    </w:rPr>
  </w:style>
  <w:style w:type="character" w:styleId="643">
    <w:name w:val="Основной шрифт абзаца"/>
    <w:next w:val="643"/>
    <w:link w:val="640"/>
    <w:uiPriority w:val="1"/>
    <w:unhideWhenUsed/>
  </w:style>
  <w:style w:type="table" w:styleId="644">
    <w:name w:val="Обычная таблица"/>
    <w:next w:val="644"/>
    <w:link w:val="640"/>
    <w:uiPriority w:val="99"/>
    <w:semiHidden/>
    <w:unhideWhenUsed/>
    <w:qFormat/>
    <w:tblPr/>
  </w:style>
  <w:style w:type="numbering" w:styleId="645">
    <w:name w:val="Нет списка"/>
    <w:next w:val="645"/>
    <w:link w:val="640"/>
    <w:uiPriority w:val="99"/>
    <w:semiHidden/>
    <w:unhideWhenUsed/>
  </w:style>
  <w:style w:type="paragraph" w:styleId="646">
    <w:name w:val="Текст выноски"/>
    <w:basedOn w:val="640"/>
    <w:next w:val="646"/>
    <w:link w:val="647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647">
    <w:name w:val="Текст выноски Знак"/>
    <w:next w:val="647"/>
    <w:link w:val="646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648">
    <w:name w:val="Верхний колонтитул"/>
    <w:basedOn w:val="640"/>
    <w:next w:val="648"/>
    <w:link w:val="649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649">
    <w:name w:val="Верхний колонтитул Знак"/>
    <w:next w:val="649"/>
    <w:link w:val="648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50">
    <w:name w:val="Нижний колонтитул"/>
    <w:basedOn w:val="640"/>
    <w:next w:val="650"/>
    <w:link w:val="651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651">
    <w:name w:val="Нижний колонтитул Знак"/>
    <w:next w:val="651"/>
    <w:link w:val="650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52">
    <w:name w:val="ОбычныйТекст"/>
    <w:basedOn w:val="640"/>
    <w:next w:val="652"/>
    <w:link w:val="640"/>
    <w:pPr>
      <w:spacing w:before="240"/>
    </w:pPr>
    <w:rPr>
      <w:rFonts w:ascii="Tahoma" w:hAnsi="Tahoma"/>
      <w:sz w:val="20"/>
      <w:szCs w:val="20"/>
    </w:rPr>
  </w:style>
  <w:style w:type="table" w:styleId="653">
    <w:name w:val="Сетка таблицы"/>
    <w:basedOn w:val="644"/>
    <w:next w:val="653"/>
    <w:link w:val="640"/>
    <w:rPr>
      <w:rFonts w:ascii="Times New Roman" w:hAnsi="Times New Roman" w:eastAsia="Times New Roman"/>
    </w:rPr>
    <w:tblPr/>
  </w:style>
  <w:style w:type="character" w:styleId="654">
    <w:name w:val="defaultlabelstyle1"/>
    <w:next w:val="654"/>
    <w:link w:val="640"/>
    <w:rPr>
      <w:rFonts w:ascii="Verdana" w:hAnsi="Verdana"/>
      <w:color w:val="333333"/>
    </w:rPr>
  </w:style>
  <w:style w:type="character" w:styleId="655">
    <w:name w:val="Заголовок 1 Знак"/>
    <w:next w:val="655"/>
    <w:link w:val="641"/>
    <w:rPr>
      <w:rFonts w:ascii="Arial" w:hAnsi="Arial" w:eastAsia="Times New Roman" w:cs="Arial"/>
      <w:b/>
      <w:bCs/>
      <w:sz w:val="32"/>
      <w:szCs w:val="32"/>
      <w:lang w:eastAsia="ar-SA"/>
    </w:rPr>
  </w:style>
  <w:style w:type="character" w:styleId="656">
    <w:name w:val="Заголовок 2 Знак"/>
    <w:next w:val="656"/>
    <w:link w:val="642"/>
    <w:rPr>
      <w:rFonts w:ascii="Times New Roman" w:hAnsi="Times New Roman" w:eastAsia="Times New Roman"/>
      <w:sz w:val="28"/>
      <w:lang w:eastAsia="ar-SA"/>
    </w:rPr>
  </w:style>
  <w:style w:type="paragraph" w:styleId="657">
    <w:name w:val="Абзац списка"/>
    <w:basedOn w:val="640"/>
    <w:next w:val="657"/>
    <w:link w:val="640"/>
    <w:uiPriority w:val="34"/>
    <w:qFormat/>
    <w:pPr>
      <w:contextualSpacing/>
      <w:ind w:left="720"/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967" w:default="1">
    <w:name w:val="Default Paragraph Font"/>
    <w:uiPriority w:val="1"/>
    <w:semiHidden/>
    <w:unhideWhenUsed/>
  </w:style>
  <w:style w:type="numbering" w:styleId="968" w:default="1">
    <w:name w:val="No List"/>
    <w:uiPriority w:val="99"/>
    <w:semiHidden/>
    <w:unhideWhenUsed/>
  </w:style>
  <w:style w:type="table" w:styleId="969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EKohanova</dc:creator>
  <cp:lastModifiedBy>Vernergold-EYU</cp:lastModifiedBy>
  <cp:revision>8</cp:revision>
  <dcterms:created xsi:type="dcterms:W3CDTF">2025-06-16T06:01:00Z</dcterms:created>
  <dcterms:modified xsi:type="dcterms:W3CDTF">2026-04-16T03:57:07Z</dcterms:modified>
  <cp:version>1048576</cp:version>
</cp:coreProperties>
</file>