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m:oMathPara>
        <m:oMathParaPr>
          <m:jc m:val="center"/>
        </m:oMathParaPr>
        <m:oMath>
          <m:r>
            <m:t>L</m:t>
          </m:r>
          <m:r>
            <m:rPr>
              <m:sty m:val="p"/>
            </m:rPr>
            <m:t>=</m:t>
          </m:r>
          <m:r>
            <m:rPr>
              <m:sty m:val="p"/>
            </m:rPr>
            <m:t>log</m:t>
          </m:r>
          <m:r>
            <m:t>p</m:t>
          </m:r>
          <m:r>
            <m:rPr>
              <m:sty m:val="p"/>
            </m:rPr>
            <m:t>(</m:t>
          </m:r>
          <m:r>
            <m:t>x</m:t>
          </m:r>
          <m:d>
            <m:dPr>
              <m:begChr m:val="|"/>
              <m:endChr m:val="|"/>
              <m:sepChr m:val=""/>
              <m:grow/>
            </m:dPr>
            <m:e>
              <m:sSub>
                <m:e>
                  <m:r>
                    <m:t>z</m:t>
                  </m:r>
                </m:e>
                <m:sub>
                  <m:r>
                    <m:t>q</m:t>
                  </m:r>
                </m:sub>
              </m:sSub>
              <m:d>
                <m:dPr>
                  <m:begChr m:val="("/>
                  <m:endChr m:val=")"/>
                  <m:sepChr m:val=""/>
                  <m:grow/>
                </m:dPr>
                <m:e>
                  <m:r>
                    <m:t>x</m:t>
                  </m:r>
                </m:e>
              </m:d>
              <m:r>
                <m:rPr>
                  <m:sty m:val="p"/>
                </m:rPr>
                <m:t>)</m:t>
              </m:r>
              <m:r>
                <m:rPr>
                  <m:sty m:val="p"/>
                </m:rPr>
                <m:t>+</m:t>
              </m:r>
            </m:e>
          </m:d>
          <m:d>
            <m:dPr>
              <m:begChr m:val="|"/>
              <m:endChr m:val="|"/>
              <m:sepChr m:val=""/>
              <m:grow/>
            </m:dPr>
            <m:e>
              <m:r>
                <m:t>s</m:t>
              </m:r>
              <m:r>
                <m:t>g</m:t>
              </m:r>
              <m:d>
                <m:dPr>
                  <m:begChr m:val="["/>
                  <m:endChr m:val="]"/>
                  <m:sepChr m:val=""/>
                  <m:grow/>
                </m:dPr>
                <m:e>
                  <m:sSub>
                    <m:e>
                      <m:r>
                        <m:t>z</m:t>
                      </m:r>
                    </m:e>
                    <m:sub>
                      <m:r>
                        <m:t>e</m:t>
                      </m:r>
                    </m:sub>
                  </m:sSub>
                  <m:d>
                    <m:dPr>
                      <m:begChr m:val="("/>
                      <m:endChr m:val=")"/>
                      <m:sepChr m:val=""/>
                      <m:grow/>
                    </m:dPr>
                    <m:e>
                      <m:r>
                        <m:t>x</m:t>
                      </m:r>
                    </m:e>
                  </m:d>
                </m:e>
              </m:d>
              <m:r>
                <m:rPr>
                  <m:sty m:val="p"/>
                </m:rPr>
                <m:t>−</m:t>
              </m:r>
              <m:r>
                <m:t>e</m:t>
              </m:r>
            </m:e>
          </m:d>
          <m:d>
            <m:dPr>
              <m:begChr m:val="|"/>
              <m:endChr m:val="|"/>
              <m:sepChr m:val=""/>
              <m:grow/>
            </m:dPr>
            <m:e>
              <m:sSubSup>
                <m:e>
                  <m:r>
                    <m:t>​</m:t>
                  </m:r>
                </m:e>
                <m:sub>
                  <m:r>
                    <m:t>2</m:t>
                  </m:r>
                </m:sub>
                <m:sup>
                  <m:r>
                    <m:t>2</m:t>
                  </m:r>
                </m:sup>
              </m:sSubSup>
              <m:r>
                <m:rPr>
                  <m:sty m:val="p"/>
                </m:rPr>
                <m:t>+</m:t>
              </m:r>
              <m:r>
                <m:t>β</m:t>
              </m:r>
            </m:e>
          </m:d>
          <m:d>
            <m:dPr>
              <m:begChr m:val="|"/>
              <m:endChr m:val="|"/>
              <m:sepChr m:val=""/>
              <m:grow/>
            </m:dPr>
            <m:e>
              <m:sSub>
                <m:e>
                  <m:r>
                    <m:t>z</m:t>
                  </m:r>
                </m:e>
                <m:sub>
                  <m:r>
                    <m:t>e</m:t>
                  </m:r>
                </m:sub>
              </m:sSub>
              <m:d>
                <m:dPr>
                  <m:begChr m:val="("/>
                  <m:endChr m:val=")"/>
                  <m:sepChr m:val=""/>
                  <m:grow/>
                </m:dPr>
                <m:e>
                  <m:r>
                    <m:t>x</m:t>
                  </m:r>
                </m:e>
              </m:d>
              <m:r>
                <m:rPr>
                  <m:sty m:val="p"/>
                </m:rPr>
                <m:t>−</m:t>
              </m:r>
              <m:r>
                <m:t>s</m:t>
              </m:r>
              <m:r>
                <m:t>g</m:t>
              </m:r>
              <m:d>
                <m:dPr>
                  <m:begChr m:val="["/>
                  <m:endChr m:val="]"/>
                  <m:sepChr m:val=""/>
                  <m:grow/>
                </m:dPr>
                <m:e>
                  <m:r>
                    <m:t>e</m:t>
                  </m:r>
                </m:e>
              </m:d>
            </m:e>
          </m:d>
          <m:sSubSup>
            <m:e>
              <m:r>
                <m:rPr>
                  <m:sty m:val="p"/>
                </m:rPr>
                <m:t>|</m:t>
              </m:r>
            </m:e>
            <m:sub>
              <m:r>
                <m:t>2</m:t>
              </m:r>
            </m:sub>
            <m:sup>
              <m:r>
                <m:t>2</m:t>
              </m:r>
            </m:sup>
          </m:sSubSup>
        </m:oMath>
      </m:oMathPara>
    </w:p>
    <w:p>
      <w:pPr>
        <w:pStyle w:val="FirstParagraph"/>
      </w:pPr>
      <w:r>
        <w:t xml:space="preserve">大概看一眼，第二项和第三项基本一样，只是那个</w:t>
      </w:r>
      <w:r>
        <w:t xml:space="preserve"> </w:t>
      </w:r>
      <m:oMath>
        <m:r>
          <m:t>s</m:t>
        </m:r>
        <m:r>
          <m:t>g</m:t>
        </m:r>
        <m:d>
          <m:dPr>
            <m:begChr m:val="["/>
            <m:endChr m:val="]"/>
            <m:sepChr m:val=""/>
            <m:grow/>
          </m:dPr>
          <m:e>
            <m:r>
              <m:rPr>
                <m:sty m:val="p"/>
              </m:rPr>
              <m:t>•</m:t>
            </m:r>
          </m:e>
        </m:d>
      </m:oMath>
      <w:r>
        <w:t xml:space="preserve"> </w:t>
      </w:r>
      <w:r>
        <w:t xml:space="preserve">的对象变了，而且第三项多了个</w:t>
      </w:r>
      <w:r>
        <w:t xml:space="preserve"> </w:t>
      </w:r>
      <m:oMath>
        <m:r>
          <m:t>β</m:t>
        </m:r>
      </m:oMath>
      <w:r>
        <w:t xml:space="preserve"> </w:t>
      </w:r>
      <w:r>
        <w:t xml:space="preserve">.这个 sg</w:t>
      </w:r>
      <w:r>
        <w:t xml:space="preserve"> </w:t>
      </w:r>
      <w:r>
        <w:t xml:space="preserve">就是 stop gradient, 即 gradient backpropagation 到此为止，不再往前传.</w:t>
      </w:r>
      <w:r>
        <w:t xml:space="preserve"> </w:t>
      </w:r>
      <w:r>
        <w:t xml:space="preserve">第一项用来训练 encoder 和 decoder. 从上面图中的红线可以看出，bp 的时候</w:t>
      </w:r>
      <w:r>
        <w:t xml:space="preserve"> </w:t>
      </w:r>
      <m:oMath>
        <m:sSub>
          <m:e>
            <m:r>
              <m:t>z</m:t>
            </m:r>
          </m:e>
          <m:sub>
            <m:r>
              <m:t>q</m:t>
            </m:r>
          </m:sub>
        </m:sSub>
        <m:d>
          <m:dPr>
            <m:begChr m:val="("/>
            <m:endChr m:val=")"/>
            <m:sepChr m:val=""/>
            <m:grow/>
          </m:dPr>
          <m:e>
            <m:r>
              <m:t>x</m:t>
            </m:r>
          </m:e>
        </m:d>
      </m:oMath>
      <w:r>
        <w:t xml:space="preserve"> </w:t>
      </w:r>
      <w:r>
        <w:t xml:space="preserve">的梯度</w:t>
      </w:r>
      <w:r>
        <w:t xml:space="preserve"> </w:t>
      </w:r>
      <m:oMath>
        <m:sSup>
          <m:e>
            <m:r>
              <m:t>​</m:t>
            </m:r>
          </m:e>
          <m:sup>
            <m:r>
              <m:rPr>
                <m:sty m:val="p"/>
              </m:rPr>
              <m:t>+</m:t>
            </m:r>
          </m:sup>
        </m:sSup>
      </m:oMath>
      <w:r>
        <w:t xml:space="preserve"> </w:t>
      </w:r>
      <w:r>
        <w:t xml:space="preserve">直接</w:t>
      </w:r>
      <w:r>
        <w:t xml:space="preserve"> </w:t>
      </w:r>
      <w:r>
        <w:t xml:space="preserve">copy 给</w:t>
      </w:r>
      <w:r>
        <w:t xml:space="preserve"> </w:t>
      </w:r>
      <m:oMath>
        <m:sSub>
          <m:e>
            <m:r>
              <m:t>z</m:t>
            </m:r>
          </m:e>
          <m:sub>
            <m:r>
              <m:t>e</m:t>
            </m:r>
          </m:sub>
        </m:sSub>
        <m:d>
          <m:dPr>
            <m:begChr m:val="("/>
            <m:endChr m:val=")"/>
            <m:sepChr m:val=""/>
            <m:grow/>
          </m:dPr>
          <m:e>
            <m:r>
              <m:t>x</m:t>
            </m:r>
          </m:e>
        </m:d>
      </m:oMath>
      <w:r>
        <w:t xml:space="preserve"> </w:t>
      </w:r>
      <w:r>
        <w:t xml:space="preserve">,而不给 codebook 里的 embedding</w:t>
      </w:r>
      <w:r>
        <w:t xml:space="preserve"> </w:t>
      </w:r>
      <m:oMath>
        <m:sSup>
          <m:e>
            <m:r>
              <m:t>​</m:t>
            </m:r>
          </m:e>
          <m:sup>
            <m:r>
              <m:rPr>
                <m:sty m:val="p"/>
              </m:rPr>
              <m:t>+</m:t>
            </m:r>
          </m:sup>
        </m:sSup>
      </m:oMath>
      <w:r>
        <w:t xml:space="preserve">,所以这一项只训练 encoder 和 decoder.</w:t>
      </w:r>
      <w:r>
        <w:t xml:space="preserve"> </w:t>
      </w:r>
      <w:r>
        <w:t xml:space="preserve">第二项叫 codebook loss</w:t>
      </w:r>
      <w:r>
        <w:t xml:space="preserve"> </w:t>
      </w:r>
      <m:oMath>
        <m:sSup>
          <m:e>
            <m:r>
              <m:t>​</m:t>
            </m:r>
          </m:e>
          <m:sup>
            <m:r>
              <m:rPr>
                <m:sty m:val="p"/>
              </m:rPr>
              <m:t>+</m:t>
            </m:r>
          </m:sup>
        </m:sSup>
      </m:oMath>
      <w:r>
        <w:t xml:space="preserve">,只训练 codebook，让 codebook 中的 embedding 向各自最近的</w:t>
      </w:r>
      <w:r>
        <w:t xml:space="preserve"> </w:t>
      </w:r>
      <m:oMath>
        <m:sSub>
          <m:e>
            <m:r>
              <m:t>z</m:t>
            </m:r>
          </m:e>
          <m:sub>
            <m:r>
              <m:t>e</m:t>
            </m:r>
          </m:sub>
        </m:sSub>
        <m:d>
          <m:dPr>
            <m:begChr m:val="("/>
            <m:endChr m:val=")"/>
            <m:sepChr m:val=""/>
            <m:grow/>
          </m:dPr>
          <m:e>
            <m:r>
              <m:t>x</m:t>
            </m:r>
          </m:e>
        </m:d>
      </m:oMath>
      <w:r>
        <w:t xml:space="preserve"> </w:t>
      </w:r>
      <w:r>
        <w:t xml:space="preserve">靠近.</w:t>
      </w:r>
      <w:r>
        <w:t xml:space="preserve"> </w:t>
      </w:r>
      <w:r>
        <w:t xml:space="preserve">第三项叫 commitment loss</w:t>
      </w:r>
      <w:r>
        <w:t xml:space="preserve"> </w:t>
      </w:r>
      <m:oMath>
        <m:sSup>
          <m:e>
            <m:r>
              <m:t>​</m:t>
            </m:r>
          </m:e>
          <m:sup>
            <m:r>
              <m:rPr>
                <m:sty m:val="p"/>
              </m:rPr>
              <m:t>+</m:t>
            </m:r>
          </m:sup>
        </m:sSup>
      </m:oMath>
      <w:r>
        <w:t xml:space="preserve">,只训练 encoder，目的是 encourage the output of encoder to stay close to the chosen codebook vector to prevent it from flucturating too frequently from one code vector to another, 即防止 encoder 的输出频繁在各个 codebook embedding 之</w:t>
      </w:r>
      <w:r>
        <w:t xml:space="preserve"> </w:t>
      </w:r>
      <w:r>
        <w:t xml:space="preserve">间跳.</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2024-12-24T07:35:15Z</dcterms:created>
  <dcterms:modified xsi:type="dcterms:W3CDTF">2024-12-24T07:35:15Z</dcterms:modified>
</cp:coreProperties>
</file>

<file path=docProps/custom.xml><?xml version="1.0" encoding="utf-8"?>
<Properties xmlns="http://schemas.openxmlformats.org/officeDocument/2006/custom-properties" xmlns:vt="http://schemas.openxmlformats.org/officeDocument/2006/docPropsVTypes"/>
</file>