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7A7A7A"/>
          <w:sz w:val="20"/>
          <w:szCs w:val="20"/>
        </w:rPr>
        <w:t xml:space="preserve">CS5292 — Cybersecurity Audits and Compliance</w:t>
      </w:r>
    </w:p>
    <w:p>
      <w:pPr>
        <w:spacing w:after="160"/>
      </w:pPr>
      <w:r>
        <w:rPr>
          <w:b/>
          <w:bCs/>
          <w:color w:val="1A1A1A"/>
          <w:sz w:val="48"/>
          <w:szCs w:val="48"/>
        </w:rPr>
        <w:t xml:space="preserve">Week 3 — Speaker Script Notes</w:t>
      </w:r>
    </w:p>
    <w:p>
      <w:pPr>
        <w:spacing w:after="400"/>
      </w:pPr>
      <w:r>
        <w:rPr>
          <w:color w:val="7A7A7A"/>
          <w:sz w:val="24"/>
          <w:szCs w:val="24"/>
        </w:rPr>
        <w:t xml:space="preserve">Part 1 (The PDPO, the Trend, and the Three Tools) and Part 2 (Three Cases From the Field)</w:t>
      </w:r>
    </w:p>
    <w:p>
      <w:pPr>
        <w:spacing w:after="300"/>
      </w:pPr>
      <w:r>
        <w:rPr>
          <w:i/>
          <w:iCs/>
          <w:color w:val="7A7A7A"/>
          <w:sz w:val="20"/>
          <w:szCs w:val="20"/>
        </w:rPr>
        <w:t xml:space="preserve">How to use this document: each entry below corresponds to one slide, in deck order, grouped by the same section dividers used on-slide. The text is written as spoken delivery — what to say and emphasize — not a repeat of the bullet text already on the slide. Divider and pulse-check slides get shorter framing notes; content, table, and chart slides get fuller narration. Timing is not marked slide-by-slide — pace against the ~90-minute (Part 1) and untimed (Part 2) targets noted in the build-status doc.</w:t>
      </w:r>
    </w:p>
    <w:p>
      <w:pPr>
        <w:spacing w:after="200"/>
      </w:pPr>
      <w:r>
        <w:rPr>
          <w:b/>
          <w:bCs/>
          <w:color w:val="B3261E"/>
          <w:sz w:val="20"/>
          <w:szCs w:val="20"/>
        </w:rPr>
        <w:t xml:space="preserve">Part 2 note: this script is the sanitized, shareable companion to the TLP:RED deck — the compiled .pptx should not be redistributed, but this document contains no confidential specifics (no exact IPs, hostnames, account names, or individual names) and is safe to share or print.</w:t>
      </w:r>
    </w:p>
    <w:p>
      <w:r>
        <w:br w:type="page"/>
      </w:r>
    </w:p>
    <w:p>
      <w:pPr>
        <w:spacing w:after="160"/>
      </w:pPr>
      <w:r>
        <w:rPr>
          <w:b/>
          <w:bCs/>
          <w:color w:val="1A1A1A"/>
          <w:sz w:val="40"/>
          <w:szCs w:val="40"/>
        </w:rPr>
        <w:t xml:space="preserve">CS5292 Week 3 — Part 1: The PDPO, the Trend, and the Three Tools</w:t>
      </w:r>
    </w:p>
    <w:p>
      <w:pPr>
        <w:spacing w:after="80"/>
      </w:pPr>
      <w:r>
        <w:rPr>
          <w:color w:val="7A7A7A"/>
          <w:sz w:val="24"/>
          <w:szCs w:val="24"/>
        </w:rPr>
        <w:t xml:space="preserve">Speaker script notes · 38 slides · ~90 minutes (one 15-minute break mid-way)</w:t>
      </w:r>
    </w:p>
    <w:p>
      <w:pPr>
        <w:pBdr>
          <w:bottom w:val="single" w:color="D04A02" w:sz="12" w:space="1"/>
        </w:pBdr>
        <w:spacing w:after="200"/>
      </w:pPr>
    </w:p>
    <w:p>
      <w:pPr>
        <w:pStyle w:val="Heading2"/>
        <w:spacing w:after="120" w:before="360"/>
      </w:pPr>
      <w:r>
        <w:t xml:space="preserve">Opening</w:t>
      </w:r>
    </w:p>
    <w:p>
      <w:pPr>
        <w:pBdr>
          <w:top w:val="single" w:color="D8D8D8" w:sz="4" w:space="6"/>
        </w:pBdr>
        <w:spacing w:after="60" w:before="240"/>
      </w:pPr>
      <w:r>
        <w:rPr>
          <w:b/>
          <w:bCs/>
          <w:color w:val="D04A02"/>
          <w:sz w:val="20"/>
          <w:szCs w:val="20"/>
        </w:rPr>
        <w:t xml:space="preserve">Slide 1</w:t>
      </w:r>
      <w:r>
        <w:rPr>
          <w:b/>
          <w:bCs/>
          <w:color w:val="7A7A7A"/>
          <w:sz w:val="20"/>
          <w:szCs w:val="20"/>
        </w:rPr>
        <w:t xml:space="preserve">  ·  </w:t>
      </w:r>
      <w:r>
        <w:rPr>
          <w:b/>
          <w:bCs/>
          <w:sz w:val="22"/>
          <w:szCs w:val="22"/>
        </w:rPr>
        <w:t xml:space="preserve">Title — “Cap. 486, Twenty Years On”</w:t>
      </w:r>
      <w:r>
        <w:rPr>
          <w:i/>
          <w:iCs/>
          <w:color w:val="7A7A7A"/>
          <w:sz w:val="18"/>
          <w:szCs w:val="18"/>
        </w:rPr>
        <w:t xml:space="preserve">   [TITLE SLIDE]</w:t>
      </w:r>
    </w:p>
    <w:p>
      <w:pPr>
        <w:spacing w:after="120" w:line="300"/>
      </w:pPr>
      <w:r>
        <w:rPr>
          <w:color w:val="1A1A1A"/>
          <w:sz w:val="22"/>
          <w:szCs w:val="22"/>
        </w:rPr>
        <w:t xml:space="preserve">Open by naming the frame for the whole session: this is a law that just turned thirty, not twenty — use the title as a hook (“Cap. 486” is the ordinance’s formal citation) and tell them we’re covering how it came to be, how it changed, and the three tools PCPD actually has to enforce it. Flag the 90-minute run time and the break roughly halfway through.</w:t>
      </w:r>
    </w:p>
    <w:p>
      <w:pPr>
        <w:pBdr>
          <w:top w:val="single" w:color="D8D8D8" w:sz="4" w:space="6"/>
        </w:pBdr>
        <w:spacing w:after="60" w:before="240"/>
      </w:pPr>
      <w:r>
        <w:rPr>
          <w:b/>
          <w:bCs/>
          <w:color w:val="D04A02"/>
          <w:sz w:val="20"/>
          <w:szCs w:val="20"/>
        </w:rPr>
        <w:t xml:space="preserve">Slide 2</w:t>
      </w:r>
      <w:r>
        <w:rPr>
          <w:b/>
          <w:bCs/>
          <w:color w:val="7A7A7A"/>
          <w:sz w:val="20"/>
          <w:szCs w:val="20"/>
        </w:rPr>
        <w:t xml:space="preserve">  ·  </w:t>
      </w:r>
      <w:r>
        <w:rPr>
          <w:b/>
          <w:bCs/>
          <w:sz w:val="22"/>
          <w:szCs w:val="22"/>
        </w:rPr>
        <w:t xml:space="preserve">Divider — “The Law, and the Trend.”</w:t>
      </w:r>
      <w:r>
        <w:rPr>
          <w:i/>
          <w:iCs/>
          <w:color w:val="7A7A7A"/>
          <w:sz w:val="18"/>
          <w:szCs w:val="18"/>
        </w:rPr>
        <w:t xml:space="preserve">   [DIVIDER]</w:t>
      </w:r>
    </w:p>
    <w:p>
      <w:pPr>
        <w:spacing w:after="120" w:line="300"/>
      </w:pPr>
      <w:r>
        <w:rPr>
          <w:color w:val="1A1A1A"/>
          <w:sz w:val="22"/>
          <w:szCs w:val="22"/>
        </w:rPr>
        <w:t xml:space="preserve">First half, 45 minutes: where the PDPO came from, what actually changed it over thirty years, and what the last five years of breach data say about why the regulator is leaning in harder. Keep this short — it’s a signpost, not content.</w:t>
      </w:r>
    </w:p>
    <w:p>
      <w:pPr>
        <w:pBdr>
          <w:top w:val="single" w:color="D8D8D8" w:sz="4" w:space="6"/>
        </w:pBdr>
        <w:spacing w:after="60" w:before="240"/>
      </w:pPr>
      <w:r>
        <w:rPr>
          <w:b/>
          <w:bCs/>
          <w:color w:val="D04A02"/>
          <w:sz w:val="20"/>
          <w:szCs w:val="20"/>
        </w:rPr>
        <w:t xml:space="preserve">Slide 3</w:t>
      </w:r>
      <w:r>
        <w:rPr>
          <w:b/>
          <w:bCs/>
          <w:color w:val="7A7A7A"/>
          <w:sz w:val="20"/>
          <w:szCs w:val="20"/>
        </w:rPr>
        <w:t xml:space="preserve">  ·  </w:t>
      </w:r>
      <w:r>
        <w:rPr>
          <w:b/>
          <w:bCs/>
          <w:sz w:val="22"/>
          <w:szCs w:val="22"/>
        </w:rPr>
        <w:t xml:space="preserve">Roadmap for Part 1</w:t>
      </w:r>
    </w:p>
    <w:p>
      <w:pPr>
        <w:spacing w:after="120" w:line="300"/>
      </w:pPr>
      <w:r>
        <w:rPr>
          <w:color w:val="1A1A1A"/>
          <w:sz w:val="22"/>
          <w:szCs w:val="22"/>
        </w:rPr>
        <w:t xml:space="preserve">Walk the four stops in order: the law itself and what it asks of a “data user”; the two real amendments, each triggered by a real Hong Kong scandal; PCPD’s own five-year numbers on breaches and enforcement; and then, close to home, two education-sector breaches before we get into the three tools case by case. This is the map — don’t linger.</w:t>
      </w:r>
    </w:p>
    <w:p>
      <w:pPr>
        <w:pStyle w:val="Heading2"/>
        <w:spacing w:after="120" w:before="360"/>
      </w:pPr>
      <w:r>
        <w:t xml:space="preserve">The law and its evolution</w:t>
      </w:r>
    </w:p>
    <w:p>
      <w:pPr>
        <w:pBdr>
          <w:top w:val="single" w:color="D8D8D8" w:sz="4" w:space="6"/>
        </w:pBdr>
        <w:spacing w:after="60" w:before="240"/>
      </w:pPr>
      <w:r>
        <w:rPr>
          <w:b/>
          <w:bCs/>
          <w:color w:val="D04A02"/>
          <w:sz w:val="20"/>
          <w:szCs w:val="20"/>
        </w:rPr>
        <w:t xml:space="preserve">Slide 4</w:t>
      </w:r>
      <w:r>
        <w:rPr>
          <w:b/>
          <w:bCs/>
          <w:color w:val="7A7A7A"/>
          <w:sz w:val="20"/>
          <w:szCs w:val="20"/>
        </w:rPr>
        <w:t xml:space="preserve">  ·  </w:t>
      </w:r>
      <w:r>
        <w:rPr>
          <w:b/>
          <w:bCs/>
          <w:sz w:val="22"/>
          <w:szCs w:val="22"/>
        </w:rPr>
        <w:t xml:space="preserve">What the PDPO Is</w:t>
      </w:r>
    </w:p>
    <w:p>
      <w:pPr>
        <w:spacing w:after="120" w:line="300"/>
      </w:pPr>
      <w:r>
        <w:rPr>
          <w:color w:val="1A1A1A"/>
          <w:sz w:val="22"/>
          <w:szCs w:val="22"/>
        </w:rPr>
        <w:t xml:space="preserve">The Personal Data (Privacy) Ordinance was enacted 3 August 1995 by LegCo — worth pausing on: that pre-dates the GDPR by roughly two decades, so this is genuinely one of Asia’s oldest data-protection statutes, not a follower law. PCPD itself — the Privacy Commissioner for Personal Data — stood up a year later, 1 August 1996, as an independent statutory regulator, not a government department; that independence matters for everything we’ll see about how it investigates and enforces. The ordinance came into force 20 December 1996 built around six Data Protection Principles — collection, retention, security, access — and those six principles are still the spine of the law today, thirty years on. It applies broadly: any “data user” controlling personal data in or from Hong Kong, no sector carve-out.</w:t>
      </w:r>
    </w:p>
    <w:p>
      <w:pPr>
        <w:pBdr>
          <w:top w:val="single" w:color="D8D8D8" w:sz="4" w:space="6"/>
        </w:pBdr>
        <w:spacing w:after="60" w:before="240"/>
      </w:pPr>
      <w:r>
        <w:rPr>
          <w:b/>
          <w:bCs/>
          <w:color w:val="D04A02"/>
          <w:sz w:val="20"/>
          <w:szCs w:val="20"/>
        </w:rPr>
        <w:t xml:space="preserve">Slide 5</w:t>
      </w:r>
      <w:r>
        <w:rPr>
          <w:b/>
          <w:bCs/>
          <w:color w:val="7A7A7A"/>
          <w:sz w:val="20"/>
          <w:szCs w:val="20"/>
        </w:rPr>
        <w:t xml:space="preserve">  ·  </w:t>
      </w:r>
      <w:r>
        <w:rPr>
          <w:b/>
          <w:bCs/>
          <w:sz w:val="22"/>
          <w:szCs w:val="22"/>
        </w:rPr>
        <w:t xml:space="preserve">How the Law Evolved</w:t>
      </w:r>
      <w:r>
        <w:rPr>
          <w:i/>
          <w:iCs/>
          <w:color w:val="7A7A7A"/>
          <w:sz w:val="18"/>
          <w:szCs w:val="18"/>
        </w:rPr>
        <w:t xml:space="preserve">   [TABLE]</w:t>
      </w:r>
    </w:p>
    <w:p>
      <w:pPr>
        <w:spacing w:after="120" w:line="300"/>
      </w:pPr>
      <w:r>
        <w:rPr>
          <w:color w:val="1A1A1A"/>
          <w:sz w:val="22"/>
          <w:szCs w:val="22"/>
        </w:rPr>
        <w:t xml:space="preserve">Point at the table before you say anything: two amendments in thirty years, 2012 and 2021, and both followed a named, concrete Hong Kong incident — not a policy review in the abstract. 2012 introduced opt-in consent for direct marketing, triggered by the Octopus Rewards scandal. 2021 added anti-doxxing offences and new search-warrant and cessation-notice powers, triggered by the 5,800-plus doxxing complaints during the 2019–21 unrest. Land the point explicitly: every substantive change to this law has followed a real incident, which tells you something about how Hong Kong regulation tends to move.</w:t>
      </w:r>
    </w:p>
    <w:p>
      <w:pPr>
        <w:pBdr>
          <w:top w:val="single" w:color="D8D8D8" w:sz="4" w:space="6"/>
        </w:pBdr>
        <w:spacing w:after="60" w:before="240"/>
      </w:pPr>
      <w:r>
        <w:rPr>
          <w:b/>
          <w:bCs/>
          <w:color w:val="D04A02"/>
          <w:sz w:val="20"/>
          <w:szCs w:val="20"/>
        </w:rPr>
        <w:t xml:space="preserve">Slide 6</w:t>
      </w:r>
      <w:r>
        <w:rPr>
          <w:b/>
          <w:bCs/>
          <w:color w:val="7A7A7A"/>
          <w:sz w:val="20"/>
          <w:szCs w:val="20"/>
        </w:rPr>
        <w:t xml:space="preserve">  ·  </w:t>
      </w:r>
      <w:r>
        <w:rPr>
          <w:b/>
          <w:bCs/>
          <w:sz w:val="22"/>
          <w:szCs w:val="22"/>
        </w:rPr>
        <w:t xml:space="preserve">2012: Octopus Rewards</w:t>
      </w:r>
    </w:p>
    <w:p>
      <w:pPr>
        <w:spacing w:after="120" w:line="300"/>
      </w:pPr>
      <w:r>
        <w:rPr>
          <w:color w:val="1A1A1A"/>
          <w:sz w:val="22"/>
          <w:szCs w:val="22"/>
        </w:rPr>
        <w:t xml:space="preserve">Octopus sold 2.4 million customers’ records to third-party marketers for HK$44 million — that number is what made headlines and is worth saying slowly. The amendment’s core change was opt-in: consent required before personal data is used in direct marketing, effective 1 October 2012 for most provisions, direct-marketing rules from 1 April 2013. It also quietly added something useful: a legal-assistance scheme so ordinary complainants could actually pursue civil claims with PCPD’s support, not just file a complaint and hope.</w:t>
      </w:r>
    </w:p>
    <w:p>
      <w:pPr>
        <w:pBdr>
          <w:top w:val="single" w:color="D8D8D8" w:sz="4" w:space="6"/>
        </w:pBdr>
        <w:spacing w:after="60" w:before="240"/>
      </w:pPr>
      <w:r>
        <w:rPr>
          <w:b/>
          <w:bCs/>
          <w:color w:val="D04A02"/>
          <w:sz w:val="20"/>
          <w:szCs w:val="20"/>
        </w:rPr>
        <w:t xml:space="preserve">Slide 7</w:t>
      </w:r>
      <w:r>
        <w:rPr>
          <w:b/>
          <w:bCs/>
          <w:color w:val="7A7A7A"/>
          <w:sz w:val="20"/>
          <w:szCs w:val="20"/>
        </w:rPr>
        <w:t xml:space="preserve">  ·  </w:t>
      </w:r>
      <w:r>
        <w:rPr>
          <w:b/>
          <w:bCs/>
          <w:sz w:val="22"/>
          <w:szCs w:val="22"/>
        </w:rPr>
        <w:t xml:space="preserve">2021: The Doxxing Amendment</w:t>
      </w:r>
    </w:p>
    <w:p>
      <w:pPr>
        <w:spacing w:after="120" w:line="300"/>
      </w:pPr>
      <w:r>
        <w:rPr>
          <w:color w:val="1A1A1A"/>
          <w:sz w:val="22"/>
          <w:szCs w:val="22"/>
        </w:rPr>
        <w:t xml:space="preserve">This one was built for a threat the 1995 drafters could not have anticipated: over 5,800 doxxing complaints between June 2019 and 2021, skewed toward police officers, judicial staff, hospital patients and their families — intimidation, not garden-variety harassment. The amendment created two tiers of criminal offence, summary (HK$100,000 / 2 years) and indictable (HK$1 million / 5 years), and gave PCPD powers that simply didn’t exist before: search warrants, evidence seizure, and cessation notices it can serve directly on platforms. Close with the compliance number — platform compliance with cessation notices is now above 98%, up from roughly 70% in the early days — that’s a genuine enforcement success story worth flagging.</w:t>
      </w:r>
    </w:p>
    <w:p>
      <w:pPr>
        <w:pBdr>
          <w:top w:val="single" w:color="D8D8D8" w:sz="4" w:space="6"/>
        </w:pBdr>
        <w:spacing w:after="60" w:before="240"/>
      </w:pPr>
      <w:r>
        <w:rPr>
          <w:b/>
          <w:bCs/>
          <w:color w:val="D04A02"/>
          <w:sz w:val="20"/>
          <w:szCs w:val="20"/>
        </w:rPr>
        <w:t xml:space="preserve">Slide 8</w:t>
      </w:r>
      <w:r>
        <w:rPr>
          <w:b/>
          <w:bCs/>
          <w:color w:val="7A7A7A"/>
          <w:sz w:val="20"/>
          <w:szCs w:val="20"/>
        </w:rPr>
        <w:t xml:space="preserve">  ·  </w:t>
      </w:r>
      <w:r>
        <w:rPr>
          <w:b/>
          <w:bCs/>
          <w:sz w:val="22"/>
          <w:szCs w:val="22"/>
        </w:rPr>
        <w:t xml:space="preserve">Pulse check — fast or slow?</w:t>
      </w:r>
      <w:r>
        <w:rPr>
          <w:i/>
          <w:iCs/>
          <w:color w:val="7A7A7A"/>
          <w:sz w:val="18"/>
          <w:szCs w:val="18"/>
        </w:rPr>
        <w:t xml:space="preserve">   [PULSE CHECK]</w:t>
      </w:r>
    </w:p>
    <w:p>
      <w:pPr>
        <w:spacing w:after="120" w:line="300"/>
      </w:pPr>
      <w:r>
        <w:rPr>
          <w:color w:val="1A1A1A"/>
          <w:sz w:val="22"/>
          <w:szCs w:val="22"/>
        </w:rPr>
        <w:t xml:space="preserve">Pose it and actually wait for hands: a law written in 1995, substantially amended twice in thirty years — is that fast or slow for technology regulation? Ask for a show of hands on “slow” specifically, then let a couple of people argue either side before moving on. Don’t resolve it yourself — the ambiguity is the point.</w:t>
      </w:r>
    </w:p>
    <w:p>
      <w:pPr>
        <w:pStyle w:val="Heading2"/>
        <w:spacing w:after="120" w:before="360"/>
      </w:pPr>
      <w:r>
        <w:t xml:space="preserve">The trend</w:t>
      </w:r>
    </w:p>
    <w:p>
      <w:pPr>
        <w:pBdr>
          <w:top w:val="single" w:color="D8D8D8" w:sz="4" w:space="6"/>
        </w:pBdr>
        <w:spacing w:after="60" w:before="240"/>
      </w:pPr>
      <w:r>
        <w:rPr>
          <w:b/>
          <w:bCs/>
          <w:color w:val="D04A02"/>
          <w:sz w:val="20"/>
          <w:szCs w:val="20"/>
        </w:rPr>
        <w:t xml:space="preserve">Slide 9</w:t>
      </w:r>
      <w:r>
        <w:rPr>
          <w:b/>
          <w:bCs/>
          <w:color w:val="7A7A7A"/>
          <w:sz w:val="20"/>
          <w:szCs w:val="20"/>
        </w:rPr>
        <w:t xml:space="preserve">  ·  </w:t>
      </w:r>
      <w:r>
        <w:rPr>
          <w:b/>
          <w:bCs/>
          <w:sz w:val="22"/>
          <w:szCs w:val="22"/>
        </w:rPr>
        <w:t xml:space="preserve">HK Breach Notifications, 2021–25</w:t>
      </w:r>
      <w:r>
        <w:rPr>
          <w:i/>
          <w:iCs/>
          <w:color w:val="7A7A7A"/>
          <w:sz w:val="18"/>
          <w:szCs w:val="18"/>
        </w:rPr>
        <w:t xml:space="preserve">   [CHART]</w:t>
      </w:r>
    </w:p>
    <w:p>
      <w:pPr>
        <w:spacing w:after="120" w:line="300"/>
      </w:pPr>
      <w:r>
        <w:rPr>
          <w:color w:val="1A1A1A"/>
          <w:sz w:val="22"/>
          <w:szCs w:val="22"/>
        </w:rPr>
        <w:t xml:space="preserve">Read the chart left to right: 140, 105, 157, 203, 246. Dip in 2022, then a steady climb — more than a 75% increase from 2022 to 2025. The headline is simple: PCPD is seeing more breaches reported, not fewer, and that’s before we even get to what it does with them.</w:t>
      </w:r>
    </w:p>
    <w:p>
      <w:pPr>
        <w:pBdr>
          <w:top w:val="single" w:color="D8D8D8" w:sz="4" w:space="6"/>
        </w:pBdr>
        <w:spacing w:after="60" w:before="240"/>
      </w:pPr>
      <w:r>
        <w:rPr>
          <w:b/>
          <w:bCs/>
          <w:color w:val="D04A02"/>
          <w:sz w:val="20"/>
          <w:szCs w:val="20"/>
        </w:rPr>
        <w:t xml:space="preserve">Slide 10</w:t>
      </w:r>
      <w:r>
        <w:rPr>
          <w:b/>
          <w:bCs/>
          <w:color w:val="7A7A7A"/>
          <w:sz w:val="20"/>
          <w:szCs w:val="20"/>
        </w:rPr>
        <w:t xml:space="preserve">  ·  </w:t>
      </w:r>
      <w:r>
        <w:rPr>
          <w:b/>
          <w:bCs/>
          <w:sz w:val="22"/>
          <w:szCs w:val="22"/>
        </w:rPr>
        <w:t xml:space="preserve">PCPD Enforcement Output, 2021–25</w:t>
      </w:r>
      <w:r>
        <w:rPr>
          <w:i/>
          <w:iCs/>
          <w:color w:val="7A7A7A"/>
          <w:sz w:val="18"/>
          <w:szCs w:val="18"/>
        </w:rPr>
        <w:t xml:space="preserve">   [CHART]</w:t>
      </w:r>
    </w:p>
    <w:p>
      <w:pPr>
        <w:spacing w:after="120" w:line="300"/>
      </w:pPr>
      <w:r>
        <w:rPr>
          <w:color w:val="1A1A1A"/>
          <w:sz w:val="22"/>
          <w:szCs w:val="22"/>
        </w:rPr>
        <w:t xml:space="preserve">Same idea, different metric: investigation reports published — one, one, one, then six in 2024. Point at the card next to the chart and say it plainly: six organisations investigated and published in one year, up from one a year before, and most of those were ransomware-triggered. Read the enforcement-notice tally underneath too — 2021 Nikkei, 2022 HKIB, 2024 Oxfam, 2025 two notices plus a warning letter from three reported incidents — this is the number you’ll come back to in Part 2 when HKIB reappears.</w:t>
      </w:r>
    </w:p>
    <w:p>
      <w:pPr>
        <w:pBdr>
          <w:top w:val="single" w:color="D8D8D8" w:sz="4" w:space="6"/>
        </w:pBdr>
        <w:spacing w:after="60" w:before="240"/>
      </w:pPr>
      <w:r>
        <w:rPr>
          <w:b/>
          <w:bCs/>
          <w:color w:val="D04A02"/>
          <w:sz w:val="20"/>
          <w:szCs w:val="20"/>
        </w:rPr>
        <w:t xml:space="preserve">Slide 11</w:t>
      </w:r>
      <w:r>
        <w:rPr>
          <w:b/>
          <w:bCs/>
          <w:color w:val="7A7A7A"/>
          <w:sz w:val="20"/>
          <w:szCs w:val="20"/>
        </w:rPr>
        <w:t xml:space="preserve">  ·  </w:t>
      </w:r>
      <w:r>
        <w:rPr>
          <w:b/>
          <w:bCs/>
          <w:sz w:val="22"/>
          <w:szCs w:val="22"/>
        </w:rPr>
        <w:t xml:space="preserve">What the 2024 Reports Actually Show</w:t>
      </w:r>
      <w:r>
        <w:rPr>
          <w:i/>
          <w:iCs/>
          <w:color w:val="7A7A7A"/>
          <w:sz w:val="18"/>
          <w:szCs w:val="18"/>
        </w:rPr>
        <w:t xml:space="preserve">   [TABLE]</w:t>
      </w:r>
    </w:p>
    <w:p>
      <w:pPr>
        <w:spacing w:after="120" w:line="300"/>
      </w:pPr>
      <w:r>
        <w:rPr>
          <w:color w:val="1A1A1A"/>
          <w:sz w:val="22"/>
          <w:szCs w:val="22"/>
        </w:rPr>
        <w:t xml:space="preserve">Walk the table row by row and let the pattern say itself: Cyberport, Consumer Council, South China Athletic Association, HK Ballet and EMSD, Oxfam — five very different organisations, and the root cause column keeps repeating: no MFA, excess retention, weak policy, a vendor nobody was watching. Land on the note at the bottom — PCPD’s own Cybersecurity Readiness Index came in at 52.8 out of 100, “basic” — that’s the regulator’s own scorecard on the sector, not an outside critique.</w:t>
      </w:r>
    </w:p>
    <w:p>
      <w:pPr>
        <w:pBdr>
          <w:top w:val="single" w:color="D8D8D8" w:sz="4" w:space="6"/>
        </w:pBdr>
        <w:spacing w:after="60" w:before="240"/>
      </w:pPr>
      <w:r>
        <w:rPr>
          <w:b/>
          <w:bCs/>
          <w:color w:val="D04A02"/>
          <w:sz w:val="20"/>
          <w:szCs w:val="20"/>
        </w:rPr>
        <w:t xml:space="preserve">Slide 12</w:t>
      </w:r>
      <w:r>
        <w:rPr>
          <w:b/>
          <w:bCs/>
          <w:color w:val="7A7A7A"/>
          <w:sz w:val="20"/>
          <w:szCs w:val="20"/>
        </w:rPr>
        <w:t xml:space="preserve">  ·  </w:t>
      </w:r>
      <w:r>
        <w:rPr>
          <w:b/>
          <w:bCs/>
          <w:sz w:val="22"/>
          <w:szCs w:val="22"/>
        </w:rPr>
        <w:t xml:space="preserve">Is This a Hong Kong Story, or a Global One?</w:t>
      </w:r>
    </w:p>
    <w:p>
      <w:pPr>
        <w:spacing w:after="120" w:line="300"/>
      </w:pPr>
      <w:r>
        <w:rPr>
          <w:color w:val="1A1A1A"/>
          <w:sz w:val="22"/>
          <w:szCs w:val="22"/>
        </w:rPr>
        <w:t xml:space="preserve">Zoom out with two external benchmarks. IBM’s Cost of a Data Breach 2025: global average US$4.44 million, the first decline in five years, with malicious attack at 51% of causes, human error 26%, IT failure 23% — and flag that education actually bucked the trend, its cost still rose. Verizon’s DBIR 2026: 62% of breaches involved the human element, exploited vulnerabilities now lead as the initial-access vector at 31%, and third parties were involved in 48% of breaches, up 60% year on year. Caveat honestly, per the note: there’s no single global “breaches per year” counter the way PCPD publishes one for Hong Kong, so treat these as benchmarks, not a directly comparable series.</w:t>
      </w:r>
    </w:p>
    <w:p>
      <w:pPr>
        <w:pStyle w:val="Heading2"/>
        <w:spacing w:after="120" w:before="360"/>
      </w:pPr>
      <w:r>
        <w:t xml:space="preserve">Close to home</w:t>
      </w:r>
    </w:p>
    <w:p>
      <w:pPr>
        <w:pBdr>
          <w:top w:val="single" w:color="D8D8D8" w:sz="4" w:space="6"/>
        </w:pBdr>
        <w:spacing w:after="60" w:before="240"/>
      </w:pPr>
      <w:r>
        <w:rPr>
          <w:b/>
          <w:bCs/>
          <w:color w:val="D04A02"/>
          <w:sz w:val="20"/>
          <w:szCs w:val="20"/>
        </w:rPr>
        <w:t xml:space="preserve">Slide 13</w:t>
      </w:r>
      <w:r>
        <w:rPr>
          <w:b/>
          <w:bCs/>
          <w:color w:val="7A7A7A"/>
          <w:sz w:val="20"/>
          <w:szCs w:val="20"/>
        </w:rPr>
        <w:t xml:space="preserve">  ·  </w:t>
      </w:r>
      <w:r>
        <w:rPr>
          <w:b/>
          <w:bCs/>
          <w:sz w:val="22"/>
          <w:szCs w:val="22"/>
        </w:rPr>
        <w:t xml:space="preserve">Divider — “It Happened in a Classroom.”</w:t>
      </w:r>
      <w:r>
        <w:rPr>
          <w:i/>
          <w:iCs/>
          <w:color w:val="7A7A7A"/>
          <w:sz w:val="18"/>
          <w:szCs w:val="18"/>
        </w:rPr>
        <w:t xml:space="preserve">   [DIVIDER]</w:t>
      </w:r>
    </w:p>
    <w:p>
      <w:pPr>
        <w:spacing w:after="120" w:line="300"/>
      </w:pPr>
      <w:r>
        <w:rPr>
          <w:color w:val="1A1A1A"/>
          <w:sz w:val="22"/>
          <w:szCs w:val="22"/>
        </w:rPr>
        <w:t xml:space="preserve">Two global incidents in the last eighteen months, both education-sector — tell them this is the sector most directly relevant to almost everyone in the room, students and future practitioners alike.</w:t>
      </w:r>
    </w:p>
    <w:p>
      <w:pPr>
        <w:pBdr>
          <w:top w:val="single" w:color="D8D8D8" w:sz="4" w:space="6"/>
        </w:pBdr>
        <w:spacing w:after="60" w:before="240"/>
      </w:pPr>
      <w:r>
        <w:rPr>
          <w:b/>
          <w:bCs/>
          <w:color w:val="D04A02"/>
          <w:sz w:val="20"/>
          <w:szCs w:val="20"/>
        </w:rPr>
        <w:t xml:space="preserve">Slide 14</w:t>
      </w:r>
      <w:r>
        <w:rPr>
          <w:b/>
          <w:bCs/>
          <w:color w:val="7A7A7A"/>
          <w:sz w:val="20"/>
          <w:szCs w:val="20"/>
        </w:rPr>
        <w:t xml:space="preserve">  ·  </w:t>
      </w:r>
      <w:r>
        <w:rPr>
          <w:b/>
          <w:bCs/>
          <w:sz w:val="22"/>
          <w:szCs w:val="22"/>
        </w:rPr>
        <w:t xml:space="preserve">PowerSchool — What Happened</w:t>
      </w:r>
    </w:p>
    <w:p>
      <w:pPr>
        <w:spacing w:after="120" w:line="300"/>
      </w:pPr>
      <w:r>
        <w:rPr>
          <w:color w:val="1A1A1A"/>
          <w:sz w:val="22"/>
          <w:szCs w:val="22"/>
        </w:rPr>
        <w:t xml:space="preserve">One stolen credential to PowerSchool’s own support portal — PowerSource — was the entire entry point, and it cascaded into roughly 62 million students’ and teachers’ records exposed across thousands of US K-12 districts. Data categories taken included Social Security numbers and health information, plus academic records and contact info. The breach happened December 2024 but wasn’t disclosed until January 2025, once districts started receiving extortion demands directly. Make the vendor-concentration point explicit: PowerSchool is a student-information-system vendor, so one compromise fanned out into thousands of otherwise-unrelated districts at once.</w:t>
      </w:r>
    </w:p>
    <w:p>
      <w:pPr>
        <w:pBdr>
          <w:top w:val="single" w:color="D8D8D8" w:sz="4" w:space="6"/>
        </w:pBdr>
        <w:spacing w:after="60" w:before="240"/>
      </w:pPr>
      <w:r>
        <w:rPr>
          <w:b/>
          <w:bCs/>
          <w:color w:val="D04A02"/>
          <w:sz w:val="20"/>
          <w:szCs w:val="20"/>
        </w:rPr>
        <w:t xml:space="preserve">Slide 15</w:t>
      </w:r>
      <w:r>
        <w:rPr>
          <w:b/>
          <w:bCs/>
          <w:color w:val="7A7A7A"/>
          <w:sz w:val="20"/>
          <w:szCs w:val="20"/>
        </w:rPr>
        <w:t xml:space="preserve">  ·  </w:t>
      </w:r>
      <w:r>
        <w:rPr>
          <w:b/>
          <w:bCs/>
          <w:sz w:val="22"/>
          <w:szCs w:val="22"/>
        </w:rPr>
        <w:t xml:space="preserve">PowerSchool — Paying Didn’t End It</w:t>
      </w:r>
    </w:p>
    <w:p>
      <w:pPr>
        <w:spacing w:after="120" w:line="300"/>
      </w:pPr>
      <w:r>
        <w:rPr>
          <w:color w:val="1A1A1A"/>
          <w:sz w:val="22"/>
          <w:szCs w:val="22"/>
        </w:rPr>
        <w:t xml:space="preserve">PowerSchool paid roughly US$2.85 million on a promise the stolen data would be deleted. It didn’t end there — a second extortion wave followed, the same stolen data now used to demand ransom directly from individual school districts. A 19-year-old in the US has since pled guilty, and a DOJ investigation into co-conspirators is ongoing. Land the teaching point cleanly: paying a ransom buys a promise, not a guarantee — deletion isn’t verifiable, and it doesn’t stop re-extortion.</w:t>
      </w:r>
    </w:p>
    <w:p>
      <w:pPr>
        <w:pBdr>
          <w:top w:val="single" w:color="D8D8D8" w:sz="4" w:space="6"/>
        </w:pBdr>
        <w:spacing w:after="60" w:before="240"/>
      </w:pPr>
      <w:r>
        <w:rPr>
          <w:b/>
          <w:bCs/>
          <w:color w:val="D04A02"/>
          <w:sz w:val="20"/>
          <w:szCs w:val="20"/>
        </w:rPr>
        <w:t xml:space="preserve">Slide 16</w:t>
      </w:r>
      <w:r>
        <w:rPr>
          <w:b/>
          <w:bCs/>
          <w:color w:val="7A7A7A"/>
          <w:sz w:val="20"/>
          <w:szCs w:val="20"/>
        </w:rPr>
        <w:t xml:space="preserve">  ·  </w:t>
      </w:r>
      <w:r>
        <w:rPr>
          <w:b/>
          <w:bCs/>
          <w:sz w:val="22"/>
          <w:szCs w:val="22"/>
        </w:rPr>
        <w:t xml:space="preserve">Pulse check — is paying ever right?</w:t>
      </w:r>
      <w:r>
        <w:rPr>
          <w:i/>
          <w:iCs/>
          <w:color w:val="7A7A7A"/>
          <w:sz w:val="18"/>
          <w:szCs w:val="18"/>
        </w:rPr>
        <w:t xml:space="preserve">   [PULSE CHECK]</w:t>
      </w:r>
    </w:p>
    <w:p>
      <w:pPr>
        <w:spacing w:after="120" w:line="300"/>
      </w:pPr>
      <w:r>
        <w:rPr>
          <w:color w:val="1A1A1A"/>
          <w:sz w:val="22"/>
          <w:szCs w:val="22"/>
        </w:rPr>
        <w:t xml:space="preserve">Set it up with the PowerSchool twist still fresh: they paid, and the attacker came back anyway with the same data. Ask for a show of hands on whether paying a ransom is ever the right call, and let the room sit with the discomfort for a moment before moving on.</w:t>
      </w:r>
    </w:p>
    <w:p>
      <w:pPr>
        <w:pBdr>
          <w:top w:val="single" w:color="D8D8D8" w:sz="4" w:space="6"/>
        </w:pBdr>
        <w:spacing w:after="60" w:before="240"/>
      </w:pPr>
      <w:r>
        <w:rPr>
          <w:b/>
          <w:bCs/>
          <w:color w:val="D04A02"/>
          <w:sz w:val="20"/>
          <w:szCs w:val="20"/>
        </w:rPr>
        <w:t xml:space="preserve">Slide 17</w:t>
      </w:r>
      <w:r>
        <w:rPr>
          <w:b/>
          <w:bCs/>
          <w:color w:val="7A7A7A"/>
          <w:sz w:val="20"/>
          <w:szCs w:val="20"/>
        </w:rPr>
        <w:t xml:space="preserve">  ·  </w:t>
      </w:r>
      <w:r>
        <w:rPr>
          <w:b/>
          <w:bCs/>
          <w:sz w:val="22"/>
          <w:szCs w:val="22"/>
        </w:rPr>
        <w:t xml:space="preserve">Canvas / Instructure — The Same Pattern</w:t>
      </w:r>
    </w:p>
    <w:p>
      <w:pPr>
        <w:spacing w:after="120" w:line="300"/>
      </w:pPr>
      <w:r>
        <w:rPr>
          <w:color w:val="1A1A1A"/>
          <w:sz w:val="22"/>
          <w:szCs w:val="22"/>
        </w:rPr>
        <w:t xml:space="preserve">A second education breach, eighteen months later, same shape: the attacker claims 8,809 institutions affected and roughly 275 million user accounts exposed through a “Free-For-Teacher” account vulnerability, with 3.65 terabytes claimed exfiltrated by the group ShinyHunters. April–May 2026, and Hong Kong is named among the affected countries — a reported US$10 million was paid, and a class action and Congressional inquiry followed. Be honest that you’re naming this for the trend rather than dissecting it to the same depth as PowerSchool, since it’s recent enough some students may have a closer personal connection to it than to PowerSchool.</w:t>
      </w:r>
    </w:p>
    <w:p>
      <w:pPr>
        <w:pBdr>
          <w:top w:val="single" w:color="D8D8D8" w:sz="4" w:space="6"/>
        </w:pBdr>
        <w:spacing w:after="60" w:before="240"/>
      </w:pPr>
      <w:r>
        <w:rPr>
          <w:b/>
          <w:bCs/>
          <w:color w:val="D04A02"/>
          <w:sz w:val="20"/>
          <w:szCs w:val="20"/>
        </w:rPr>
        <w:t xml:space="preserve">Slide 18</w:t>
      </w:r>
      <w:r>
        <w:rPr>
          <w:b/>
          <w:bCs/>
          <w:color w:val="7A7A7A"/>
          <w:sz w:val="20"/>
          <w:szCs w:val="20"/>
        </w:rPr>
        <w:t xml:space="preserve">  ·  </w:t>
      </w:r>
      <w:r>
        <w:rPr>
          <w:b/>
          <w:bCs/>
          <w:sz w:val="22"/>
          <w:szCs w:val="22"/>
        </w:rPr>
        <w:t xml:space="preserve">Part 1 — The Pattern (first-half synthesis)</w:t>
      </w:r>
    </w:p>
    <w:p>
      <w:pPr>
        <w:spacing w:after="120" w:line="300"/>
      </w:pPr>
      <w:r>
        <w:rPr>
          <w:color w:val="1A1A1A"/>
          <w:sz w:val="22"/>
          <w:szCs w:val="22"/>
        </w:rPr>
        <w:t xml:space="preserve">Tie the whole first half together in three moves: the PDPO changes when a real incident forces it, not on a schedule; PCPD’s own numbers show more notifications and more published findings year over year; and PowerSchool and Canvas show the same root causes as the 2024 Hong Kong reports, just at a much larger scale. Preview what’s next, per the note: after the break, the three tools PCPD actually has — inspection, investigation, enforcement notice — and three cases that show the difference.</w:t>
      </w:r>
    </w:p>
    <w:p>
      <w:pPr>
        <w:pBdr>
          <w:top w:val="single" w:color="D8D8D8" w:sz="4" w:space="6"/>
        </w:pBdr>
        <w:spacing w:after="60" w:before="240"/>
      </w:pPr>
      <w:r>
        <w:rPr>
          <w:b/>
          <w:bCs/>
          <w:color w:val="D04A02"/>
          <w:sz w:val="20"/>
          <w:szCs w:val="20"/>
        </w:rPr>
        <w:t xml:space="preserve">Slide 19</w:t>
      </w:r>
      <w:r>
        <w:rPr>
          <w:b/>
          <w:bCs/>
          <w:color w:val="7A7A7A"/>
          <w:sz w:val="20"/>
          <w:szCs w:val="20"/>
        </w:rPr>
        <w:t xml:space="preserve">  ·  </w:t>
      </w:r>
      <w:r>
        <w:rPr>
          <w:b/>
          <w:bCs/>
          <w:sz w:val="22"/>
          <w:szCs w:val="22"/>
        </w:rPr>
        <w:t xml:space="preserve">Questions Before the Break</w:t>
      </w:r>
    </w:p>
    <w:p>
      <w:pPr>
        <w:spacing w:after="120" w:line="300"/>
      </w:pPr>
      <w:r>
        <w:rPr>
          <w:color w:val="1A1A1A"/>
          <w:sz w:val="22"/>
          <w:szCs w:val="22"/>
        </w:rPr>
        <w:t xml:space="preserve">Recap the three numbers worth remembering: two amendments in thirty years, both tied to a named incident; breach notifications climbing 140 to 246 over five years; and PowerSchool/Canvas as the “one credential or vulnerability, tens of millions of records, payment that didn’t end it” pattern. Take questions, then call the break — 15 minutes.</w:t>
      </w:r>
    </w:p>
    <w:p>
      <w:pPr>
        <w:pStyle w:val="Heading2"/>
        <w:spacing w:after="120" w:before="360"/>
      </w:pPr>
      <w:r>
        <w:t xml:space="preserve">Divider — Second half</w:t>
      </w:r>
    </w:p>
    <w:p>
      <w:pPr>
        <w:pBdr>
          <w:top w:val="single" w:color="D8D8D8" w:sz="4" w:space="6"/>
        </w:pBdr>
        <w:spacing w:after="60" w:before="240"/>
      </w:pPr>
      <w:r>
        <w:rPr>
          <w:b/>
          <w:bCs/>
          <w:color w:val="D04A02"/>
          <w:sz w:val="20"/>
          <w:szCs w:val="20"/>
        </w:rPr>
        <w:t xml:space="preserve">Slide 20</w:t>
      </w:r>
      <w:r>
        <w:rPr>
          <w:b/>
          <w:bCs/>
          <w:color w:val="7A7A7A"/>
          <w:sz w:val="20"/>
          <w:szCs w:val="20"/>
        </w:rPr>
        <w:t xml:space="preserve">  ·  </w:t>
      </w:r>
      <w:r>
        <w:rPr>
          <w:b/>
          <w:bCs/>
          <w:sz w:val="22"/>
          <w:szCs w:val="22"/>
        </w:rPr>
        <w:t xml:space="preserve">Divider — “The Ladder, Rung by Rung.”</w:t>
      </w:r>
      <w:r>
        <w:rPr>
          <w:i/>
          <w:iCs/>
          <w:color w:val="7A7A7A"/>
          <w:sz w:val="18"/>
          <w:szCs w:val="18"/>
        </w:rPr>
        <w:t xml:space="preserve">   [DIVIDER]</w:t>
      </w:r>
    </w:p>
    <w:p>
      <w:pPr>
        <w:spacing w:after="120" w:line="300"/>
      </w:pPr>
      <w:r>
        <w:rPr>
          <w:color w:val="1A1A1A"/>
          <w:sz w:val="22"/>
          <w:szCs w:val="22"/>
        </w:rPr>
        <w:t xml:space="preserve">Reset the room after the break. Same regulator, three different tools, each with its own trigger, its own powers, and its own consequence — we’ll compare them side by side, then walk three real cases that escalate through all three.</w:t>
      </w:r>
    </w:p>
    <w:p>
      <w:pPr>
        <w:pBdr>
          <w:top w:val="single" w:color="D8D8D8" w:sz="4" w:space="6"/>
        </w:pBdr>
        <w:spacing w:after="60" w:before="240"/>
      </w:pPr>
      <w:r>
        <w:rPr>
          <w:b/>
          <w:bCs/>
          <w:color w:val="D04A02"/>
          <w:sz w:val="20"/>
          <w:szCs w:val="20"/>
        </w:rPr>
        <w:t xml:space="preserve">Slide 21</w:t>
      </w:r>
      <w:r>
        <w:rPr>
          <w:b/>
          <w:bCs/>
          <w:color w:val="7A7A7A"/>
          <w:sz w:val="20"/>
          <w:szCs w:val="20"/>
        </w:rPr>
        <w:t xml:space="preserve">  ·  </w:t>
      </w:r>
      <w:r>
        <w:rPr>
          <w:b/>
          <w:bCs/>
          <w:sz w:val="22"/>
          <w:szCs w:val="22"/>
        </w:rPr>
        <w:t xml:space="preserve">Roadmap for the Second Half</w:t>
      </w:r>
    </w:p>
    <w:p>
      <w:pPr>
        <w:spacing w:after="120" w:line="300"/>
      </w:pPr>
      <w:r>
        <w:rPr>
          <w:color w:val="1A1A1A"/>
          <w:sz w:val="22"/>
          <w:szCs w:val="22"/>
        </w:rPr>
        <w:t xml:space="preserve">Four stops: compare the three tools and the PDPO clauses behind each; Hospital Authority 2008 as the least-severe tool and what it still achieved; Cathay Pacific 2019, five months and 2,200-plus pages, and how an investigation becomes an enforcement notice; Oxfam Hong Kong 2024/25 as the most severe tool in the ladder.</w:t>
      </w:r>
    </w:p>
    <w:p>
      <w:pPr>
        <w:pBdr>
          <w:top w:val="single" w:color="D8D8D8" w:sz="4" w:space="6"/>
        </w:pBdr>
        <w:spacing w:after="60" w:before="240"/>
      </w:pPr>
      <w:r>
        <w:rPr>
          <w:b/>
          <w:bCs/>
          <w:color w:val="D04A02"/>
          <w:sz w:val="20"/>
          <w:szCs w:val="20"/>
        </w:rPr>
        <w:t xml:space="preserve">Slide 22</w:t>
      </w:r>
      <w:r>
        <w:rPr>
          <w:b/>
          <w:bCs/>
          <w:color w:val="7A7A7A"/>
          <w:sz w:val="20"/>
          <w:szCs w:val="20"/>
        </w:rPr>
        <w:t xml:space="preserve">  ·  </w:t>
      </w:r>
      <w:r>
        <w:rPr>
          <w:b/>
          <w:bCs/>
          <w:sz w:val="22"/>
          <w:szCs w:val="22"/>
        </w:rPr>
        <w:t xml:space="preserve">The Three Tools, Compared</w:t>
      </w:r>
      <w:r>
        <w:rPr>
          <w:i/>
          <w:iCs/>
          <w:color w:val="7A7A7A"/>
          <w:sz w:val="18"/>
          <w:szCs w:val="18"/>
        </w:rPr>
        <w:t xml:space="preserve">   [TABLE]</w:t>
      </w:r>
    </w:p>
    <w:p>
      <w:pPr>
        <w:spacing w:after="120" w:line="300"/>
      </w:pPr>
      <w:r>
        <w:rPr>
          <w:color w:val="1A1A1A"/>
          <w:sz w:val="22"/>
          <w:szCs w:val="22"/>
        </w:rPr>
        <w:t xml:space="preserve">This table is the spine of the whole second half — read it left to right, least severe to most severe. Inspection, under section 36: no complaint needed, examines a class of data users, produces recommendations only, no sanction. Investigation, sections 38 and 43(1): triggered by a complaint, a breach notification, or PCPD’s own motion, and produces a report — a formal finding of contravention, or not. Enforcement Notice, sections 50 and 50A: issued after an investigation finds an ongoing or recurring contravention, directs remedial steps with a deadline, and non-compliance with the notice is itself a separate offence. Flag the note: investigation can lead directly into an enforcement notice, which is exactly what you’ll see with Cathay Pacific.</w:t>
      </w:r>
    </w:p>
    <w:p>
      <w:pPr>
        <w:pBdr>
          <w:top w:val="single" w:color="D8D8D8" w:sz="4" w:space="6"/>
        </w:pBdr>
        <w:spacing w:after="60" w:before="240"/>
      </w:pPr>
      <w:r>
        <w:rPr>
          <w:b/>
          <w:bCs/>
          <w:color w:val="D04A02"/>
          <w:sz w:val="20"/>
          <w:szCs w:val="20"/>
        </w:rPr>
        <w:t xml:space="preserve">Slide 23</w:t>
      </w:r>
      <w:r>
        <w:rPr>
          <w:b/>
          <w:bCs/>
          <w:color w:val="7A7A7A"/>
          <w:sz w:val="20"/>
          <w:szCs w:val="20"/>
        </w:rPr>
        <w:t xml:space="preserve">  ·  </w:t>
      </w:r>
      <w:r>
        <w:rPr>
          <w:b/>
          <w:bCs/>
          <w:sz w:val="22"/>
          <w:szCs w:val="22"/>
        </w:rPr>
        <w:t xml:space="preserve">Pulse check — which tool worries you most?</w:t>
      </w:r>
      <w:r>
        <w:rPr>
          <w:i/>
          <w:iCs/>
          <w:color w:val="7A7A7A"/>
          <w:sz w:val="18"/>
          <w:szCs w:val="18"/>
        </w:rPr>
        <w:t xml:space="preserve">   [PULSE CHECK]</w:t>
      </w:r>
    </w:p>
    <w:p>
      <w:pPr>
        <w:spacing w:after="120" w:line="300"/>
      </w:pPr>
      <w:r>
        <w:rPr>
          <w:color w:val="1A1A1A"/>
          <w:sz w:val="22"/>
          <w:szCs w:val="22"/>
        </w:rPr>
        <w:t xml:space="preserve">Ask them to put themselves in a compliance team’s shoes: of these three, which would actually worry you the most? Take a show of hands for enforcement notice first, then investigation, and use the split to set up why we’re walking all three.</w:t>
      </w:r>
    </w:p>
    <w:p>
      <w:pPr>
        <w:pStyle w:val="Heading2"/>
        <w:spacing w:after="120" w:before="360"/>
      </w:pPr>
      <w:r>
        <w:t xml:space="preserve">Inspection — Hospital Authority, 2008</w:t>
      </w:r>
    </w:p>
    <w:p>
      <w:pPr>
        <w:pBdr>
          <w:top w:val="single" w:color="D8D8D8" w:sz="4" w:space="6"/>
        </w:pBdr>
        <w:spacing w:after="60" w:before="240"/>
      </w:pPr>
      <w:r>
        <w:rPr>
          <w:b/>
          <w:bCs/>
          <w:color w:val="D04A02"/>
          <w:sz w:val="20"/>
          <w:szCs w:val="20"/>
        </w:rPr>
        <w:t xml:space="preserve">Slide 24</w:t>
      </w:r>
      <w:r>
        <w:rPr>
          <w:b/>
          <w:bCs/>
          <w:color w:val="7A7A7A"/>
          <w:sz w:val="20"/>
          <w:szCs w:val="20"/>
        </w:rPr>
        <w:t xml:space="preserve">  ·  </w:t>
      </w:r>
      <w:r>
        <w:rPr>
          <w:b/>
          <w:bCs/>
          <w:sz w:val="22"/>
          <w:szCs w:val="22"/>
        </w:rPr>
        <w:t xml:space="preserve">Divider — “Hospital Authority, 2008.”</w:t>
      </w:r>
      <w:r>
        <w:rPr>
          <w:i/>
          <w:iCs/>
          <w:color w:val="7A7A7A"/>
          <w:sz w:val="18"/>
          <w:szCs w:val="18"/>
        </w:rPr>
        <w:t xml:space="preserve">   [DIVIDER]</w:t>
      </w:r>
    </w:p>
    <w:p>
      <w:pPr>
        <w:spacing w:after="120" w:line="300"/>
      </w:pPr>
      <w:r>
        <w:rPr>
          <w:color w:val="1A1A1A"/>
          <w:sz w:val="22"/>
          <w:szCs w:val="22"/>
        </w:rPr>
        <w:t xml:space="preserve">Ten lost portable devices in three months. No complaint required — PCPD used its inspection power under section 36(b) to examine the whole system, not just the ten incidents.</w:t>
      </w:r>
    </w:p>
    <w:p>
      <w:pPr>
        <w:pBdr>
          <w:top w:val="single" w:color="D8D8D8" w:sz="4" w:space="6"/>
        </w:pBdr>
        <w:spacing w:after="60" w:before="240"/>
      </w:pPr>
      <w:r>
        <w:rPr>
          <w:b/>
          <w:bCs/>
          <w:color w:val="D04A02"/>
          <w:sz w:val="20"/>
          <w:szCs w:val="20"/>
        </w:rPr>
        <w:t xml:space="preserve">Slide 25</w:t>
      </w:r>
      <w:r>
        <w:rPr>
          <w:b/>
          <w:bCs/>
          <w:color w:val="7A7A7A"/>
          <w:sz w:val="20"/>
          <w:szCs w:val="20"/>
        </w:rPr>
        <w:t xml:space="preserve">  ·  </w:t>
      </w:r>
      <w:r>
        <w:rPr>
          <w:b/>
          <w:bCs/>
          <w:sz w:val="22"/>
          <w:szCs w:val="22"/>
        </w:rPr>
        <w:t xml:space="preserve">HA 2008 — What Triggered It</w:t>
      </w:r>
    </w:p>
    <w:p>
      <w:pPr>
        <w:spacing w:after="120" w:line="300"/>
      </w:pPr>
      <w:r>
        <w:rPr>
          <w:color w:val="1A1A1A"/>
          <w:sz w:val="22"/>
          <w:szCs w:val="22"/>
        </w:rPr>
        <w:t xml:space="preserve">Ten portable-device loss incidents across Hospital Authority hospitals between March and May 2008, affecting roughly 16,000 patients’ data — the key word is pattern: multiple clusters, one three-month window, not a single isolated loss. Because this is an inspection under section 36(b), PCPD didn’t need a complaint or a prior finding of wrongdoing to start looking at the whole system — that’s the defining feature of this tool.</w:t>
      </w:r>
    </w:p>
    <w:p>
      <w:pPr>
        <w:pBdr>
          <w:top w:val="single" w:color="D8D8D8" w:sz="4" w:space="6"/>
        </w:pBdr>
        <w:spacing w:after="60" w:before="240"/>
      </w:pPr>
      <w:r>
        <w:rPr>
          <w:b/>
          <w:bCs/>
          <w:color w:val="D04A02"/>
          <w:sz w:val="20"/>
          <w:szCs w:val="20"/>
        </w:rPr>
        <w:t xml:space="preserve">Slide 26</w:t>
      </w:r>
      <w:r>
        <w:rPr>
          <w:b/>
          <w:bCs/>
          <w:color w:val="7A7A7A"/>
          <w:sz w:val="20"/>
          <w:szCs w:val="20"/>
        </w:rPr>
        <w:t xml:space="preserve">  ·  </w:t>
      </w:r>
      <w:r>
        <w:rPr>
          <w:b/>
          <w:bCs/>
          <w:sz w:val="22"/>
          <w:szCs w:val="22"/>
        </w:rPr>
        <w:t xml:space="preserve">HA 2008 — How PCPD Approached It</w:t>
      </w:r>
    </w:p>
    <w:p>
      <w:pPr>
        <w:spacing w:after="120" w:line="300"/>
      </w:pPr>
      <w:r>
        <w:rPr>
          <w:color w:val="1A1A1A"/>
          <w:sz w:val="22"/>
          <w:szCs w:val="22"/>
        </w:rPr>
        <w:t xml:space="preserve">PCPD sampled device-encryption practice and staff data-handling procedures across a sample of HA hospitals, not just the ten incident sites — the question was “how does this keep happening,” systemic, not “who is at fault for these ten cases,” punitive. HA cooperated voluntarily throughout; inspection doesn’t carry investigation’s compelled-document powers, so there was no need to compel anything here. The output could only ever be recommendations — an inspection cannot make a contravention finding, by design.</w:t>
      </w:r>
    </w:p>
    <w:p>
      <w:pPr>
        <w:pBdr>
          <w:top w:val="single" w:color="D8D8D8" w:sz="4" w:space="6"/>
        </w:pBdr>
        <w:spacing w:after="60" w:before="240"/>
      </w:pPr>
      <w:r>
        <w:rPr>
          <w:b/>
          <w:bCs/>
          <w:color w:val="D04A02"/>
          <w:sz w:val="20"/>
          <w:szCs w:val="20"/>
        </w:rPr>
        <w:t xml:space="preserve">Slide 27</w:t>
      </w:r>
      <w:r>
        <w:rPr>
          <w:b/>
          <w:bCs/>
          <w:color w:val="7A7A7A"/>
          <w:sz w:val="20"/>
          <w:szCs w:val="20"/>
        </w:rPr>
        <w:t xml:space="preserve">  ·  </w:t>
      </w:r>
      <w:r>
        <w:rPr>
          <w:b/>
          <w:bCs/>
          <w:sz w:val="22"/>
          <w:szCs w:val="22"/>
        </w:rPr>
        <w:t xml:space="preserve">HA 2008 — What Came Out of It</w:t>
      </w:r>
    </w:p>
    <w:p>
      <w:pPr>
        <w:spacing w:after="120" w:line="300"/>
      </w:pPr>
      <w:r>
        <w:rPr>
          <w:color w:val="1A1A1A"/>
          <w:sz w:val="22"/>
          <w:szCs w:val="22"/>
        </w:rPr>
        <w:t xml:space="preserve">23 recommendations across seven categories — encryption, training, device-handling policy — a genuinely full systemic review, not a patch job. Zero sanctions, and say explicitly why: that’s not a soft outcome, it’s the ceiling of what this tool can do by design. Set up the contrast you’re about to build: Cathay Pacific and Oxfam both went further, into findings and sanctions, because they used a different tool.</w:t>
      </w:r>
    </w:p>
    <w:p>
      <w:pPr>
        <w:pStyle w:val="Heading2"/>
        <w:spacing w:after="120" w:before="360"/>
      </w:pPr>
      <w:r>
        <w:t xml:space="preserve">Investigation — Cathay Pacific, 2019</w:t>
      </w:r>
    </w:p>
    <w:p>
      <w:pPr>
        <w:pBdr>
          <w:top w:val="single" w:color="D8D8D8" w:sz="4" w:space="6"/>
        </w:pBdr>
        <w:spacing w:after="60" w:before="240"/>
      </w:pPr>
      <w:r>
        <w:rPr>
          <w:b/>
          <w:bCs/>
          <w:color w:val="D04A02"/>
          <w:sz w:val="20"/>
          <w:szCs w:val="20"/>
        </w:rPr>
        <w:t xml:space="preserve">Slide 28</w:t>
      </w:r>
      <w:r>
        <w:rPr>
          <w:b/>
          <w:bCs/>
          <w:color w:val="7A7A7A"/>
          <w:sz w:val="20"/>
          <w:szCs w:val="20"/>
        </w:rPr>
        <w:t xml:space="preserve">  ·  </w:t>
      </w:r>
      <w:r>
        <w:rPr>
          <w:b/>
          <w:bCs/>
          <w:sz w:val="22"/>
          <w:szCs w:val="22"/>
        </w:rPr>
        <w:t xml:space="preserve">Divider — “Cathay Pacific, 2019.”</w:t>
      </w:r>
      <w:r>
        <w:rPr>
          <w:i/>
          <w:iCs/>
          <w:color w:val="7A7A7A"/>
          <w:sz w:val="18"/>
          <w:szCs w:val="18"/>
        </w:rPr>
        <w:t xml:space="preserve">   [DIVIDER]</w:t>
      </w:r>
    </w:p>
    <w:p>
      <w:pPr>
        <w:spacing w:after="120" w:line="300"/>
      </w:pPr>
      <w:r>
        <w:rPr>
          <w:color w:val="1A1A1A"/>
          <w:sz w:val="22"/>
          <w:szCs w:val="22"/>
        </w:rPr>
        <w:t xml:space="preserve">9.4 million passengers’ data, a five-month investigation under section 38(b), and — unlike the HA inspection — a formal finding of contravention.</w:t>
      </w:r>
    </w:p>
    <w:p>
      <w:pPr>
        <w:pBdr>
          <w:top w:val="single" w:color="D8D8D8" w:sz="4" w:space="6"/>
        </w:pBdr>
        <w:spacing w:after="60" w:before="240"/>
      </w:pPr>
      <w:r>
        <w:rPr>
          <w:b/>
          <w:bCs/>
          <w:color w:val="D04A02"/>
          <w:sz w:val="20"/>
          <w:szCs w:val="20"/>
        </w:rPr>
        <w:t xml:space="preserve">Slide 29</w:t>
      </w:r>
      <w:r>
        <w:rPr>
          <w:b/>
          <w:bCs/>
          <w:color w:val="7A7A7A"/>
          <w:sz w:val="20"/>
          <w:szCs w:val="20"/>
        </w:rPr>
        <w:t xml:space="preserve">  ·  </w:t>
      </w:r>
      <w:r>
        <w:rPr>
          <w:b/>
          <w:bCs/>
          <w:sz w:val="22"/>
          <w:szCs w:val="22"/>
        </w:rPr>
        <w:t xml:space="preserve">Cathay Pacific — Trigger and Powers</w:t>
      </w:r>
    </w:p>
    <w:p>
      <w:pPr>
        <w:spacing w:after="120" w:line="300"/>
      </w:pPr>
      <w:r>
        <w:rPr>
          <w:color w:val="1A1A1A"/>
          <w:sz w:val="22"/>
          <w:szCs w:val="22"/>
        </w:rPr>
        <w:t xml:space="preserve">Unauthorised access to 9.4 million passengers’ data, disclosed 24 October 2018. PCPD found “reasonable grounds” under section 38(b) after an initial compliance check, and from there used section 43(1) — the power to actually compel information, documents, and inquiries, not just ask nicely. That’s the step an inspection literally cannot take. Note the friction point: Cathay claimed legal-professional privilege over its own forensic firm’s report, which is a real, live tension in how far “compel” actually reaches in practice.</w:t>
      </w:r>
    </w:p>
    <w:p>
      <w:pPr>
        <w:pBdr>
          <w:top w:val="single" w:color="D8D8D8" w:sz="4" w:space="6"/>
        </w:pBdr>
        <w:spacing w:after="60" w:before="240"/>
      </w:pPr>
      <w:r>
        <w:rPr>
          <w:b/>
          <w:bCs/>
          <w:color w:val="D04A02"/>
          <w:sz w:val="20"/>
          <w:szCs w:val="20"/>
        </w:rPr>
        <w:t xml:space="preserve">Slide 30</w:t>
      </w:r>
      <w:r>
        <w:rPr>
          <w:b/>
          <w:bCs/>
          <w:color w:val="7A7A7A"/>
          <w:sz w:val="20"/>
          <w:szCs w:val="20"/>
        </w:rPr>
        <w:t xml:space="preserve">  ·  </w:t>
      </w:r>
      <w:r>
        <w:rPr>
          <w:b/>
          <w:bCs/>
          <w:sz w:val="22"/>
          <w:szCs w:val="22"/>
        </w:rPr>
        <w:t xml:space="preserve">Cathay Pacific — Five Months of Digging</w:t>
      </w:r>
    </w:p>
    <w:p>
      <w:pPr>
        <w:spacing w:after="120" w:line="300"/>
      </w:pPr>
      <w:r>
        <w:rPr>
          <w:color w:val="1A1A1A"/>
          <w:sz w:val="22"/>
          <w:szCs w:val="22"/>
        </w:rPr>
        <w:t xml:space="preserve">Cathay produced over 2,200 pages across more than ten written responses to PCPD’s document requests. PCPD also engaged its own independent technical expert as a second opinion — the system was too complex to take Cathay’s own account at face value. Gathering the necessary information took five months, and PCPD granted every extension Cathay requested. From an October 2018 disclosure to a published report on 6 June 2019 — a genuinely different timescale from a compliance check, and worth contrasting explicitly with the HA inspection’s pace.</w:t>
      </w:r>
    </w:p>
    <w:p>
      <w:pPr>
        <w:pBdr>
          <w:top w:val="single" w:color="D8D8D8" w:sz="4" w:space="6"/>
        </w:pBdr>
        <w:spacing w:after="60" w:before="240"/>
      </w:pPr>
      <w:r>
        <w:rPr>
          <w:b/>
          <w:bCs/>
          <w:color w:val="D04A02"/>
          <w:sz w:val="20"/>
          <w:szCs w:val="20"/>
        </w:rPr>
        <w:t xml:space="preserve">Slide 31</w:t>
      </w:r>
      <w:r>
        <w:rPr>
          <w:b/>
          <w:bCs/>
          <w:color w:val="7A7A7A"/>
          <w:sz w:val="20"/>
          <w:szCs w:val="20"/>
        </w:rPr>
        <w:t xml:space="preserve">  ·  </w:t>
      </w:r>
      <w:r>
        <w:rPr>
          <w:b/>
          <w:bCs/>
          <w:sz w:val="22"/>
          <w:szCs w:val="22"/>
        </w:rPr>
        <w:t xml:space="preserve">Cathay Pacific — What the Investigation Found</w:t>
      </w:r>
      <w:r>
        <w:rPr>
          <w:i/>
          <w:iCs/>
          <w:color w:val="7A7A7A"/>
          <w:sz w:val="18"/>
          <w:szCs w:val="18"/>
        </w:rPr>
        <w:t xml:space="preserve">   [TABLE]</w:t>
      </w:r>
    </w:p>
    <w:p>
      <w:pPr>
        <w:spacing w:after="120" w:line="300"/>
      </w:pPr>
      <w:r>
        <w:rPr>
          <w:color w:val="1A1A1A"/>
          <w:sz w:val="22"/>
          <w:szCs w:val="22"/>
        </w:rPr>
        <w:t xml:space="preserve">Two contraventions, and this is the point: an investigation can name specific, dated contraventions of specific principles, not just “improve your practices” the way an inspection does. DPP4(1), security: an unpatched known vulnerability dating to 2007, annual-only scanning, an exposed admin port, MFA only for IT staff — 41 stolen credentials were used over VPN by accounts that had none — unencrypted backups, and no data inventory until August 2017. DPP2(2), retention: roughly 240,000 HKID numbers kept 13-plus years after the purpose for collecting them had ended. Read both rows slowly; these numbers get referenced again later in the deck.</w:t>
      </w:r>
    </w:p>
    <w:p>
      <w:pPr>
        <w:pBdr>
          <w:top w:val="single" w:color="D8D8D8" w:sz="4" w:space="6"/>
        </w:pBdr>
        <w:spacing w:after="60" w:before="240"/>
      </w:pPr>
      <w:r>
        <w:rPr>
          <w:b/>
          <w:bCs/>
          <w:color w:val="D04A02"/>
          <w:sz w:val="20"/>
          <w:szCs w:val="20"/>
        </w:rPr>
        <w:t xml:space="preserve">Slide 32</w:t>
      </w:r>
      <w:r>
        <w:rPr>
          <w:b/>
          <w:bCs/>
          <w:color w:val="7A7A7A"/>
          <w:sz w:val="20"/>
          <w:szCs w:val="20"/>
        </w:rPr>
        <w:t xml:space="preserve">  ·  </w:t>
      </w:r>
      <w:r>
        <w:rPr>
          <w:b/>
          <w:bCs/>
          <w:sz w:val="22"/>
          <w:szCs w:val="22"/>
        </w:rPr>
        <w:t xml:space="preserve">Cathay Pacific — Into an Enforcement Notice</w:t>
      </w:r>
    </w:p>
    <w:p>
      <w:pPr>
        <w:spacing w:after="120" w:line="300"/>
      </w:pPr>
      <w:r>
        <w:rPr>
          <w:color w:val="1A1A1A"/>
          <w:sz w:val="22"/>
          <w:szCs w:val="22"/>
        </w:rPr>
        <w:t xml:space="preserve">Because the investigation found a contravention, PCPD issued an Enforcement Notice under section 50(1) — the rung above investigation on the ladder. Walk the directions: independent expert remediation, MFA for all remote users, scheduled vulnerability scans, periodic testing, a written retention policy, proof of compliance within six months, elimination of unnecessary HKID numbers, and certification three months after that. Land the pattern to hold onto for the rest of the course: investigation finds the contravention, the enforcement notice forces the fix.</w:t>
      </w:r>
    </w:p>
    <w:p>
      <w:pPr>
        <w:pBdr>
          <w:top w:val="single" w:color="D8D8D8" w:sz="4" w:space="6"/>
        </w:pBdr>
        <w:spacing w:after="60" w:before="240"/>
      </w:pPr>
      <w:r>
        <w:rPr>
          <w:b/>
          <w:bCs/>
          <w:color w:val="D04A02"/>
          <w:sz w:val="20"/>
          <w:szCs w:val="20"/>
        </w:rPr>
        <w:t xml:space="preserve">Slide 33</w:t>
      </w:r>
      <w:r>
        <w:rPr>
          <w:b/>
          <w:bCs/>
          <w:color w:val="7A7A7A"/>
          <w:sz w:val="20"/>
          <w:szCs w:val="20"/>
        </w:rPr>
        <w:t xml:space="preserve">  ·  </w:t>
      </w:r>
      <w:r>
        <w:rPr>
          <w:b/>
          <w:bCs/>
          <w:sz w:val="22"/>
          <w:szCs w:val="22"/>
        </w:rPr>
        <w:t xml:space="preserve">Pulse check — did MFA for IT staff only count?</w:t>
      </w:r>
      <w:r>
        <w:rPr>
          <w:i/>
          <w:iCs/>
          <w:color w:val="7A7A7A"/>
          <w:sz w:val="18"/>
          <w:szCs w:val="18"/>
        </w:rPr>
        <w:t xml:space="preserve">   [PULSE CHECK]</w:t>
      </w:r>
    </w:p>
    <w:p>
      <w:pPr>
        <w:spacing w:after="120" w:line="300"/>
      </w:pPr>
      <w:r>
        <w:rPr>
          <w:color w:val="1A1A1A"/>
          <w:sz w:val="22"/>
          <w:szCs w:val="22"/>
        </w:rPr>
        <w:t xml:space="preserve">Set it up precisely: Cathay had two-factor authentication, but only for IT support staff — not for the other remote users whose stolen credentials were actually used. Ask for a show of hands on whether that counts as “all reasonably practicable steps.” Let the tension sit — this is a genuine judgment call, not a trick question.</w:t>
      </w:r>
    </w:p>
    <w:p>
      <w:pPr>
        <w:pStyle w:val="Heading2"/>
        <w:spacing w:after="120" w:before="360"/>
      </w:pPr>
      <w:r>
        <w:t xml:space="preserve">Enforcement Notice — Oxfam Hong Kong</w:t>
      </w:r>
    </w:p>
    <w:p>
      <w:pPr>
        <w:pBdr>
          <w:top w:val="single" w:color="D8D8D8" w:sz="4" w:space="6"/>
        </w:pBdr>
        <w:spacing w:after="60" w:before="240"/>
      </w:pPr>
      <w:r>
        <w:rPr>
          <w:b/>
          <w:bCs/>
          <w:color w:val="D04A02"/>
          <w:sz w:val="20"/>
          <w:szCs w:val="20"/>
        </w:rPr>
        <w:t xml:space="preserve">Slide 34</w:t>
      </w:r>
      <w:r>
        <w:rPr>
          <w:b/>
          <w:bCs/>
          <w:color w:val="7A7A7A"/>
          <w:sz w:val="20"/>
          <w:szCs w:val="20"/>
        </w:rPr>
        <w:t xml:space="preserve">  ·  </w:t>
      </w:r>
      <w:r>
        <w:rPr>
          <w:b/>
          <w:bCs/>
          <w:sz w:val="22"/>
          <w:szCs w:val="22"/>
        </w:rPr>
        <w:t xml:space="preserve">Divider — “Oxfam Hong Kong.”</w:t>
      </w:r>
      <w:r>
        <w:rPr>
          <w:i/>
          <w:iCs/>
          <w:color w:val="7A7A7A"/>
          <w:sz w:val="18"/>
          <w:szCs w:val="18"/>
        </w:rPr>
        <w:t xml:space="preserve">   [DIVIDER]</w:t>
      </w:r>
    </w:p>
    <w:p>
      <w:pPr>
        <w:spacing w:after="120" w:line="300"/>
      </w:pPr>
      <w:r>
        <w:rPr>
          <w:color w:val="1A1A1A"/>
          <w:sz w:val="22"/>
          <w:szCs w:val="22"/>
        </w:rPr>
        <w:t xml:space="preserve">A self-reported ransomware attack, the same two contraventions we just saw at Cathay Pacific, and an Enforcement Notice with far less public detail than Cathay’s.</w:t>
      </w:r>
    </w:p>
    <w:p>
      <w:pPr>
        <w:pBdr>
          <w:top w:val="single" w:color="D8D8D8" w:sz="4" w:space="6"/>
        </w:pBdr>
        <w:spacing w:after="60" w:before="240"/>
      </w:pPr>
      <w:r>
        <w:rPr>
          <w:b/>
          <w:bCs/>
          <w:color w:val="D04A02"/>
          <w:sz w:val="20"/>
          <w:szCs w:val="20"/>
        </w:rPr>
        <w:t xml:space="preserve">Slide 35</w:t>
      </w:r>
      <w:r>
        <w:rPr>
          <w:b/>
          <w:bCs/>
          <w:color w:val="7A7A7A"/>
          <w:sz w:val="20"/>
          <w:szCs w:val="20"/>
        </w:rPr>
        <w:t xml:space="preserve">  ·  </w:t>
      </w:r>
      <w:r>
        <w:rPr>
          <w:b/>
          <w:bCs/>
          <w:sz w:val="22"/>
          <w:szCs w:val="22"/>
        </w:rPr>
        <w:t xml:space="preserve">Oxfam — What Happened</w:t>
      </w:r>
    </w:p>
    <w:p>
      <w:pPr>
        <w:spacing w:after="120" w:line="300"/>
      </w:pPr>
      <w:r>
        <w:rPr>
          <w:color w:val="1A1A1A"/>
          <w:sz w:val="22"/>
          <w:szCs w:val="22"/>
        </w:rPr>
        <w:t xml:space="preserve">Roughly 550,000 data subjects affected, over 330GB exfiltrated from 37 servers and 24 workstations. The ransomware — nicknamed “DarkHack” — was deployed 10 July 2024 and self-reported to PCPD three days later, 13 July. PCPD identified seven deficiencies, including an unpatched firewall and no MFA on the VPN. Point out explicitly that this is the same two Data Protection Principles as Cathay Pacific — DPP4(1) security and DPP2(2) retention — and say plainly that’s not a coincidence, those are the two principles PCPD reaches for most often. Concretely: the firewall had been unpatched since June 2023 and was brute-forced, and some records had been retained seven-plus years beyond need.</w:t>
      </w:r>
    </w:p>
    <w:p>
      <w:pPr>
        <w:pBdr>
          <w:top w:val="single" w:color="D8D8D8" w:sz="4" w:space="6"/>
        </w:pBdr>
        <w:spacing w:after="60" w:before="240"/>
      </w:pPr>
      <w:r>
        <w:rPr>
          <w:b/>
          <w:bCs/>
          <w:color w:val="D04A02"/>
          <w:sz w:val="20"/>
          <w:szCs w:val="20"/>
        </w:rPr>
        <w:t xml:space="preserve">Slide 36</w:t>
      </w:r>
      <w:r>
        <w:rPr>
          <w:b/>
          <w:bCs/>
          <w:color w:val="7A7A7A"/>
          <w:sz w:val="20"/>
          <w:szCs w:val="20"/>
        </w:rPr>
        <w:t xml:space="preserve">  ·  </w:t>
      </w:r>
      <w:r>
        <w:rPr>
          <w:b/>
          <w:bCs/>
          <w:sz w:val="22"/>
          <w:szCs w:val="22"/>
        </w:rPr>
        <w:t xml:space="preserve">Oxfam — What the Notice Actually Says</w:t>
      </w:r>
    </w:p>
    <w:p>
      <w:pPr>
        <w:spacing w:after="120" w:line="300"/>
      </w:pPr>
      <w:r>
        <w:rPr>
          <w:color w:val="1A1A1A"/>
          <w:sz w:val="22"/>
          <w:szCs w:val="22"/>
        </w:rPr>
        <w:t xml:space="preserve">PCPD’s published report confirms an Enforcement Notice was served, directing Oxfam “to take measures to remedy the contravention and prevent recurrence” — but unlike the Cathay Pacific report, it does not reproduce the specific numbered directions or a compliance deadline. Make this a genuine data-honesty point for the course: how much PCPD discloses publicly varies case to case, and students shouldn’t assume every enforcement notice is documented as thoroughly as Cathay Pacific’s was.</w:t>
      </w:r>
    </w:p>
    <w:p>
      <w:pPr>
        <w:pBdr>
          <w:top w:val="single" w:color="D8D8D8" w:sz="4" w:space="6"/>
        </w:pBdr>
        <w:spacing w:after="60" w:before="240"/>
      </w:pPr>
      <w:r>
        <w:rPr>
          <w:b/>
          <w:bCs/>
          <w:color w:val="D04A02"/>
          <w:sz w:val="20"/>
          <w:szCs w:val="20"/>
        </w:rPr>
        <w:t xml:space="preserve">Slide 37</w:t>
      </w:r>
      <w:r>
        <w:rPr>
          <w:b/>
          <w:bCs/>
          <w:color w:val="7A7A7A"/>
          <w:sz w:val="20"/>
          <w:szCs w:val="20"/>
        </w:rPr>
        <w:t xml:space="preserve">  ·  </w:t>
      </w:r>
      <w:r>
        <w:rPr>
          <w:b/>
          <w:bCs/>
          <w:sz w:val="22"/>
          <w:szCs w:val="22"/>
        </w:rPr>
        <w:t xml:space="preserve">The Ladder, Side by Side</w:t>
      </w:r>
      <w:r>
        <w:rPr>
          <w:i/>
          <w:iCs/>
          <w:color w:val="7A7A7A"/>
          <w:sz w:val="18"/>
          <w:szCs w:val="18"/>
        </w:rPr>
        <w:t xml:space="preserve">   [TABLE]</w:t>
      </w:r>
    </w:p>
    <w:p>
      <w:pPr>
        <w:spacing w:after="120" w:line="300"/>
      </w:pPr>
      <w:r>
        <w:rPr>
          <w:color w:val="1A1A1A"/>
          <w:sz w:val="22"/>
          <w:szCs w:val="22"/>
        </w:rPr>
        <w:t xml:space="preserve">This is the recap table — let it do the work. Across the three cases: none needed a complaint (HA — no; Cathay — no, own motion after a breach notification; Oxfam — no, self-reported). Compelled documents: no, yes (2,200-plus pages), not detailed publicly. Contravention found: no by design, yes on DPP4(1)/DPP2(2), yes on the same two principles. Outcome: 23 recommendations, an investigation report plus an enforcement notice, an enforcement notice. Let the parallel columns for Cathay and Oxfam land — same principles, same tool, different transparency.</w:t>
      </w:r>
    </w:p>
    <w:p>
      <w:pPr>
        <w:pBdr>
          <w:top w:val="single" w:color="D8D8D8" w:sz="4" w:space="6"/>
        </w:pBdr>
        <w:spacing w:after="60" w:before="240"/>
      </w:pPr>
      <w:r>
        <w:rPr>
          <w:b/>
          <w:bCs/>
          <w:color w:val="D04A02"/>
          <w:sz w:val="20"/>
          <w:szCs w:val="20"/>
        </w:rPr>
        <w:t xml:space="preserve">Slide 38</w:t>
      </w:r>
      <w:r>
        <w:rPr>
          <w:b/>
          <w:bCs/>
          <w:color w:val="7A7A7A"/>
          <w:sz w:val="20"/>
          <w:szCs w:val="20"/>
        </w:rPr>
        <w:t xml:space="preserve">  ·  </w:t>
      </w:r>
      <w:r>
        <w:rPr>
          <w:b/>
          <w:bCs/>
          <w:sz w:val="22"/>
          <w:szCs w:val="22"/>
        </w:rPr>
        <w:t xml:space="preserve">Questions Before the Break (final wrap)</w:t>
      </w:r>
    </w:p>
    <w:p>
      <w:pPr>
        <w:spacing w:after="120" w:line="300"/>
      </w:pPr>
      <w:r>
        <w:rPr>
          <w:color w:val="1A1A1A"/>
          <w:sz w:val="22"/>
          <w:szCs w:val="22"/>
        </w:rPr>
        <w:t xml:space="preserve">Close with the three-tool recap: inspection under section 36 — no complaint needed, recommendations only, Hospital Authority 2008, 23 recommendations, no sanction. Investigation under sections 38/43 — compelled documents, a contravention finding, Cathay Pacific, five months, DPP4(1) plus DPP2(2). Enforcement Notice under sections 50/50A — specific directions, a deadline, non-compliance is itself an offence, Oxfam, same two principles. Take questions, then call the 15-minute break, and preview Part 2: three of your own PwC engagement cases.</w:t>
      </w:r>
    </w:p>
    <w:p>
      <w:r>
        <w:br w:type="page"/>
      </w:r>
    </w:p>
    <w:p>
      <w:pPr>
        <w:spacing w:after="160"/>
      </w:pPr>
      <w:r>
        <w:rPr>
          <w:b/>
          <w:bCs/>
          <w:color w:val="1A1A1A"/>
          <w:sz w:val="40"/>
          <w:szCs w:val="40"/>
        </w:rPr>
        <w:t xml:space="preserve">CS5292 Week 3 — Part 2: Three Cases From the Field</w:t>
      </w:r>
    </w:p>
    <w:p>
      <w:pPr>
        <w:spacing w:after="80"/>
      </w:pPr>
      <w:r>
        <w:rPr>
          <w:color w:val="7A7A7A"/>
          <w:sz w:val="24"/>
          <w:szCs w:val="24"/>
        </w:rPr>
        <w:t xml:space="preserve">Speaker script notes · 47 slides · TLP:RED — for classroom delivery only, do not redistribute</w:t>
      </w:r>
    </w:p>
    <w:p>
      <w:pPr>
        <w:spacing w:after="200"/>
      </w:pPr>
      <w:r>
        <w:rPr>
          <w:b/>
          <w:bCs/>
          <w:color w:val="B3261E"/>
          <w:sz w:val="22"/>
          <w:szCs w:val="22"/>
        </w:rPr>
        <w:t xml:space="preserve">TLP:RED — the compiled deck is classroom use only. This script document is sanitized and shareable.</w:t>
      </w:r>
    </w:p>
    <w:p>
      <w:pPr>
        <w:pBdr>
          <w:bottom w:val="single" w:color="D04A02" w:sz="12" w:space="1"/>
        </w:pBdr>
        <w:spacing w:after="200"/>
      </w:pPr>
    </w:p>
    <w:p>
      <w:pPr>
        <w:pStyle w:val="Heading2"/>
        <w:spacing w:after="120" w:before="360"/>
      </w:pPr>
      <w:r>
        <w:t xml:space="preserve">Opening</w:t>
      </w:r>
    </w:p>
    <w:p>
      <w:pPr>
        <w:pBdr>
          <w:top w:val="single" w:color="D8D8D8" w:sz="4" w:space="6"/>
        </w:pBdr>
        <w:spacing w:after="60" w:before="240"/>
      </w:pPr>
      <w:r>
        <w:rPr>
          <w:b/>
          <w:bCs/>
          <w:color w:val="D04A02"/>
          <w:sz w:val="20"/>
          <w:szCs w:val="20"/>
        </w:rPr>
        <w:t xml:space="preserve">Slide 1</w:t>
      </w:r>
      <w:r>
        <w:rPr>
          <w:b/>
          <w:bCs/>
          <w:color w:val="7A7A7A"/>
          <w:sz w:val="20"/>
          <w:szCs w:val="20"/>
        </w:rPr>
        <w:t xml:space="preserve">  ·  </w:t>
      </w:r>
      <w:r>
        <w:rPr>
          <w:b/>
          <w:bCs/>
          <w:sz w:val="22"/>
          <w:szCs w:val="22"/>
        </w:rPr>
        <w:t xml:space="preserve">Title — “Three Cases, From the Field.”</w:t>
      </w:r>
      <w:r>
        <w:rPr>
          <w:i/>
          <w:iCs/>
          <w:color w:val="7A7A7A"/>
          <w:sz w:val="18"/>
          <w:szCs w:val="18"/>
        </w:rPr>
        <w:t xml:space="preserve">   [TITLE SLIDE]</w:t>
      </w:r>
    </w:p>
    <w:p>
      <w:pPr>
        <w:spacing w:after="120" w:line="300"/>
      </w:pPr>
      <w:r>
        <w:rPr>
          <w:color w:val="1A1A1A"/>
          <w:sz w:val="22"/>
          <w:szCs w:val="22"/>
        </w:rPr>
        <w:t xml:space="preserve">Frame this as your own material: CNCBI, HKIB, and Cyberport, three incidents you worked on the PwC response team, from initial access to what regulators found. State the TLP:RED rule out loud before you show a single case slide: this deck is classroom use only, not for redistribution, because it carries real public-research screenshots you don’t want circulating as a bundle — students may take their own notes, but the deck itself doesn’t leave the room.</w:t>
      </w:r>
    </w:p>
    <w:p>
      <w:pPr>
        <w:pBdr>
          <w:top w:val="single" w:color="D8D8D8" w:sz="4" w:space="6"/>
        </w:pBdr>
        <w:spacing w:after="60" w:before="240"/>
      </w:pPr>
      <w:r>
        <w:rPr>
          <w:b/>
          <w:bCs/>
          <w:color w:val="D04A02"/>
          <w:sz w:val="20"/>
          <w:szCs w:val="20"/>
        </w:rPr>
        <w:t xml:space="preserve">Slide 2</w:t>
      </w:r>
      <w:r>
        <w:rPr>
          <w:b/>
          <w:bCs/>
          <w:color w:val="7A7A7A"/>
          <w:sz w:val="20"/>
          <w:szCs w:val="20"/>
        </w:rPr>
        <w:t xml:space="preserve">  ·  </w:t>
      </w:r>
      <w:r>
        <w:rPr>
          <w:b/>
          <w:bCs/>
          <w:sz w:val="22"/>
          <w:szCs w:val="22"/>
        </w:rPr>
        <w:t xml:space="preserve">Divider — “What You’re About to Hear.”</w:t>
      </w:r>
      <w:r>
        <w:rPr>
          <w:i/>
          <w:iCs/>
          <w:color w:val="7A7A7A"/>
          <w:sz w:val="18"/>
          <w:szCs w:val="18"/>
        </w:rPr>
        <w:t xml:space="preserve">   [DIVIDER]</w:t>
      </w:r>
    </w:p>
    <w:p>
      <w:pPr>
        <w:spacing w:after="120" w:line="300"/>
      </w:pPr>
      <w:r>
        <w:rPr>
          <w:color w:val="1A1A1A"/>
          <w:sz w:val="22"/>
          <w:szCs w:val="22"/>
        </w:rPr>
        <w:t xml:space="preserve">Three escalating cases: CNCBI first, then HKIB, then Cyberport — the most detailed, covered from two real angles, the technical incident response and the independent review against its Enforcement Notice.</w:t>
      </w:r>
    </w:p>
    <w:p>
      <w:pPr>
        <w:pBdr>
          <w:top w:val="single" w:color="D8D8D8" w:sz="4" w:space="6"/>
        </w:pBdr>
        <w:spacing w:after="60" w:before="240"/>
      </w:pPr>
      <w:r>
        <w:rPr>
          <w:b/>
          <w:bCs/>
          <w:color w:val="D04A02"/>
          <w:sz w:val="20"/>
          <w:szCs w:val="20"/>
        </w:rPr>
        <w:t xml:space="preserve">Slide 3</w:t>
      </w:r>
      <w:r>
        <w:rPr>
          <w:b/>
          <w:bCs/>
          <w:color w:val="7A7A7A"/>
          <w:sz w:val="20"/>
          <w:szCs w:val="20"/>
        </w:rPr>
        <w:t xml:space="preserve">  ·  </w:t>
      </w:r>
      <w:r>
        <w:rPr>
          <w:b/>
          <w:bCs/>
          <w:sz w:val="22"/>
          <w:szCs w:val="22"/>
        </w:rPr>
        <w:t xml:space="preserve">How I’m Presenting These</w:t>
      </w:r>
    </w:p>
    <w:p>
      <w:pPr>
        <w:spacing w:after="120" w:line="300"/>
      </w:pPr>
      <w:r>
        <w:rPr>
          <w:color w:val="1A1A1A"/>
          <w:sz w:val="22"/>
          <w:szCs w:val="22"/>
        </w:rPr>
        <w:t xml:space="preserve">Walk the four-quadrant framing directly — this is itself a compliance lesson, so don’t rush it. What stays real: org and threat-actor names, CVEs, anything independently published — fair game, citable, use it freely. What’s relativized: your own internal timelines become Day 0, Day 1, Day N — never a calendar date or clock time, because those are drawn from confidential engagement material. Left out entirely: exact IPs, hostnames, account names, individual names — some of this material is legally privileged. And why it’s TLP:RED: this specific deck carries real public-research screenshots, so it’s classroom only.</w:t>
      </w:r>
    </w:p>
    <w:p>
      <w:pPr>
        <w:pBdr>
          <w:top w:val="single" w:color="D8D8D8" w:sz="4" w:space="6"/>
        </w:pBdr>
        <w:spacing w:after="60" w:before="240"/>
      </w:pPr>
      <w:r>
        <w:rPr>
          <w:b/>
          <w:bCs/>
          <w:color w:val="D04A02"/>
          <w:sz w:val="20"/>
          <w:szCs w:val="20"/>
        </w:rPr>
        <w:t xml:space="preserve">Slide 4</w:t>
      </w:r>
      <w:r>
        <w:rPr>
          <w:b/>
          <w:bCs/>
          <w:color w:val="7A7A7A"/>
          <w:sz w:val="20"/>
          <w:szCs w:val="20"/>
        </w:rPr>
        <w:t xml:space="preserve">  ·  </w:t>
      </w:r>
      <w:r>
        <w:rPr>
          <w:b/>
          <w:bCs/>
          <w:sz w:val="22"/>
          <w:szCs w:val="22"/>
        </w:rPr>
        <w:t xml:space="preserve">Roadmap for Part 2</w:t>
      </w:r>
    </w:p>
    <w:p>
      <w:pPr>
        <w:spacing w:after="120" w:line="300"/>
      </w:pPr>
      <w:r>
        <w:rPr>
          <w:color w:val="1A1A1A"/>
          <w:sz w:val="22"/>
          <w:szCs w:val="22"/>
        </w:rPr>
        <w:t xml:space="preserve">Preview the spine before the cases start: CNCBI — a zero-day, an asset list before an RFI, and a case that never reached PCPD. HKIB — a two-and-a-half-year-old patch gap, credential theft to full ransomware in about a day. Cyberport, Angle A — the technical incident response: access, containment, eradication, root cause. Cyberport, Angle B — the independent review against the Enforcement Notice, a completely different job. Land the repeating structure explicitly: background, then timeline, then recommendations, then PCPD alignment, every single time.</w:t>
      </w:r>
    </w:p>
    <w:p>
      <w:pPr>
        <w:pStyle w:val="Heading2"/>
        <w:spacing w:after="120" w:before="360"/>
      </w:pPr>
      <w:r>
        <w:t xml:space="preserve">Case 1 — CNCBI</w:t>
      </w:r>
    </w:p>
    <w:p>
      <w:pPr>
        <w:pBdr>
          <w:top w:val="single" w:color="D8D8D8" w:sz="4" w:space="6"/>
        </w:pBdr>
        <w:spacing w:after="60" w:before="240"/>
      </w:pPr>
      <w:r>
        <w:rPr>
          <w:b/>
          <w:bCs/>
          <w:color w:val="D04A02"/>
          <w:sz w:val="20"/>
          <w:szCs w:val="20"/>
        </w:rPr>
        <w:t xml:space="preserve">Slide 5</w:t>
      </w:r>
      <w:r>
        <w:rPr>
          <w:b/>
          <w:bCs/>
          <w:color w:val="7A7A7A"/>
          <w:sz w:val="20"/>
          <w:szCs w:val="20"/>
        </w:rPr>
        <w:t xml:space="preserve">  ·  </w:t>
      </w:r>
      <w:r>
        <w:rPr>
          <w:b/>
          <w:bCs/>
          <w:sz w:val="22"/>
          <w:szCs w:val="22"/>
        </w:rPr>
        <w:t xml:space="preserve">Divider — “China CITIC Bank International.”</w:t>
      </w:r>
      <w:r>
        <w:rPr>
          <w:i/>
          <w:iCs/>
          <w:color w:val="7A7A7A"/>
          <w:sz w:val="18"/>
          <w:szCs w:val="18"/>
        </w:rPr>
        <w:t xml:space="preserve">   [DIVIDER]</w:t>
      </w:r>
    </w:p>
    <w:p>
      <w:pPr>
        <w:spacing w:after="120" w:line="300"/>
      </w:pPr>
      <w:r>
        <w:rPr>
          <w:color w:val="1A1A1A"/>
          <w:sz w:val="22"/>
          <w:szCs w:val="22"/>
        </w:rPr>
        <w:t xml:space="preserve">A globally famous zero-day, a narrow blast radius, and a case that — unlike the other two — never became a public PCPD matter. Tell the room that’s worth asking why, and that you’ll come back to it.</w:t>
      </w:r>
    </w:p>
    <w:p>
      <w:pPr>
        <w:pBdr>
          <w:top w:val="single" w:color="D8D8D8" w:sz="4" w:space="6"/>
        </w:pBdr>
        <w:spacing w:after="60" w:before="240"/>
      </w:pPr>
      <w:r>
        <w:rPr>
          <w:b/>
          <w:bCs/>
          <w:color w:val="D04A02"/>
          <w:sz w:val="20"/>
          <w:szCs w:val="20"/>
        </w:rPr>
        <w:t xml:space="preserve">Slide 6</w:t>
      </w:r>
      <w:r>
        <w:rPr>
          <w:b/>
          <w:bCs/>
          <w:color w:val="7A7A7A"/>
          <w:sz w:val="20"/>
          <w:szCs w:val="20"/>
        </w:rPr>
        <w:t xml:space="preserve">  ·  </w:t>
      </w:r>
      <w:r>
        <w:rPr>
          <w:b/>
          <w:bCs/>
          <w:sz w:val="22"/>
          <w:szCs w:val="22"/>
        </w:rPr>
        <w:t xml:space="preserve">Who is CL0P</w:t>
      </w:r>
    </w:p>
    <w:p>
      <w:pPr>
        <w:spacing w:after="120" w:line="300"/>
      </w:pPr>
      <w:r>
        <w:rPr>
          <w:color w:val="1A1A1A"/>
          <w:sz w:val="22"/>
          <w:szCs w:val="22"/>
        </w:rPr>
        <w:t xml:space="preserve">Start with the threat actor, not the victim — that’s deliberate, and you should say so. CL0P is a Ransomware-as-a-Service group operating since 2019, with roots in malware delivery dating back to 2014; purely financially motivated, not state-sponsored or hacktivist — the leak site is a collections tool, nothing more. Their signature move is hitting file-transfer software: Accellion in 2020, GoAnywhere MFT in 2023, then MOVEit. Their usual playbook is double extortion — encrypt and threaten to leak — but say clearly they broke from that pattern for the MOVEit campaign, and that you’ll explain why in a moment. Attribution came from CISA and FBI jointly, corroborated independently by researchers like Dark Lab through leak-site analysis.</w:t>
      </w:r>
    </w:p>
    <w:p>
      <w:pPr>
        <w:pBdr>
          <w:top w:val="single" w:color="D8D8D8" w:sz="4" w:space="6"/>
        </w:pBdr>
        <w:spacing w:after="60" w:before="240"/>
      </w:pPr>
      <w:r>
        <w:rPr>
          <w:b/>
          <w:bCs/>
          <w:color w:val="D04A02"/>
          <w:sz w:val="20"/>
          <w:szCs w:val="20"/>
        </w:rPr>
        <w:t xml:space="preserve">Slide 7</w:t>
      </w:r>
      <w:r>
        <w:rPr>
          <w:b/>
          <w:bCs/>
          <w:color w:val="7A7A7A"/>
          <w:sz w:val="20"/>
          <w:szCs w:val="20"/>
        </w:rPr>
        <w:t xml:space="preserve">  ·  </w:t>
      </w:r>
      <w:r>
        <w:rPr>
          <w:b/>
          <w:bCs/>
          <w:sz w:val="22"/>
          <w:szCs w:val="22"/>
        </w:rPr>
        <w:t xml:space="preserve">CL0P — Leak-Site Campaign</w:t>
      </w:r>
      <w:r>
        <w:rPr>
          <w:i/>
          <w:iCs/>
          <w:color w:val="7A7A7A"/>
          <w:sz w:val="18"/>
          <w:szCs w:val="18"/>
        </w:rPr>
        <w:t xml:space="preserve">   [CHART]</w:t>
      </w:r>
    </w:p>
    <w:p>
      <w:pPr>
        <w:spacing w:after="120" w:line="300"/>
      </w:pPr>
      <w:r>
        <w:rPr>
          <w:color w:val="1A1A1A"/>
          <w:sz w:val="22"/>
          <w:szCs w:val="22"/>
        </w:rPr>
        <w:t xml:space="preserve">By 1 August 2023, CL0P had listed 262 organisations on its leak site from this one campaign alone, and actually posted data for 94% of them — that percentage matters, it wasn’t an empty threat. Walk the chart’s shape: a slow ramp through June, then a sharp acceleration through July as CL0P worked through its victim backlog. Cite the source out loud — Dark Lab’s September 2023 research — since this is exactly the kind of independently-published material that’s fair game to cite precisely.</w:t>
      </w:r>
    </w:p>
    <w:p>
      <w:pPr>
        <w:pBdr>
          <w:top w:val="single" w:color="D8D8D8" w:sz="4" w:space="6"/>
        </w:pBdr>
        <w:spacing w:after="60" w:before="240"/>
      </w:pPr>
      <w:r>
        <w:rPr>
          <w:b/>
          <w:bCs/>
          <w:color w:val="D04A02"/>
          <w:sz w:val="20"/>
          <w:szCs w:val="20"/>
        </w:rPr>
        <w:t xml:space="preserve">Slide 8</w:t>
      </w:r>
      <w:r>
        <w:rPr>
          <w:b/>
          <w:bCs/>
          <w:color w:val="7A7A7A"/>
          <w:sz w:val="20"/>
          <w:szCs w:val="20"/>
        </w:rPr>
        <w:t xml:space="preserve">  ·  </w:t>
      </w:r>
      <w:r>
        <w:rPr>
          <w:b/>
          <w:bCs/>
          <w:sz w:val="22"/>
          <w:szCs w:val="22"/>
        </w:rPr>
        <w:t xml:space="preserve">CL0P — Victim Distribution</w:t>
      </w:r>
    </w:p>
    <w:p>
      <w:pPr>
        <w:spacing w:after="120" w:line="300"/>
      </w:pPr>
      <w:r>
        <w:rPr>
          <w:color w:val="1A1A1A"/>
          <w:sz w:val="22"/>
          <w:szCs w:val="22"/>
        </w:rPr>
        <w:t xml:space="preserve">Point at the pie chart first: roughly two-thirds of disclosed victims were US-based, and explain why that’s not a deliberate US focus — it tracks with where internet-facing MOVEit instances happen to be concentrated. The targeting here was opportunistic: whoever ran MOVEit exposed to the internet was in scope, regardless of sector or size. Mention the “parts” detail — some victims appeared in the leak site more than once, in up to six separate data releases — that’s CL0P’s own operational backlog processing hundreds of victims simultaneously, not a special escalation against any one target.</w:t>
      </w:r>
    </w:p>
    <w:p>
      <w:pPr>
        <w:pBdr>
          <w:top w:val="single" w:color="D8D8D8" w:sz="4" w:space="6"/>
        </w:pBdr>
        <w:spacing w:after="60" w:before="240"/>
      </w:pPr>
      <w:r>
        <w:rPr>
          <w:b/>
          <w:bCs/>
          <w:color w:val="D04A02"/>
          <w:sz w:val="20"/>
          <w:szCs w:val="20"/>
        </w:rPr>
        <w:t xml:space="preserve">Slide 9</w:t>
      </w:r>
      <w:r>
        <w:rPr>
          <w:b/>
          <w:bCs/>
          <w:color w:val="7A7A7A"/>
          <w:sz w:val="20"/>
          <w:szCs w:val="20"/>
        </w:rPr>
        <w:t xml:space="preserve">  ·  </w:t>
      </w:r>
      <w:r>
        <w:rPr>
          <w:b/>
          <w:bCs/>
          <w:sz w:val="22"/>
          <w:szCs w:val="22"/>
        </w:rPr>
        <w:t xml:space="preserve">MOVEit — the Platform</w:t>
      </w:r>
    </w:p>
    <w:p>
      <w:pPr>
        <w:spacing w:after="120" w:line="300"/>
      </w:pPr>
      <w:r>
        <w:rPr>
          <w:color w:val="1A1A1A"/>
          <w:sz w:val="22"/>
          <w:szCs w:val="22"/>
        </w:rPr>
        <w:t xml:space="preserve">Explain why MOVEit was attractive in the first place: it’s enterprise managed file-transfer software whose whole purpose is exchanging files with external partners, so by design it has to face the internet — that’s exactly what made it a target. The vulnerability, CVE-2023-34362, was a SQL-injection zero-day actively exploited from 27 May 2023, giving an unauthenticated attacker direct access to the underlying database — no phishing, no stolen credentials required at all. Then make the strategic-shift point explicit: CL0P’s usual move is double extortion, but hitting hundreds of victims in one campaign, they went single-extortion instead — steal the data, skip the encryption — because that’s faster to run at scale across that many victims at once. Close by tying it to their pattern: Accellion, GoAnywhere, now MOVEit — one zero-day in the right file-transfer product reaches hundreds of organisations simultaneously, because that class of software is deployed almost identically everywhere.</w:t>
      </w:r>
    </w:p>
    <w:p>
      <w:pPr>
        <w:pBdr>
          <w:top w:val="single" w:color="D8D8D8" w:sz="4" w:space="6"/>
        </w:pBdr>
        <w:spacing w:after="60" w:before="240"/>
      </w:pPr>
      <w:r>
        <w:rPr>
          <w:b/>
          <w:bCs/>
          <w:color w:val="D04A02"/>
          <w:sz w:val="20"/>
          <w:szCs w:val="20"/>
        </w:rPr>
        <w:t xml:space="preserve">Slide 10</w:t>
      </w:r>
      <w:r>
        <w:rPr>
          <w:b/>
          <w:bCs/>
          <w:color w:val="7A7A7A"/>
          <w:sz w:val="20"/>
          <w:szCs w:val="20"/>
        </w:rPr>
        <w:t xml:space="preserve">  ·  </w:t>
      </w:r>
      <w:r>
        <w:rPr>
          <w:b/>
          <w:bCs/>
          <w:sz w:val="22"/>
          <w:szCs w:val="22"/>
        </w:rPr>
        <w:t xml:space="preserve">CNCBI — The Notice</w:t>
      </w:r>
    </w:p>
    <w:p>
      <w:pPr>
        <w:spacing w:after="120" w:line="300"/>
      </w:pPr>
      <w:r>
        <w:rPr>
          <w:color w:val="1A1A1A"/>
          <w:sz w:val="22"/>
          <w:szCs w:val="22"/>
        </w:rPr>
        <w:t xml:space="preserve">Show the ransom-note image and immediately caveat it: this is the generic note CL0P posted for every MOVEit victim once listed, not a message planted on CNCBI’s own systems — there was no on-host ransom note in this case at all. Say plainly where attribution actually came from: the leak-site listing and this note, plus TTP overlap — not a forensic artefact confirming CL0P by name on CNCBI’s own network. Read the ask as written: pay, or a 10% proof sample goes up, then the rest after a stated deadline — blunt, formulaic, the same template every time.</w:t>
      </w:r>
    </w:p>
    <w:p>
      <w:pPr>
        <w:pBdr>
          <w:top w:val="single" w:color="D8D8D8" w:sz="4" w:space="6"/>
        </w:pBdr>
        <w:spacing w:after="60" w:before="240"/>
      </w:pPr>
      <w:r>
        <w:rPr>
          <w:b/>
          <w:bCs/>
          <w:color w:val="D04A02"/>
          <w:sz w:val="20"/>
          <w:szCs w:val="20"/>
        </w:rPr>
        <w:t xml:space="preserve">Slide 11</w:t>
      </w:r>
      <w:r>
        <w:rPr>
          <w:b/>
          <w:bCs/>
          <w:color w:val="7A7A7A"/>
          <w:sz w:val="20"/>
          <w:szCs w:val="20"/>
        </w:rPr>
        <w:t xml:space="preserve">  ·  </w:t>
      </w:r>
      <w:r>
        <w:rPr>
          <w:b/>
          <w:bCs/>
          <w:sz w:val="22"/>
          <w:szCs w:val="22"/>
        </w:rPr>
        <w:t xml:space="preserve">CNCBI — Leak-Site Listing</w:t>
      </w:r>
    </w:p>
    <w:p>
      <w:pPr>
        <w:spacing w:after="120" w:line="300"/>
      </w:pPr>
      <w:r>
        <w:rPr>
          <w:color w:val="1A1A1A"/>
          <w:sz w:val="22"/>
          <w:szCs w:val="22"/>
        </w:rPr>
        <w:t xml:space="preserve">Show the banner image and repeat the caveat: generic wording, not specific to CNCBI. Explain CL0P’s stated policy — publish incrementally if a victim doesn’t pay, a small proof first, then more, then everything after the deadline — and note that in practice the deadlines shifted and some victims’ data appeared early, so the “policy” wasn’t rigidly followed even by CL0P itself. Then give CNCBI’s actual outcome, which is the real point of this slide: their own review of what was actually published found no customer data among it — a materially better outcome than simply being listed would suggest.</w:t>
      </w:r>
    </w:p>
    <w:p>
      <w:pPr>
        <w:pBdr>
          <w:top w:val="single" w:color="D8D8D8" w:sz="4" w:space="6"/>
        </w:pBdr>
        <w:spacing w:after="60" w:before="240"/>
      </w:pPr>
      <w:r>
        <w:rPr>
          <w:b/>
          <w:bCs/>
          <w:color w:val="D04A02"/>
          <w:sz w:val="20"/>
          <w:szCs w:val="20"/>
        </w:rPr>
        <w:t xml:space="preserve">Slide 12</w:t>
      </w:r>
      <w:r>
        <w:rPr>
          <w:b/>
          <w:bCs/>
          <w:color w:val="7A7A7A"/>
          <w:sz w:val="20"/>
          <w:szCs w:val="20"/>
        </w:rPr>
        <w:t xml:space="preserve">  ·  </w:t>
      </w:r>
      <w:r>
        <w:rPr>
          <w:b/>
          <w:bCs/>
          <w:sz w:val="22"/>
          <w:szCs w:val="22"/>
        </w:rPr>
        <w:t xml:space="preserve">CNCBI — Attack Path and Timeline</w:t>
      </w:r>
    </w:p>
    <w:p>
      <w:pPr>
        <w:spacing w:after="120" w:line="300"/>
      </w:pPr>
      <w:r>
        <w:rPr>
          <w:color w:val="1A1A1A"/>
          <w:sz w:val="22"/>
          <w:szCs w:val="22"/>
        </w:rPr>
        <w:t xml:space="preserve">Walk the diagram left to right exactly as drawn: a CL0P affiliate infiltrates via throwaway C2 infrastructure, reaches CNCBI’s own MOVEit Transfer web application, deploys a web shell and adds users and folders, then exfiltrates straight from the backend database to the internet. Land the headline framing on the slide title: access to exfiltration in under an hour, on Day 0, all in the same session — and then CL0P didn’t publish until roughly a month later, Day 31. That gap between compromise and publication is worth pausing on: the damage was done almost instantly, the disclosure timeline was entirely separate.</w:t>
      </w:r>
    </w:p>
    <w:p>
      <w:pPr>
        <w:pBdr>
          <w:top w:val="single" w:color="D8D8D8" w:sz="4" w:space="6"/>
        </w:pBdr>
        <w:spacing w:after="60" w:before="240"/>
      </w:pPr>
      <w:r>
        <w:rPr>
          <w:b/>
          <w:bCs/>
          <w:color w:val="D04A02"/>
          <w:sz w:val="20"/>
          <w:szCs w:val="20"/>
        </w:rPr>
        <w:t xml:space="preserve">Slide 13</w:t>
      </w:r>
      <w:r>
        <w:rPr>
          <w:b/>
          <w:bCs/>
          <w:color w:val="7A7A7A"/>
          <w:sz w:val="20"/>
          <w:szCs w:val="20"/>
        </w:rPr>
        <w:t xml:space="preserve">  ·  </w:t>
      </w:r>
      <w:r>
        <w:rPr>
          <w:b/>
          <w:bCs/>
          <w:sz w:val="22"/>
          <w:szCs w:val="22"/>
        </w:rPr>
        <w:t xml:space="preserve">CNCBI — Why Attribution Mattered</w:t>
      </w:r>
    </w:p>
    <w:p>
      <w:pPr>
        <w:spacing w:after="120" w:line="300"/>
      </w:pPr>
      <w:r>
        <w:rPr>
          <w:color w:val="1A1A1A"/>
          <w:sz w:val="22"/>
          <w:szCs w:val="22"/>
        </w:rPr>
        <w:t xml:space="preserve">Make the case for why “who did this” isn’t academic: knowing it was CL0P — not just “a zero-day hit us” — told the response team what to expect: single extortion for this campaign, typically no lateral movement, exfiltration via the platform itself rather than a foothold spreading across the network. That shaped where forensics actually focused: the MOVEit host and its own logs first, rather than a domain-wide hunt, because that’s consistent with how CL0P ran every one of its file-transfer campaigns. Repeat the honest limit from the earlier slide: attribution came from the leak-site claim plus TTP overlap, not a ransom note or a forensic signature unique to CL0P on this specific host.</w:t>
      </w:r>
    </w:p>
    <w:p>
      <w:pPr>
        <w:pBdr>
          <w:top w:val="single" w:color="D8D8D8" w:sz="4" w:space="6"/>
        </w:pBdr>
        <w:spacing w:after="60" w:before="240"/>
      </w:pPr>
      <w:r>
        <w:rPr>
          <w:b/>
          <w:bCs/>
          <w:color w:val="D04A02"/>
          <w:sz w:val="20"/>
          <w:szCs w:val="20"/>
        </w:rPr>
        <w:t xml:space="preserve">Slide 14</w:t>
      </w:r>
      <w:r>
        <w:rPr>
          <w:b/>
          <w:bCs/>
          <w:color w:val="7A7A7A"/>
          <w:sz w:val="20"/>
          <w:szCs w:val="20"/>
        </w:rPr>
        <w:t xml:space="preserve">  ·  </w:t>
      </w:r>
      <w:r>
        <w:rPr>
          <w:b/>
          <w:bCs/>
          <w:sz w:val="22"/>
          <w:szCs w:val="22"/>
        </w:rPr>
        <w:t xml:space="preserve">CNCBI — What to Ask For</w:t>
      </w:r>
    </w:p>
    <w:p>
      <w:pPr>
        <w:spacing w:after="120" w:line="300"/>
      </w:pPr>
      <w:r>
        <w:rPr>
          <w:color w:val="1A1A1A"/>
          <w:sz w:val="22"/>
          <w:szCs w:val="22"/>
        </w:rPr>
        <w:t xml:space="preserve">This is the methodology slide — slow down here, it’s one of the most transferable ideas in the whole deck. The asset list comes first, always: perimeter firewall, a handful of file, database, and application servers, and a handful of domain controllers — before anything else, you need to know what actually exists. Only once scoped can you ask by name: perimeter firewall traffic, MOVEit’s own web logs, database logs, host forensics — a blanket “send us everything” doesn’t work and wastes everyone’s time. Make the point that CL0P’s own playbook helped prioritize the ask: no typical lateral movement meant host forensics could focus on the MOVEit server itself first, rather than a domain-wide sweep — informed by threat intel, not guesswork. Close with why iterative mattered: the firewall traffic spike told the team which host to pull forensics from next — each answer generated the next specific ask.</w:t>
      </w:r>
    </w:p>
    <w:p>
      <w:pPr>
        <w:pBdr>
          <w:top w:val="single" w:color="D8D8D8" w:sz="4" w:space="6"/>
        </w:pBdr>
        <w:spacing w:after="60" w:before="240"/>
      </w:pPr>
      <w:r>
        <w:rPr>
          <w:b/>
          <w:bCs/>
          <w:color w:val="D04A02"/>
          <w:sz w:val="20"/>
          <w:szCs w:val="20"/>
        </w:rPr>
        <w:t xml:space="preserve">Slide 15</w:t>
      </w:r>
      <w:r>
        <w:rPr>
          <w:b/>
          <w:bCs/>
          <w:color w:val="7A7A7A"/>
          <w:sz w:val="20"/>
          <w:szCs w:val="20"/>
        </w:rPr>
        <w:t xml:space="preserve">  ·  </w:t>
      </w:r>
      <w:r>
        <w:rPr>
          <w:b/>
          <w:bCs/>
          <w:sz w:val="22"/>
          <w:szCs w:val="22"/>
        </w:rPr>
        <w:t xml:space="preserve">CNCBI — Fixes</w:t>
      </w:r>
      <w:r>
        <w:rPr>
          <w:i/>
          <w:iCs/>
          <w:color w:val="7A7A7A"/>
          <w:sz w:val="18"/>
          <w:szCs w:val="18"/>
        </w:rPr>
        <w:t xml:space="preserve">   [TWO-COLUMN]</w:t>
      </w:r>
    </w:p>
    <w:p>
      <w:pPr>
        <w:spacing w:after="120" w:line="300"/>
      </w:pPr>
      <w:r>
        <w:rPr>
          <w:color w:val="1A1A1A"/>
          <w:sz w:val="22"/>
          <w:szCs w:val="22"/>
        </w:rPr>
        <w:t xml:space="preserve">Present this as two tiers, not one flat list — hygiene first, then maturity. Hygiene: reset every credential and revoke active sessions, MFA on the file-transfer platform itself, patch on vendor advisory rather than convenience, restrict MOVEit’s exposure to trusted IPs only, endpoint detection on the hosting servers. Best practice, once hygiene is done: file-integrity monitoring on the platform, red-team exercises against file-transfer paths specifically, SIEM and EDR uplift across the estate, a secure clean rebuild before returning to service, and regular independent security assessment rather than a one-off. The ordering itself is the lesson — you don’t start with red-teaming when the basics aren’t in place yet.</w:t>
      </w:r>
    </w:p>
    <w:p>
      <w:pPr>
        <w:pBdr>
          <w:top w:val="single" w:color="D8D8D8" w:sz="4" w:space="6"/>
        </w:pBdr>
        <w:spacing w:after="60" w:before="240"/>
      </w:pPr>
      <w:r>
        <w:rPr>
          <w:b/>
          <w:bCs/>
          <w:color w:val="D04A02"/>
          <w:sz w:val="20"/>
          <w:szCs w:val="20"/>
        </w:rPr>
        <w:t xml:space="preserve">Slide 16</w:t>
      </w:r>
      <w:r>
        <w:rPr>
          <w:b/>
          <w:bCs/>
          <w:color w:val="7A7A7A"/>
          <w:sz w:val="20"/>
          <w:szCs w:val="20"/>
        </w:rPr>
        <w:t xml:space="preserve">  ·  </w:t>
      </w:r>
      <w:r>
        <w:rPr>
          <w:b/>
          <w:bCs/>
          <w:sz w:val="22"/>
          <w:szCs w:val="22"/>
        </w:rPr>
        <w:t xml:space="preserve">CNCBI — PCPD Alignment</w:t>
      </w:r>
    </w:p>
    <w:p>
      <w:pPr>
        <w:spacing w:after="120" w:line="300"/>
      </w:pPr>
      <w:r>
        <w:rPr>
          <w:color w:val="1A1A1A"/>
          <w:sz w:val="22"/>
          <w:szCs w:val="22"/>
        </w:rPr>
        <w:t xml:space="preserve">This is the slide that answers the divider’s “worth asking why.” PCPD doesn’t investigate every breach — this one simply wasn’t chosen — and make the framing explicit: that’s a selection reality, not a clean bill of health. CNCBI’s actual gap here, no MFA on the platform, mirrors exactly what PCPD flags when it does act on other cases — nothing about the underlying risk was different, only the selection outcome was. Land the compliance lesson directly, quoting the note: build your control environment as if every incident could be selected, because you don’t control PCPD’s selection criteria.</w:t>
      </w:r>
    </w:p>
    <w:p>
      <w:pPr>
        <w:pStyle w:val="Heading2"/>
        <w:spacing w:after="120" w:before="360"/>
      </w:pPr>
      <w:r>
        <w:t xml:space="preserve">Case 2 — HKIB</w:t>
      </w:r>
    </w:p>
    <w:p>
      <w:pPr>
        <w:pBdr>
          <w:top w:val="single" w:color="D8D8D8" w:sz="4" w:space="6"/>
        </w:pBdr>
        <w:spacing w:after="60" w:before="240"/>
      </w:pPr>
      <w:r>
        <w:rPr>
          <w:b/>
          <w:bCs/>
          <w:color w:val="D04A02"/>
          <w:sz w:val="20"/>
          <w:szCs w:val="20"/>
        </w:rPr>
        <w:t xml:space="preserve">Slide 17</w:t>
      </w:r>
      <w:r>
        <w:rPr>
          <w:b/>
          <w:bCs/>
          <w:color w:val="7A7A7A"/>
          <w:sz w:val="20"/>
          <w:szCs w:val="20"/>
        </w:rPr>
        <w:t xml:space="preserve">  ·  </w:t>
      </w:r>
      <w:r>
        <w:rPr>
          <w:b/>
          <w:bCs/>
          <w:sz w:val="22"/>
          <w:szCs w:val="22"/>
        </w:rPr>
        <w:t xml:space="preserve">Divider — “The Hong Kong Institute of Bankers.”</w:t>
      </w:r>
      <w:r>
        <w:rPr>
          <w:i/>
          <w:iCs/>
          <w:color w:val="7A7A7A"/>
          <w:sz w:val="18"/>
          <w:szCs w:val="18"/>
        </w:rPr>
        <w:t xml:space="preserve">   [DIVIDER]</w:t>
      </w:r>
    </w:p>
    <w:p>
      <w:pPr>
        <w:spacing w:after="120" w:line="300"/>
      </w:pPr>
      <w:r>
        <w:rPr>
          <w:color w:val="1A1A1A"/>
          <w:sz w:val="22"/>
          <w:szCs w:val="22"/>
        </w:rPr>
        <w:t xml:space="preserve">Tell the room this is the case they already met in Part 1 as an enforcement-notice statistic — now they get the practitioner-side detail behind the public PCPD report.</w:t>
      </w:r>
    </w:p>
    <w:p>
      <w:pPr>
        <w:pBdr>
          <w:top w:val="single" w:color="D8D8D8" w:sz="4" w:space="6"/>
        </w:pBdr>
        <w:spacing w:after="60" w:before="240"/>
      </w:pPr>
      <w:r>
        <w:rPr>
          <w:b/>
          <w:bCs/>
          <w:color w:val="D04A02"/>
          <w:sz w:val="20"/>
          <w:szCs w:val="20"/>
        </w:rPr>
        <w:t xml:space="preserve">Slide 18</w:t>
      </w:r>
      <w:r>
        <w:rPr>
          <w:b/>
          <w:bCs/>
          <w:color w:val="7A7A7A"/>
          <w:sz w:val="20"/>
          <w:szCs w:val="20"/>
        </w:rPr>
        <w:t xml:space="preserve">  ·  </w:t>
      </w:r>
      <w:r>
        <w:rPr>
          <w:b/>
          <w:bCs/>
          <w:sz w:val="22"/>
          <w:szCs w:val="22"/>
        </w:rPr>
        <w:t xml:space="preserve">Who is LockBit</w:t>
      </w:r>
    </w:p>
    <w:p>
      <w:pPr>
        <w:spacing w:after="120" w:line="300"/>
      </w:pPr>
      <w:r>
        <w:rPr>
          <w:color w:val="1A1A1A"/>
          <w:sz w:val="22"/>
          <w:szCs w:val="22"/>
        </w:rPr>
        <w:t xml:space="preserve">Same structure as CNCBI — threat actor first. LockBit is one of the longest-running Ransomware-as-a-Service operations, “old guard” in the space, active since around 2019, running the classic double-extortion playbook — encrypt, then threaten to leak — a genuine contrast with CL0P’s MOVEit approach. Cite the growth: LockBit 2.0 went from under 100 to over 1,000 victims between 2020 and 2021 on the affiliate model — affiliates buy or brute-force access, then deploy a common toolkit, so the model is volume, not bespoke targeting. Flag the recurring pattern worth remembering across LockBit cases generally: a weak or reused credential on a perimeter device is the way in, not a sophisticated exploit chain.</w:t>
      </w:r>
    </w:p>
    <w:p>
      <w:pPr>
        <w:pBdr>
          <w:top w:val="single" w:color="D8D8D8" w:sz="4" w:space="6"/>
        </w:pBdr>
        <w:spacing w:after="60" w:before="240"/>
      </w:pPr>
      <w:r>
        <w:rPr>
          <w:b/>
          <w:bCs/>
          <w:color w:val="D04A02"/>
          <w:sz w:val="20"/>
          <w:szCs w:val="20"/>
        </w:rPr>
        <w:t xml:space="preserve">Slide 19</w:t>
      </w:r>
      <w:r>
        <w:rPr>
          <w:b/>
          <w:bCs/>
          <w:color w:val="7A7A7A"/>
          <w:sz w:val="20"/>
          <w:szCs w:val="20"/>
        </w:rPr>
        <w:t xml:space="preserve">  ·  </w:t>
      </w:r>
      <w:r>
        <w:rPr>
          <w:b/>
          <w:bCs/>
          <w:sz w:val="22"/>
          <w:szCs w:val="22"/>
        </w:rPr>
        <w:t xml:space="preserve">The Vulnerability Nobody Patched</w:t>
      </w:r>
    </w:p>
    <w:p>
      <w:pPr>
        <w:spacing w:after="120" w:line="300"/>
      </w:pPr>
      <w:r>
        <w:rPr>
          <w:color w:val="1A1A1A"/>
          <w:sz w:val="22"/>
          <w:szCs w:val="22"/>
        </w:rPr>
        <w:t xml:space="preserve">CVE-2018-13379: an unauthenticated attacker could read files off a FortiGate SSL-VPN portal — including session credential files — via a crafted URL. Fortinet patched it in 2019. Give the CVSS story precisely, since it corrects a common misconception: the original 2019 score under CVSS v2 was 5.0, “Medium” — a path-traversal information-disclosure bug that most people didn’t rush to patch. The same vulnerability was later re-scored under CVSS v3.1 by NVD at 9.8, once its real impact was understood — that’s a re-scoring under a newer methodology, not literally an “upgrade” over time on the same scale, and it’s worth being precise about that distinction out loud. Then explain the actual trigger for urgency: COVID-19 hit, and internet-facing SSL-VPN became every organisation’s remote-access lifeline overnight, including systems still running the vulnerable version.</w:t>
      </w:r>
    </w:p>
    <w:p>
      <w:pPr>
        <w:pBdr>
          <w:top w:val="single" w:color="D8D8D8" w:sz="4" w:space="6"/>
        </w:pBdr>
        <w:spacing w:after="60" w:before="240"/>
      </w:pPr>
      <w:r>
        <w:rPr>
          <w:b/>
          <w:bCs/>
          <w:color w:val="D04A02"/>
          <w:sz w:val="20"/>
          <w:szCs w:val="20"/>
        </w:rPr>
        <w:t xml:space="preserve">Slide 20</w:t>
      </w:r>
      <w:r>
        <w:rPr>
          <w:b/>
          <w:bCs/>
          <w:color w:val="7A7A7A"/>
          <w:sz w:val="20"/>
          <w:szCs w:val="20"/>
        </w:rPr>
        <w:t xml:space="preserve">  ·  </w:t>
      </w:r>
      <w:r>
        <w:rPr>
          <w:b/>
          <w:bCs/>
          <w:sz w:val="22"/>
          <w:szCs w:val="22"/>
        </w:rPr>
        <w:t xml:space="preserve">The 2021 Dump</w:t>
      </w:r>
    </w:p>
    <w:p>
      <w:pPr>
        <w:spacing w:after="120" w:line="300"/>
      </w:pPr>
      <w:r>
        <w:rPr>
          <w:color w:val="1A1A1A"/>
          <w:sz w:val="22"/>
          <w:szCs w:val="22"/>
        </w:rPr>
        <w:t xml:space="preserve">In September 2021, a threat actor published SSL-VPN access details for roughly 87,000 FortiGate devices — usernames and passwords scraped from systems that were still unpatched at the time of scanning. Show the terminal-screenshot image and narrate it briefly: a researcher’s own replay of the leaked dataset, showing full administrative access achieved from a single reused password. Make the “patching alone wasn’t enough” point explicitly: a password scraped before the patch stayed valid until someone actually reset it — Fortinet’s own advice was patch, reset, and turn on MFA, all three together, not any one alone.</w:t>
      </w:r>
    </w:p>
    <w:p>
      <w:pPr>
        <w:pBdr>
          <w:top w:val="single" w:color="D8D8D8" w:sz="4" w:space="6"/>
        </w:pBdr>
        <w:spacing w:after="60" w:before="240"/>
      </w:pPr>
      <w:r>
        <w:rPr>
          <w:b/>
          <w:bCs/>
          <w:color w:val="D04A02"/>
          <w:sz w:val="20"/>
          <w:szCs w:val="20"/>
        </w:rPr>
        <w:t xml:space="preserve">Slide 21</w:t>
      </w:r>
      <w:r>
        <w:rPr>
          <w:b/>
          <w:bCs/>
          <w:color w:val="7A7A7A"/>
          <w:sz w:val="20"/>
          <w:szCs w:val="20"/>
        </w:rPr>
        <w:t xml:space="preserve">  ·  </w:t>
      </w:r>
      <w:r>
        <w:rPr>
          <w:b/>
          <w:bCs/>
          <w:sz w:val="22"/>
          <w:szCs w:val="22"/>
        </w:rPr>
        <w:t xml:space="preserve">The Scale of It</w:t>
      </w:r>
    </w:p>
    <w:p>
      <w:pPr>
        <w:spacing w:after="120" w:line="300"/>
      </w:pPr>
      <w:r>
        <w:rPr>
          <w:color w:val="1A1A1A"/>
          <w:sz w:val="22"/>
          <w:szCs w:val="22"/>
        </w:rPr>
        <w:t xml:space="preserve">Show the domain-list image and read a few sectors off it: oil and gas, telecoms, automotive, electronics, government-linked entities — this was opportunistic mass scanning, not a targeted intrusion against any one sector. Land the HKIB framing directly: HKIB is a financial-sector training body, not a bank itself, and it was simply one more internet-facing SSL-VPN sitting in that same exposed population — nothing about HKIB specifically drew LockBit’s attention.</w:t>
      </w:r>
    </w:p>
    <w:p>
      <w:pPr>
        <w:pBdr>
          <w:top w:val="single" w:color="D8D8D8" w:sz="4" w:space="6"/>
        </w:pBdr>
        <w:spacing w:after="60" w:before="240"/>
      </w:pPr>
      <w:r>
        <w:rPr>
          <w:b/>
          <w:bCs/>
          <w:color w:val="D04A02"/>
          <w:sz w:val="20"/>
          <w:szCs w:val="20"/>
        </w:rPr>
        <w:t xml:space="preserve">Slide 22</w:t>
      </w:r>
      <w:r>
        <w:rPr>
          <w:b/>
          <w:bCs/>
          <w:color w:val="7A7A7A"/>
          <w:sz w:val="20"/>
          <w:szCs w:val="20"/>
        </w:rPr>
        <w:t xml:space="preserve">  ·  </w:t>
      </w:r>
      <w:r>
        <w:rPr>
          <w:b/>
          <w:bCs/>
          <w:sz w:val="22"/>
          <w:szCs w:val="22"/>
        </w:rPr>
        <w:t xml:space="preserve">HKIB — Still Exposed</w:t>
      </w:r>
    </w:p>
    <w:p>
      <w:pPr>
        <w:spacing w:after="120" w:line="300"/>
      </w:pPr>
      <w:r>
        <w:rPr>
          <w:color w:val="1A1A1A"/>
          <w:sz w:val="22"/>
          <w:szCs w:val="22"/>
        </w:rPr>
        <w:t xml:space="preserve">Fast-forward explicitly: two and a half years between the 2019 patch and exploitation here — the same gap PCPD’s own report calls out, not a number you’re inventing. From stolen VPN credentials to ransomware executed across the domain took well under 24 hours, Day 0 to Day 1. 113,000-plus individuals affected, per PCPD’s own published report, case reference R23-6319. Tie it back to Part 1 explicitly: this is the same case already on the enforcement-notice count from earlier — 2022, one notice, HKIB.</w:t>
      </w:r>
    </w:p>
    <w:p>
      <w:pPr>
        <w:pBdr>
          <w:top w:val="single" w:color="D8D8D8" w:sz="4" w:space="6"/>
        </w:pBdr>
        <w:spacing w:after="60" w:before="240"/>
      </w:pPr>
      <w:r>
        <w:rPr>
          <w:b/>
          <w:bCs/>
          <w:color w:val="D04A02"/>
          <w:sz w:val="20"/>
          <w:szCs w:val="20"/>
        </w:rPr>
        <w:t xml:space="preserve">Slide 23</w:t>
      </w:r>
      <w:r>
        <w:rPr>
          <w:b/>
          <w:bCs/>
          <w:color w:val="7A7A7A"/>
          <w:sz w:val="20"/>
          <w:szCs w:val="20"/>
        </w:rPr>
        <w:t xml:space="preserve">  ·  </w:t>
      </w:r>
      <w:r>
        <w:rPr>
          <w:b/>
          <w:bCs/>
          <w:sz w:val="22"/>
          <w:szCs w:val="22"/>
        </w:rPr>
        <w:t xml:space="preserve">HKIB — Timeline</w:t>
      </w:r>
      <w:r>
        <w:rPr>
          <w:i/>
          <w:iCs/>
          <w:color w:val="7A7A7A"/>
          <w:sz w:val="18"/>
          <w:szCs w:val="18"/>
        </w:rPr>
        <w:t xml:space="preserve">   [TABLE]</w:t>
      </w:r>
    </w:p>
    <w:p>
      <w:pPr>
        <w:spacing w:after="120" w:line="300"/>
      </w:pPr>
      <w:r>
        <w:rPr>
          <w:color w:val="1A1A1A"/>
          <w:sz w:val="22"/>
          <w:szCs w:val="22"/>
        </w:rPr>
        <w:t xml:space="preserve">Walk all four stages — this table is doing real work, don’t rush it. Infiltration: stolen SSL-VPN session credentials, obtained via the FortiGate vulnerability, used to log in as a valid user — no malware needed to get in the door at all. Privilege Escalation: an attempt against the domain controller actually failed — a patch HKIB had applied genuinely held — so the attacker fell back to password spraying and succeeded on a different account; that’s worth pausing on, because it shows partial hygiene isn’t worthless, it just wasn’t complete. Lateral Movement: RDP used to reach multiple servers and endpoints, a new account added to a privileged group for persistence, endpoint antivirus disabled ahead of deployment. Ransomware Execution: deployed across servers and endpoints the same day — LockBit 2.0.</w:t>
      </w:r>
    </w:p>
    <w:p>
      <w:pPr>
        <w:pBdr>
          <w:top w:val="single" w:color="D8D8D8" w:sz="4" w:space="6"/>
        </w:pBdr>
        <w:spacing w:after="60" w:before="240"/>
      </w:pPr>
      <w:r>
        <w:rPr>
          <w:b/>
          <w:bCs/>
          <w:color w:val="D04A02"/>
          <w:sz w:val="20"/>
          <w:szCs w:val="20"/>
        </w:rPr>
        <w:t xml:space="preserve">Slide 24</w:t>
      </w:r>
      <w:r>
        <w:rPr>
          <w:b/>
          <w:bCs/>
          <w:color w:val="7A7A7A"/>
          <w:sz w:val="20"/>
          <w:szCs w:val="20"/>
        </w:rPr>
        <w:t xml:space="preserve">  ·  </w:t>
      </w:r>
      <w:r>
        <w:rPr>
          <w:b/>
          <w:bCs/>
          <w:sz w:val="22"/>
          <w:szCs w:val="22"/>
        </w:rPr>
        <w:t xml:space="preserve">HKIB — Findings, Two Kinds</w:t>
      </w:r>
      <w:r>
        <w:rPr>
          <w:i/>
          <w:iCs/>
          <w:color w:val="7A7A7A"/>
          <w:sz w:val="18"/>
          <w:szCs w:val="18"/>
        </w:rPr>
        <w:t xml:space="preserve">   [TWO-COLUMN]</w:t>
      </w:r>
    </w:p>
    <w:p>
      <w:pPr>
        <w:spacing w:after="120" w:line="300"/>
      </w:pPr>
      <w:r>
        <w:rPr>
          <w:color w:val="1A1A1A"/>
          <w:sz w:val="22"/>
          <w:szCs w:val="22"/>
        </w:rPr>
        <w:t xml:space="preserve">Same hygiene-versus-best-practice split as CNCBI, but this time from the real 17-item findings table — seven hygiene items, ten best-practice items. Hygiene: stale service-account passwords unchanged for years, end-of-life systems still in production, domain admin accounts used for daily work, weak crackable passwords, no formal patch cycle, shared local admin credentials, outstanding containment actions left incomplete. Best practice: no dedicated security function, no network segmentation, no 24×7 monitoring, no tested disaster-recovery plan, no DLP, no log retention on critical infrastructure, incident response never formally documented, antivirus only with no EDR, no asset inventory, and pen tests that never covered internal infrastructure. You don’t need to read every single line aloud — pick two or three from each column that land hardest and let the table carry the rest visually.</w:t>
      </w:r>
    </w:p>
    <w:p>
      <w:pPr>
        <w:pBdr>
          <w:top w:val="single" w:color="D8D8D8" w:sz="4" w:space="6"/>
        </w:pBdr>
        <w:spacing w:after="60" w:before="240"/>
      </w:pPr>
      <w:r>
        <w:rPr>
          <w:b/>
          <w:bCs/>
          <w:color w:val="D04A02"/>
          <w:sz w:val="20"/>
          <w:szCs w:val="20"/>
        </w:rPr>
        <w:t xml:space="preserve">Slide 25</w:t>
      </w:r>
      <w:r>
        <w:rPr>
          <w:b/>
          <w:bCs/>
          <w:color w:val="7A7A7A"/>
          <w:sz w:val="20"/>
          <w:szCs w:val="20"/>
        </w:rPr>
        <w:t xml:space="preserve">  ·  </w:t>
      </w:r>
      <w:r>
        <w:rPr>
          <w:b/>
          <w:bCs/>
          <w:sz w:val="22"/>
          <w:szCs w:val="22"/>
        </w:rPr>
        <w:t xml:space="preserve">HKIB — PCPD Alignment</w:t>
      </w:r>
    </w:p>
    <w:p>
      <w:pPr>
        <w:spacing w:after="120" w:line="300"/>
      </w:pPr>
      <w:r>
        <w:rPr>
          <w:color w:val="1A1A1A"/>
          <w:sz w:val="22"/>
          <w:szCs w:val="22"/>
        </w:rPr>
        <w:t xml:space="preserve">This is the pattern worth remembering, and say it exactly this way: PCPD’s public recommendations after an incident are rarely novel — they’re close to what the incident responders already told the client to fix, sometimes months earlier. The gap PCPD calls out and the gap the internal findings called out are the same gap; the regulator isn’t discovering something new, it’s confirming what internal work already knew. Be honest about one real limit too: limited host-based logging left some lateral-movement questions at “assessed, not confirmed” — a genuine forensic limit, not a gap papered over.</w:t>
      </w:r>
    </w:p>
    <w:p>
      <w:pPr>
        <w:pBdr>
          <w:top w:val="single" w:color="D8D8D8" w:sz="4" w:space="6"/>
        </w:pBdr>
        <w:spacing w:after="60" w:before="240"/>
      </w:pPr>
      <w:r>
        <w:rPr>
          <w:b/>
          <w:bCs/>
          <w:color w:val="D04A02"/>
          <w:sz w:val="20"/>
          <w:szCs w:val="20"/>
        </w:rPr>
        <w:t xml:space="preserve">Slide 26</w:t>
      </w:r>
      <w:r>
        <w:rPr>
          <w:b/>
          <w:bCs/>
          <w:color w:val="7A7A7A"/>
          <w:sz w:val="20"/>
          <w:szCs w:val="20"/>
        </w:rPr>
        <w:t xml:space="preserve">  ·  </w:t>
      </w:r>
      <w:r>
        <w:rPr>
          <w:b/>
          <w:bCs/>
          <w:sz w:val="22"/>
          <w:szCs w:val="22"/>
        </w:rPr>
        <w:t xml:space="preserve">Pulse check 1</w:t>
      </w:r>
      <w:r>
        <w:rPr>
          <w:i/>
          <w:iCs/>
          <w:color w:val="7A7A7A"/>
          <w:sz w:val="18"/>
          <w:szCs w:val="18"/>
        </w:rPr>
        <w:t xml:space="preserve">   [PULSE CHECK]</w:t>
      </w:r>
    </w:p>
    <w:p>
      <w:pPr>
        <w:spacing w:after="120" w:line="300"/>
      </w:pPr>
      <w:r>
        <w:rPr>
          <w:color w:val="1A1A1A"/>
          <w:sz w:val="22"/>
          <w:szCs w:val="22"/>
        </w:rPr>
        <w:t xml:space="preserve">Set up the contrast directly: CNCBI and HKIB were both compromised through a vulnerability, not a phishing email — one triggered a PCPD investigation, the other didn’t. Ask exactly the instruction on the slide: “why do you think that is the case?” — and actually let several answers come in before you move to Cyberport. Good answers usually surface scale of individuals affected, sector sensitivity, or simply selection randomness — all of which are legitimate and worth naming if nobody raises them.</w:t>
      </w:r>
    </w:p>
    <w:p>
      <w:pPr>
        <w:pStyle w:val="Heading2"/>
        <w:spacing w:after="120" w:before="360"/>
      </w:pPr>
      <w:r>
        <w:t xml:space="preserve">Case 3 — Cyberport</w:t>
      </w:r>
    </w:p>
    <w:p>
      <w:pPr>
        <w:pBdr>
          <w:top w:val="single" w:color="D8D8D8" w:sz="4" w:space="6"/>
        </w:pBdr>
        <w:spacing w:after="60" w:before="240"/>
      </w:pPr>
      <w:r>
        <w:rPr>
          <w:b/>
          <w:bCs/>
          <w:color w:val="D04A02"/>
          <w:sz w:val="20"/>
          <w:szCs w:val="20"/>
        </w:rPr>
        <w:t xml:space="preserve">Slide 27</w:t>
      </w:r>
      <w:r>
        <w:rPr>
          <w:b/>
          <w:bCs/>
          <w:color w:val="7A7A7A"/>
          <w:sz w:val="20"/>
          <w:szCs w:val="20"/>
        </w:rPr>
        <w:t xml:space="preserve">  ·  </w:t>
      </w:r>
      <w:r>
        <w:rPr>
          <w:b/>
          <w:bCs/>
          <w:sz w:val="22"/>
          <w:szCs w:val="22"/>
        </w:rPr>
        <w:t xml:space="preserve">Divider — “Cyberport.”</w:t>
      </w:r>
      <w:r>
        <w:rPr>
          <w:i/>
          <w:iCs/>
          <w:color w:val="7A7A7A"/>
          <w:sz w:val="18"/>
          <w:szCs w:val="18"/>
        </w:rPr>
        <w:t xml:space="preserve">   [DIVIDER]</w:t>
      </w:r>
    </w:p>
    <w:p>
      <w:pPr>
        <w:spacing w:after="120" w:line="300"/>
      </w:pPr>
      <w:r>
        <w:rPr>
          <w:color w:val="1A1A1A"/>
          <w:sz w:val="22"/>
          <w:szCs w:val="22"/>
        </w:rPr>
        <w:t xml:space="preserve">Tell the room why this one is deliberately last and deliberately the most detailed: it’s told from two real angles you worked — Angle A, the technical incident responder chasing the attacker, and Angle B, months later, the independent reviewer checking whether the fix actually held.</w:t>
      </w:r>
    </w:p>
    <w:p>
      <w:pPr>
        <w:pBdr>
          <w:top w:val="single" w:color="D8D8D8" w:sz="4" w:space="6"/>
        </w:pBdr>
        <w:spacing w:after="60" w:before="240"/>
      </w:pPr>
      <w:r>
        <w:rPr>
          <w:b/>
          <w:bCs/>
          <w:color w:val="D04A02"/>
          <w:sz w:val="20"/>
          <w:szCs w:val="20"/>
        </w:rPr>
        <w:t xml:space="preserve">Slide 28</w:t>
      </w:r>
      <w:r>
        <w:rPr>
          <w:b/>
          <w:bCs/>
          <w:color w:val="7A7A7A"/>
          <w:sz w:val="20"/>
          <w:szCs w:val="20"/>
        </w:rPr>
        <w:t xml:space="preserve">  ·  </w:t>
      </w:r>
      <w:r>
        <w:rPr>
          <w:b/>
          <w:bCs/>
          <w:sz w:val="22"/>
          <w:szCs w:val="22"/>
        </w:rPr>
        <w:t xml:space="preserve">Divider — Angle A, “Chasing the Attacker.”</w:t>
      </w:r>
      <w:r>
        <w:rPr>
          <w:i/>
          <w:iCs/>
          <w:color w:val="7A7A7A"/>
          <w:sz w:val="18"/>
          <w:szCs w:val="18"/>
        </w:rPr>
        <w:t xml:space="preserve">   [DIVIDER]</w:t>
      </w:r>
    </w:p>
    <w:p>
      <w:pPr>
        <w:spacing w:after="120" w:line="300"/>
      </w:pPr>
      <w:r>
        <w:rPr>
          <w:color w:val="1A1A1A"/>
          <w:sz w:val="22"/>
          <w:szCs w:val="22"/>
        </w:rPr>
        <w:t xml:space="preserve">Frame Angle A as the same job as CNCBI and HKIB: request the assets, follow the forensics, verify containment and eradication actually held — not just that they were reported as done.</w:t>
      </w:r>
    </w:p>
    <w:p>
      <w:pPr>
        <w:pBdr>
          <w:top w:val="single" w:color="D8D8D8" w:sz="4" w:space="6"/>
        </w:pBdr>
        <w:spacing w:after="60" w:before="240"/>
      </w:pPr>
      <w:r>
        <w:rPr>
          <w:b/>
          <w:bCs/>
          <w:color w:val="D04A02"/>
          <w:sz w:val="20"/>
          <w:szCs w:val="20"/>
        </w:rPr>
        <w:t xml:space="preserve">Slide 29</w:t>
      </w:r>
      <w:r>
        <w:rPr>
          <w:b/>
          <w:bCs/>
          <w:color w:val="7A7A7A"/>
          <w:sz w:val="20"/>
          <w:szCs w:val="20"/>
        </w:rPr>
        <w:t xml:space="preserve">  ·  </w:t>
      </w:r>
      <w:r>
        <w:rPr>
          <w:b/>
          <w:bCs/>
          <w:sz w:val="22"/>
          <w:szCs w:val="22"/>
        </w:rPr>
        <w:t xml:space="preserve">Cyberport A — Background</w:t>
      </w:r>
    </w:p>
    <w:p>
      <w:pPr>
        <w:spacing w:after="120" w:line="300"/>
      </w:pPr>
      <w:r>
        <w:rPr>
          <w:color w:val="1A1A1A"/>
          <w:sz w:val="22"/>
          <w:szCs w:val="22"/>
        </w:rPr>
        <w:t xml:space="preserve">Day 0: login via an exposed remote desktop service, using a recovered admin credential. Same day: remote-access and cloud-sync tools deployed for persistence. Name the threat actor and flag you’ll come back to them: Trigona. Describe the discovery sequence, which is itself notable: Cyberport discovered the encryption internally, before any outside notification — then, separately, learned the data had also been posted for sale. PwC was engaged through Cyberport’s outside counsel once the leak-site posting confirmed this was more than a contained ransomware event.</w:t>
      </w:r>
    </w:p>
    <w:p>
      <w:pPr>
        <w:pBdr>
          <w:top w:val="single" w:color="D8D8D8" w:sz="4" w:space="6"/>
        </w:pBdr>
        <w:spacing w:after="60" w:before="240"/>
      </w:pPr>
      <w:r>
        <w:rPr>
          <w:b/>
          <w:bCs/>
          <w:color w:val="D04A02"/>
          <w:sz w:val="20"/>
          <w:szCs w:val="20"/>
        </w:rPr>
        <w:t xml:space="preserve">Slide 30</w:t>
      </w:r>
      <w:r>
        <w:rPr>
          <w:b/>
          <w:bCs/>
          <w:color w:val="7A7A7A"/>
          <w:sz w:val="20"/>
          <w:szCs w:val="20"/>
        </w:rPr>
        <w:t xml:space="preserve">  ·  </w:t>
      </w:r>
      <w:r>
        <w:rPr>
          <w:b/>
          <w:bCs/>
          <w:sz w:val="22"/>
          <w:szCs w:val="22"/>
        </w:rPr>
        <w:t xml:space="preserve">Cyberport A — How They Got In</w:t>
      </w:r>
    </w:p>
    <w:p>
      <w:pPr>
        <w:spacing w:after="120" w:line="300"/>
      </w:pPr>
      <w:r>
        <w:rPr>
          <w:color w:val="1A1A1A"/>
          <w:sz w:val="22"/>
          <w:szCs w:val="22"/>
        </w:rPr>
        <w:t xml:space="preserve">This slide corrects a natural assumption, so frame it that way. The forensic finding is precise but incomplete: the threat actor logged in through an exposed, internet-facing remote-desktop service using a recovered administrative credential — and stress the word “recovered”: not a confirmed live brute-force crack. The best explanation on the record is a parallel scan of Cyberport’s wider internet footprint that found leaked and reused credentials on other public-facing portals — exactly the kind of exposure that hands an attacker a working password without ever guessing one. Close with the methodological point, stated plainly: state what the evidence actually shows, not the version that makes the best story — “recovered, likely via credential reuse” is honest, “brute-forced” is a guess dressed up as a fact.</w:t>
      </w:r>
    </w:p>
    <w:p>
      <w:pPr>
        <w:pBdr>
          <w:top w:val="single" w:color="D8D8D8" w:sz="4" w:space="6"/>
        </w:pBdr>
        <w:spacing w:after="60" w:before="240"/>
      </w:pPr>
      <w:r>
        <w:rPr>
          <w:b/>
          <w:bCs/>
          <w:color w:val="D04A02"/>
          <w:sz w:val="20"/>
          <w:szCs w:val="20"/>
        </w:rPr>
        <w:t xml:space="preserve">Slide 31</w:t>
      </w:r>
      <w:r>
        <w:rPr>
          <w:b/>
          <w:bCs/>
          <w:color w:val="7A7A7A"/>
          <w:sz w:val="20"/>
          <w:szCs w:val="20"/>
        </w:rPr>
        <w:t xml:space="preserve">  ·  </w:t>
      </w:r>
      <w:r>
        <w:rPr>
          <w:b/>
          <w:bCs/>
          <w:sz w:val="22"/>
          <w:szCs w:val="22"/>
        </w:rPr>
        <w:t xml:space="preserve">Cyberport A — Timeline</w:t>
      </w:r>
      <w:r>
        <w:rPr>
          <w:i/>
          <w:iCs/>
          <w:color w:val="7A7A7A"/>
          <w:sz w:val="18"/>
          <w:szCs w:val="18"/>
        </w:rPr>
        <w:t xml:space="preserve">   [TABLE]</w:t>
      </w:r>
    </w:p>
    <w:p>
      <w:pPr>
        <w:spacing w:after="120" w:line="300"/>
      </w:pPr>
      <w:r>
        <w:rPr>
          <w:color w:val="1A1A1A"/>
          <w:sz w:val="22"/>
          <w:szCs w:val="22"/>
        </w:rPr>
        <w:t xml:space="preserve">Walk all five rows — this is the most detailed timeline in the deck. Day 0: initial access via the exposed remote-access service, with remote-access and cloud-sync tools deployed the same day. Day roughly 4 to 5: tens of thousands of files staged from one file-server share, synced out via the cloud tool over several days. Day roughly 7 to 8: Wave 1, Windows servers and domain infrastructure encrypted. Day roughly 12: Wave 2, virtualization hosts encrypted — a deliberate second push, not an afterthought. Around Day 30, Cyberport was listed on the leak site; around Day 73, months later, pro-Ukraine hacktivists took Trigona’s own leak site offline entirely. Land the framing from the slide title: data moved first, encryption came over a week later, in two separate waves — that sequencing itself is a forensic signal worth naming.</w:t>
      </w:r>
    </w:p>
    <w:p>
      <w:pPr>
        <w:pBdr>
          <w:top w:val="single" w:color="D8D8D8" w:sz="4" w:space="6"/>
        </w:pBdr>
        <w:spacing w:after="60" w:before="240"/>
      </w:pPr>
      <w:r>
        <w:rPr>
          <w:b/>
          <w:bCs/>
          <w:color w:val="D04A02"/>
          <w:sz w:val="20"/>
          <w:szCs w:val="20"/>
        </w:rPr>
        <w:t xml:space="preserve">Slide 32</w:t>
      </w:r>
      <w:r>
        <w:rPr>
          <w:b/>
          <w:bCs/>
          <w:color w:val="7A7A7A"/>
          <w:sz w:val="20"/>
          <w:szCs w:val="20"/>
        </w:rPr>
        <w:t xml:space="preserve">  ·  </w:t>
      </w:r>
      <w:r>
        <w:rPr>
          <w:b/>
          <w:bCs/>
          <w:sz w:val="22"/>
          <w:szCs w:val="22"/>
        </w:rPr>
        <w:t xml:space="preserve">Cyberport A — Containment and Eradication</w:t>
      </w:r>
    </w:p>
    <w:p>
      <w:pPr>
        <w:spacing w:after="120" w:line="300"/>
      </w:pPr>
      <w:r>
        <w:rPr>
          <w:color w:val="1A1A1A"/>
          <w:sz w:val="22"/>
          <w:szCs w:val="22"/>
        </w:rPr>
        <w:t xml:space="preserve">Eight containment actions, all completed — walk the categories rather than reading a checklist. Network-wide blocking of the threat actor’s known infrastructure, with the highest-risk hosts shut down to cut off re-access. The remote-access tool the attacker abused was blocked outright, and inbound remote-desktop access was blocked at the perimeter. Every compromised account was reset or disabled, IOCs removed host by host, and admin ports — RDP, SSH, FTP — closed externally. Findings from a parallel perimeter scan were addressed in the same pass, not deferred to later.</w:t>
      </w:r>
    </w:p>
    <w:p>
      <w:pPr>
        <w:pBdr>
          <w:top w:val="single" w:color="D8D8D8" w:sz="4" w:space="6"/>
        </w:pBdr>
        <w:spacing w:after="60" w:before="240"/>
      </w:pPr>
      <w:r>
        <w:rPr>
          <w:b/>
          <w:bCs/>
          <w:color w:val="D04A02"/>
          <w:sz w:val="20"/>
          <w:szCs w:val="20"/>
        </w:rPr>
        <w:t xml:space="preserve">Slide 33</w:t>
      </w:r>
      <w:r>
        <w:rPr>
          <w:b/>
          <w:bCs/>
          <w:color w:val="7A7A7A"/>
          <w:sz w:val="20"/>
          <w:szCs w:val="20"/>
        </w:rPr>
        <w:t xml:space="preserve">  ·  </w:t>
      </w:r>
      <w:r>
        <w:rPr>
          <w:b/>
          <w:bCs/>
          <w:sz w:val="22"/>
          <w:szCs w:val="22"/>
        </w:rPr>
        <w:t xml:space="preserve">Cyberport A — Who Is Trigona</w:t>
      </w:r>
    </w:p>
    <w:p>
      <w:pPr>
        <w:spacing w:after="120" w:line="300"/>
      </w:pPr>
      <w:r>
        <w:rPr>
          <w:color w:val="1A1A1A"/>
          <w:sz w:val="22"/>
          <w:szCs w:val="22"/>
        </w:rPr>
        <w:t xml:space="preserve">A newer Ransomware-as-a-Service operation, active from mid-2022 — younger than CL0P or LockBit, worth noting for contrast. Same classic double-extortion playbook as LockBit: encrypt and threaten to leak, unlike CL0P’s single-extortion MOVEit approach. Opportunistic by nature — exposed remote-access and database services, not a specific sector or region. Affiliates are known to exploit a mix of known vulnerabilities and weak or reused credentials on exposed services, which is exactly consistent with what happened here.</w:t>
      </w:r>
    </w:p>
    <w:p>
      <w:pPr>
        <w:pBdr>
          <w:top w:val="single" w:color="D8D8D8" w:sz="4" w:space="6"/>
        </w:pBdr>
        <w:spacing w:after="60" w:before="240"/>
      </w:pPr>
      <w:r>
        <w:rPr>
          <w:b/>
          <w:bCs/>
          <w:color w:val="D04A02"/>
          <w:sz w:val="20"/>
          <w:szCs w:val="20"/>
        </w:rPr>
        <w:t xml:space="preserve">Slide 34</w:t>
      </w:r>
      <w:r>
        <w:rPr>
          <w:b/>
          <w:bCs/>
          <w:color w:val="7A7A7A"/>
          <w:sz w:val="20"/>
          <w:szCs w:val="20"/>
        </w:rPr>
        <w:t xml:space="preserve">  ·  </w:t>
      </w:r>
      <w:r>
        <w:rPr>
          <w:b/>
          <w:bCs/>
          <w:sz w:val="22"/>
          <w:szCs w:val="22"/>
        </w:rPr>
        <w:t xml:space="preserve">Cyberport A — Threat Intelligence on Trigona</w:t>
      </w:r>
      <w:r>
        <w:rPr>
          <w:i/>
          <w:iCs/>
          <w:color w:val="7A7A7A"/>
          <w:sz w:val="18"/>
          <w:szCs w:val="18"/>
        </w:rPr>
        <w:t xml:space="preserve">   [TABLE]</w:t>
      </w:r>
    </w:p>
    <w:p>
      <w:pPr>
        <w:spacing w:after="120" w:line="300"/>
      </w:pPr>
      <w:r>
        <w:rPr>
          <w:color w:val="1A1A1A"/>
          <w:sz w:val="22"/>
          <w:szCs w:val="22"/>
        </w:rPr>
        <w:t xml:space="preserve">This is where you show the work is rigorous, not just narrative — map real observed tools to MITRE ATT&amp;CK technique IDs. A network-discovery utility used to enumerate hosts and services maps to T1046, Network Service Discovery. A log-cleaning tool used to clear Windows event logs on multiple hosts maps to T1070.001, Indicator Removal — Clear Windows Event Logs. A remote-access utility installed across multiple endpoints maps to T1570, Lateral Tool Transfer. Close with the note: every one of these tools is legitimate, publicly available software, repurposed for malicious use — nothing custom-built was needed.</w:t>
      </w:r>
    </w:p>
    <w:p>
      <w:pPr>
        <w:pBdr>
          <w:top w:val="single" w:color="D8D8D8" w:sz="4" w:space="6"/>
        </w:pBdr>
        <w:spacing w:after="60" w:before="240"/>
      </w:pPr>
      <w:r>
        <w:rPr>
          <w:b/>
          <w:bCs/>
          <w:color w:val="D04A02"/>
          <w:sz w:val="20"/>
          <w:szCs w:val="20"/>
        </w:rPr>
        <w:t xml:space="preserve">Slide 35</w:t>
      </w:r>
      <w:r>
        <w:rPr>
          <w:b/>
          <w:bCs/>
          <w:color w:val="7A7A7A"/>
          <w:sz w:val="20"/>
          <w:szCs w:val="20"/>
        </w:rPr>
        <w:t xml:space="preserve">  ·  </w:t>
      </w:r>
      <w:r>
        <w:rPr>
          <w:b/>
          <w:bCs/>
          <w:sz w:val="22"/>
          <w:szCs w:val="22"/>
        </w:rPr>
        <w:t xml:space="preserve">Cyberport A — Root Cause and Recommendations</w:t>
      </w:r>
      <w:r>
        <w:rPr>
          <w:i/>
          <w:iCs/>
          <w:color w:val="7A7A7A"/>
          <w:sz w:val="18"/>
          <w:szCs w:val="18"/>
        </w:rPr>
        <w:t xml:space="preserve">   [TABLE]</w:t>
      </w:r>
    </w:p>
    <w:p>
      <w:pPr>
        <w:spacing w:after="120" w:line="300"/>
      </w:pPr>
      <w:r>
        <w:rPr>
          <w:color w:val="1A1A1A"/>
          <w:sz w:val="22"/>
          <w:szCs w:val="22"/>
        </w:rPr>
        <w:t xml:space="preserve">Four categories, walk each briefly. Perimeter housekeeping: a remote-access service was exposed with no additional hardening — no SSO or VPN wrapper, no MFA, no IP allow-listing — recommendation: add it. Endpoint and identity controls: security software lacked tamper protection — enable it, and build in genuine defense-in-depth. Network segmentation: core infrastructure sat reachable from the general environment — isolate production from the hypervisors. Privileged-account hygiene: 20 domain admin accounts were found, and 4 hadn’t rotated in one to two years — house-keep and tier access. Close with the note exactly as written: that last row should sound familiar — the same stale-privileged-account pattern shows up across nearly every case in this course, this engagement included.</w:t>
      </w:r>
    </w:p>
    <w:p>
      <w:pPr>
        <w:pBdr>
          <w:top w:val="single" w:color="D8D8D8" w:sz="4" w:space="6"/>
        </w:pBdr>
        <w:spacing w:after="60" w:before="240"/>
      </w:pPr>
      <w:r>
        <w:rPr>
          <w:b/>
          <w:bCs/>
          <w:color w:val="D04A02"/>
          <w:sz w:val="20"/>
          <w:szCs w:val="20"/>
        </w:rPr>
        <w:t xml:space="preserve">Slide 36</w:t>
      </w:r>
      <w:r>
        <w:rPr>
          <w:b/>
          <w:bCs/>
          <w:color w:val="7A7A7A"/>
          <w:sz w:val="20"/>
          <w:szCs w:val="20"/>
        </w:rPr>
        <w:t xml:space="preserve">  ·  </w:t>
      </w:r>
      <w:r>
        <w:rPr>
          <w:b/>
          <w:bCs/>
          <w:sz w:val="22"/>
          <w:szCs w:val="22"/>
        </w:rPr>
        <w:t xml:space="preserve">Pulse check 2</w:t>
      </w:r>
      <w:r>
        <w:rPr>
          <w:i/>
          <w:iCs/>
          <w:color w:val="7A7A7A"/>
          <w:sz w:val="18"/>
          <w:szCs w:val="18"/>
        </w:rPr>
        <w:t xml:space="preserve">   [PULSE CHECK]</w:t>
      </w:r>
    </w:p>
    <w:p>
      <w:pPr>
        <w:spacing w:after="120" w:line="300"/>
      </w:pPr>
      <w:r>
        <w:rPr>
          <w:color w:val="1A1A1A"/>
          <w:sz w:val="22"/>
          <w:szCs w:val="22"/>
        </w:rPr>
        <w:t xml:space="preserve">Set up the tension directly: Cyberport completed all 8 containment actions and 16 recommendations from the incident report, and still ended up with a public PCPD Enforcement Notice. Ask for a show of hands on whether “we fixed it after” should count for anything in how PCPD weighs a case. This is a good moment to let disagreement stand rather than resolving it — it sets up Angle B perfectly.</w:t>
      </w:r>
    </w:p>
    <w:p>
      <w:pPr>
        <w:pBdr>
          <w:top w:val="single" w:color="D8D8D8" w:sz="4" w:space="6"/>
        </w:pBdr>
        <w:spacing w:after="60" w:before="240"/>
      </w:pPr>
      <w:r>
        <w:rPr>
          <w:b/>
          <w:bCs/>
          <w:color w:val="D04A02"/>
          <w:sz w:val="20"/>
          <w:szCs w:val="20"/>
        </w:rPr>
        <w:t xml:space="preserve">Slide 37</w:t>
      </w:r>
      <w:r>
        <w:rPr>
          <w:b/>
          <w:bCs/>
          <w:color w:val="7A7A7A"/>
          <w:sz w:val="20"/>
          <w:szCs w:val="20"/>
        </w:rPr>
        <w:t xml:space="preserve">  ·  </w:t>
      </w:r>
      <w:r>
        <w:rPr>
          <w:b/>
          <w:bCs/>
          <w:sz w:val="22"/>
          <w:szCs w:val="22"/>
        </w:rPr>
        <w:t xml:space="preserve">Divider — Angle B, “Checking the Fix.”</w:t>
      </w:r>
      <w:r>
        <w:rPr>
          <w:i/>
          <w:iCs/>
          <w:color w:val="7A7A7A"/>
          <w:sz w:val="18"/>
          <w:szCs w:val="18"/>
        </w:rPr>
        <w:t xml:space="preserve">   [DIVIDER]</w:t>
      </w:r>
    </w:p>
    <w:p>
      <w:pPr>
        <w:spacing w:after="120" w:line="300"/>
      </w:pPr>
      <w:r>
        <w:rPr>
          <w:color w:val="1A1A1A"/>
          <w:sz w:val="22"/>
          <w:szCs w:val="22"/>
        </w:rPr>
        <w:t xml:space="preserve">Months later, a different engagement entirely — not “what happened” but “does this control actually work” — documentation, interviews, and samples, not forensic artefacts.</w:t>
      </w:r>
    </w:p>
    <w:p>
      <w:pPr>
        <w:pBdr>
          <w:top w:val="single" w:color="D8D8D8" w:sz="4" w:space="6"/>
        </w:pBdr>
        <w:spacing w:after="60" w:before="240"/>
      </w:pPr>
      <w:r>
        <w:rPr>
          <w:b/>
          <w:bCs/>
          <w:color w:val="D04A02"/>
          <w:sz w:val="20"/>
          <w:szCs w:val="20"/>
        </w:rPr>
        <w:t xml:space="preserve">Slide 38</w:t>
      </w:r>
      <w:r>
        <w:rPr>
          <w:b/>
          <w:bCs/>
          <w:color w:val="7A7A7A"/>
          <w:sz w:val="20"/>
          <w:szCs w:val="20"/>
        </w:rPr>
        <w:t xml:space="preserve">  ·  </w:t>
      </w:r>
      <w:r>
        <w:rPr>
          <w:b/>
          <w:bCs/>
          <w:sz w:val="22"/>
          <w:szCs w:val="22"/>
        </w:rPr>
        <w:t xml:space="preserve">Cyberport B — A Different Question Entirely</w:t>
      </w:r>
    </w:p>
    <w:p>
      <w:pPr>
        <w:spacing w:after="120" w:line="300"/>
      </w:pPr>
      <w:r>
        <w:rPr>
          <w:color w:val="1A1A1A"/>
          <w:sz w:val="22"/>
          <w:szCs w:val="22"/>
        </w:rPr>
        <w:t xml:space="preserve">Contrast the two roles directly using the two cards. As incident responder, Angle A: request assets, follow forensic evidence, keep asking questions until containment and eradication are actually verified. As independent reviewer, Angle B: request documentation and samples, and ask a fundamentally different question — is the control well designed, and is there evidence it actually operates that way in practice. Then explain the gap explicitly, since this is the conceptual core of Angle B: a forensic investigator pulls a control’s actual output directly; a reviewer, months later, is one step removed, asking for evidence of that output instead. The job is closing that gap as much as possible — asking for the sample that sits as close to the real control output as you can get — and say plainly that this takes real technical know-how, knowing what evidence would actually prove the point, not just what’s easy to hand over.</w:t>
      </w:r>
    </w:p>
    <w:p>
      <w:pPr>
        <w:pBdr>
          <w:top w:val="single" w:color="D8D8D8" w:sz="4" w:space="6"/>
        </w:pBdr>
        <w:spacing w:after="60" w:before="240"/>
      </w:pPr>
      <w:r>
        <w:rPr>
          <w:b/>
          <w:bCs/>
          <w:color w:val="D04A02"/>
          <w:sz w:val="20"/>
          <w:szCs w:val="20"/>
        </w:rPr>
        <w:t xml:space="preserve">Slide 39</w:t>
      </w:r>
      <w:r>
        <w:rPr>
          <w:b/>
          <w:bCs/>
          <w:color w:val="7A7A7A"/>
          <w:sz w:val="20"/>
          <w:szCs w:val="20"/>
        </w:rPr>
        <w:t xml:space="preserve">  ·  </w:t>
      </w:r>
      <w:r>
        <w:rPr>
          <w:b/>
          <w:bCs/>
          <w:sz w:val="22"/>
          <w:szCs w:val="22"/>
        </w:rPr>
        <w:t xml:space="preserve">Cyberport B — The Enforcement Notice</w:t>
      </w:r>
      <w:r>
        <w:rPr>
          <w:i/>
          <w:iCs/>
          <w:color w:val="7A7A7A"/>
          <w:sz w:val="18"/>
          <w:szCs w:val="18"/>
        </w:rPr>
        <w:t xml:space="preserve">   [TABLE]</w:t>
      </w:r>
    </w:p>
    <w:p>
      <w:pPr>
        <w:spacing w:after="120" w:line="300"/>
      </w:pPr>
      <w:r>
        <w:rPr>
          <w:color w:val="1A1A1A"/>
          <w:sz w:val="22"/>
          <w:szCs w:val="22"/>
        </w:rPr>
        <w:t xml:space="preserve">This is PCPD’s own public document, case R24-12170 — say explicitly that you can cite this one exactly, unlike the confidential engagement material. Walk all seven requirements: thoroughly review security of every system holding personal data with effective detection in place; implement MFA for all remote users; engage an independent expert for an annual risk assessment and security audit; put in place clear, comprehensive information-security policies; delete all personal data already held past its retention period; set a clear retention policy with defined deletion procedures; and implement measures to ensure staff actually comply with all of the above. Close with the deadline: two months from the date of the notice to comply, and to prove it.</w:t>
      </w:r>
    </w:p>
    <w:p>
      <w:pPr>
        <w:pBdr>
          <w:top w:val="single" w:color="D8D8D8" w:sz="4" w:space="6"/>
        </w:pBdr>
        <w:spacing w:after="60" w:before="240"/>
      </w:pPr>
      <w:r>
        <w:rPr>
          <w:b/>
          <w:bCs/>
          <w:color w:val="D04A02"/>
          <w:sz w:val="20"/>
          <w:szCs w:val="20"/>
        </w:rPr>
        <w:t xml:space="preserve">Slide 40</w:t>
      </w:r>
      <w:r>
        <w:rPr>
          <w:b/>
          <w:bCs/>
          <w:color w:val="7A7A7A"/>
          <w:sz w:val="20"/>
          <w:szCs w:val="20"/>
        </w:rPr>
        <w:t xml:space="preserve">  ·  </w:t>
      </w:r>
      <w:r>
        <w:rPr>
          <w:b/>
          <w:bCs/>
          <w:sz w:val="22"/>
          <w:szCs w:val="22"/>
        </w:rPr>
        <w:t xml:space="preserve">Cyberport B — The RFI</w:t>
      </w:r>
      <w:r>
        <w:rPr>
          <w:i/>
          <w:iCs/>
          <w:color w:val="7A7A7A"/>
          <w:sz w:val="18"/>
          <w:szCs w:val="18"/>
        </w:rPr>
        <w:t xml:space="preserve">   [TABLE]</w:t>
      </w:r>
    </w:p>
    <w:p>
      <w:pPr>
        <w:spacing w:after="120" w:line="300"/>
      </w:pPr>
      <w:r>
        <w:rPr>
          <w:color w:val="1A1A1A"/>
          <w:sz w:val="22"/>
          <w:szCs w:val="22"/>
        </w:rPr>
        <w:t xml:space="preserve">This slide translates the EN into what you’d actually ask for as a reviewer — walk it row by row as a worked example of the methodology from slide 38. MFA for all remote users: don’t just ask if it exists — request the full list of remote-access paths, then per path, enrollment logs proving MFA on every account, plus the exception list and how exceptions are compensated for. Annual risk assessment: the assessment report itself, its scope statement, and the reviewer’s own engagement letter — is the scope actually as wide as the notice implies? Delete plus retention policy: the policy document, then a sample of actual deletion logs or disposal records — not a description of the policy. Staff compliance measures: training completion records or attestations, sampled across business units — not just the training deck itself.</w:t>
      </w:r>
    </w:p>
    <w:p>
      <w:pPr>
        <w:pBdr>
          <w:top w:val="single" w:color="D8D8D8" w:sz="4" w:space="6"/>
        </w:pBdr>
        <w:spacing w:after="60" w:before="240"/>
      </w:pPr>
      <w:r>
        <w:rPr>
          <w:b/>
          <w:bCs/>
          <w:color w:val="D04A02"/>
          <w:sz w:val="20"/>
          <w:szCs w:val="20"/>
        </w:rPr>
        <w:t xml:space="preserve">Slide 41</w:t>
      </w:r>
      <w:r>
        <w:rPr>
          <w:b/>
          <w:bCs/>
          <w:color w:val="7A7A7A"/>
          <w:sz w:val="20"/>
          <w:szCs w:val="20"/>
        </w:rPr>
        <w:t xml:space="preserve">  ·  </w:t>
      </w:r>
      <w:r>
        <w:rPr>
          <w:b/>
          <w:bCs/>
          <w:sz w:val="22"/>
          <w:szCs w:val="22"/>
        </w:rPr>
        <w:t xml:space="preserve">Cyberport B — The Engagement</w:t>
      </w:r>
    </w:p>
    <w:p>
      <w:pPr>
        <w:spacing w:after="120" w:line="300"/>
      </w:pPr>
      <w:r>
        <w:rPr>
          <w:color w:val="1A1A1A"/>
          <w:sz w:val="22"/>
          <w:szCs w:val="22"/>
        </w:rPr>
        <w:t xml:space="preserve">Same client, a genuinely different scope: a separate engagement months after the incident-response work above had already concluded, documentation-led — policies, interview notes, evidence samples, not forensic artefacts — and built directly around what the Enforcement Notice required Cyberport to demonstrate. Note it was engaged through the same outside counsel as the incident response. Land the reframing line exactly as written: the question an Enforcement Notice actually poses isn’t “did you fix it” — it’s “show us the evidence that you did.”</w:t>
      </w:r>
    </w:p>
    <w:p>
      <w:pPr>
        <w:pBdr>
          <w:top w:val="single" w:color="D8D8D8" w:sz="4" w:space="6"/>
        </w:pBdr>
        <w:spacing w:after="60" w:before="240"/>
      </w:pPr>
      <w:r>
        <w:rPr>
          <w:b/>
          <w:bCs/>
          <w:color w:val="D04A02"/>
          <w:sz w:val="20"/>
          <w:szCs w:val="20"/>
        </w:rPr>
        <w:t xml:space="preserve">Slide 42</w:t>
      </w:r>
      <w:r>
        <w:rPr>
          <w:b/>
          <w:bCs/>
          <w:color w:val="7A7A7A"/>
          <w:sz w:val="20"/>
          <w:szCs w:val="20"/>
        </w:rPr>
        <w:t xml:space="preserve">  ·  </w:t>
      </w:r>
      <w:r>
        <w:rPr>
          <w:b/>
          <w:bCs/>
          <w:sz w:val="22"/>
          <w:szCs w:val="22"/>
        </w:rPr>
        <w:t xml:space="preserve">Cyberport B — Documentation, Interviews, Samples</w:t>
      </w:r>
    </w:p>
    <w:p>
      <w:pPr>
        <w:spacing w:after="120" w:line="300"/>
      </w:pPr>
      <w:r>
        <w:rPr>
          <w:color w:val="1A1A1A"/>
          <w:sz w:val="22"/>
          <w:szCs w:val="22"/>
        </w:rPr>
        <w:t xml:space="preserve">Four steps, presented as a sequence. Read the policies — plans, procedures, standards, technical specs — and be clear this only establishes design, not proof of practice. Interview the owners — the people who actually designed and run each control, not just whoever authored the policy document. Pull a sample, not a claim — actual disposal records, actual sign-offs, actual test results, evidence rather than an assertion that something happened. And get as close to control output as you can — the closer the sample sits to what the control actually produces, the harder it is to fake, and say you’ll show exactly what that looks like on the next slide with MFA.</w:t>
      </w:r>
    </w:p>
    <w:p>
      <w:pPr>
        <w:pBdr>
          <w:top w:val="single" w:color="D8D8D8" w:sz="4" w:space="6"/>
        </w:pBdr>
        <w:spacing w:after="60" w:before="240"/>
      </w:pPr>
      <w:r>
        <w:rPr>
          <w:b/>
          <w:bCs/>
          <w:color w:val="D04A02"/>
          <w:sz w:val="20"/>
          <w:szCs w:val="20"/>
        </w:rPr>
        <w:t xml:space="preserve">Slide 43</w:t>
      </w:r>
      <w:r>
        <w:rPr>
          <w:b/>
          <w:bCs/>
          <w:color w:val="7A7A7A"/>
          <w:sz w:val="20"/>
          <w:szCs w:val="20"/>
        </w:rPr>
        <w:t xml:space="preserve">  ·  </w:t>
      </w:r>
      <w:r>
        <w:rPr>
          <w:b/>
          <w:bCs/>
          <w:sz w:val="22"/>
          <w:szCs w:val="22"/>
        </w:rPr>
        <w:t xml:space="preserve">Cyberport B — MFA Is Not Yes/No</w:t>
      </w:r>
    </w:p>
    <w:p>
      <w:pPr>
        <w:spacing w:after="120" w:line="300"/>
      </w:pPr>
      <w:r>
        <w:rPr>
          <w:color w:val="1A1A1A"/>
          <w:sz w:val="22"/>
          <w:szCs w:val="22"/>
        </w:rPr>
        <w:t xml:space="preserve">This is the deck’s central worked example — take your time here. Don’t start with “do you have MFA.” Start with “what is every asset reachable remotely from the internet” — VPN, M365, a VDI gateway, sure, but also anything else: an exposed database, an admin portal, a server nobody remembers is internet-facing. Make the connection back to Cyberport explicit: Trigona’s own entry point here was exactly that kind of overlooked asset. Then drill into each one: is MFA enforced for every account on that asset, with no exceptions? If there are exceptions, what compensates — a strong rotated password, IP allow-listing, heightened monitoring on that account? Close with the punchline: a single “yes, we have MFA” answer, without the asset-by-asset drill-down, is exactly the kind of claim a reviewer with real technical know-how doesn’t accept at face value.</w:t>
      </w:r>
    </w:p>
    <w:p>
      <w:pPr>
        <w:pBdr>
          <w:top w:val="single" w:color="D8D8D8" w:sz="4" w:space="6"/>
        </w:pBdr>
        <w:spacing w:after="60" w:before="240"/>
      </w:pPr>
      <w:r>
        <w:rPr>
          <w:b/>
          <w:bCs/>
          <w:color w:val="D04A02"/>
          <w:sz w:val="20"/>
          <w:szCs w:val="20"/>
        </w:rPr>
        <w:t xml:space="preserve">Slide 44</w:t>
      </w:r>
      <w:r>
        <w:rPr>
          <w:b/>
          <w:bCs/>
          <w:color w:val="7A7A7A"/>
          <w:sz w:val="20"/>
          <w:szCs w:val="20"/>
        </w:rPr>
        <w:t xml:space="preserve">  ·  </w:t>
      </w:r>
      <w:r>
        <w:rPr>
          <w:b/>
          <w:bCs/>
          <w:sz w:val="22"/>
          <w:szCs w:val="22"/>
        </w:rPr>
        <w:t xml:space="preserve">Cyberport B — Proving “Yes”</w:t>
      </w:r>
    </w:p>
    <w:p>
      <w:pPr>
        <w:spacing w:after="120" w:line="300"/>
      </w:pPr>
      <w:r>
        <w:rPr>
          <w:color w:val="1A1A1A"/>
          <w:sz w:val="22"/>
          <w:szCs w:val="22"/>
        </w:rPr>
        <w:t xml:space="preserve">Second worked example, same design-versus-effectiveness idea applied to retention. Say a notice requires deleting personal data past its retention period — reading the retention policy only proves the rule exists on paper, it proves nothing about whether it was actually followed. Proving it takes a sample: pulling actual disposal records and checking them against what should already be gone, not accepting a written assurance that it happened. Land the distinction exactly as phrased: design is “there’s a policy”; operating effectiveness is “here’s the sample we pulled, and here’s what it showed.”</w:t>
      </w:r>
    </w:p>
    <w:p>
      <w:pPr>
        <w:pBdr>
          <w:top w:val="single" w:color="D8D8D8" w:sz="4" w:space="6"/>
        </w:pBdr>
        <w:spacing w:after="60" w:before="240"/>
      </w:pPr>
      <w:r>
        <w:rPr>
          <w:b/>
          <w:bCs/>
          <w:color w:val="D04A02"/>
          <w:sz w:val="20"/>
          <w:szCs w:val="20"/>
        </w:rPr>
        <w:t xml:space="preserve">Slide 45</w:t>
      </w:r>
      <w:r>
        <w:rPr>
          <w:b/>
          <w:bCs/>
          <w:color w:val="7A7A7A"/>
          <w:sz w:val="20"/>
          <w:szCs w:val="20"/>
        </w:rPr>
        <w:t xml:space="preserve">  ·  </w:t>
      </w:r>
      <w:r>
        <w:rPr>
          <w:b/>
          <w:bCs/>
          <w:sz w:val="22"/>
          <w:szCs w:val="22"/>
        </w:rPr>
        <w:t xml:space="preserve">Cyberport B — What a Review Like This Typically Concludes</w:t>
      </w:r>
    </w:p>
    <w:p>
      <w:pPr>
        <w:spacing w:after="120" w:line="300"/>
      </w:pPr>
      <w:r>
        <w:rPr>
          <w:color w:val="1A1A1A"/>
          <w:sz w:val="22"/>
          <w:szCs w:val="22"/>
        </w:rPr>
        <w:t xml:space="preserve">Be upfront about the constraint before you say anything else: the actual ratings from this review are the client’s confidential work product, so this slide describes the shape of a typical outcome, not Cyberport’s real scorecard. Across a notice with several requirements, an organisation responding seriously to a regulator tends to land in the middle — most items rated cleanly effective, a handful rated “effective, a different route,” very few rated as outright failing. Explain why that shape matters: a notice met mostly through genuine, verified controls reads very differently to a regulator than one met on paper only. Close by naming the constraint directly: what’s transferable here is the method, not the marks.</w:t>
      </w:r>
    </w:p>
    <w:p>
      <w:pPr>
        <w:pBdr>
          <w:top w:val="single" w:color="D8D8D8" w:sz="4" w:space="6"/>
        </w:pBdr>
        <w:spacing w:after="60" w:before="240"/>
      </w:pPr>
      <w:r>
        <w:rPr>
          <w:b/>
          <w:bCs/>
          <w:color w:val="D04A02"/>
          <w:sz w:val="20"/>
          <w:szCs w:val="20"/>
        </w:rPr>
        <w:t xml:space="preserve">Slide 46</w:t>
      </w:r>
      <w:r>
        <w:rPr>
          <w:b/>
          <w:bCs/>
          <w:color w:val="7A7A7A"/>
          <w:sz w:val="20"/>
          <w:szCs w:val="20"/>
        </w:rPr>
        <w:t xml:space="preserve">  ·  </w:t>
      </w:r>
      <w:r>
        <w:rPr>
          <w:b/>
          <w:bCs/>
          <w:sz w:val="22"/>
          <w:szCs w:val="22"/>
        </w:rPr>
        <w:t xml:space="preserve">Cyberport B — How This Aligns With PCPD</w:t>
      </w:r>
      <w:r>
        <w:rPr>
          <w:i/>
          <w:iCs/>
          <w:color w:val="7A7A7A"/>
          <w:sz w:val="18"/>
          <w:szCs w:val="18"/>
        </w:rPr>
        <w:t xml:space="preserve">   [TABLE]</w:t>
      </w:r>
    </w:p>
    <w:p>
      <w:pPr>
        <w:spacing w:after="120" w:line="300"/>
      </w:pPr>
      <w:r>
        <w:rPr>
          <w:color w:val="1A1A1A"/>
          <w:sz w:val="22"/>
          <w:szCs w:val="22"/>
        </w:rPr>
        <w:t xml:space="preserve">Two independent sources, walk all three rows side by side. No tamper protection, attacker disabled security software (Angle A) lines up with single-layer anti-malware, disabled by the attacker (PCPD’s public report). No MFA on the exposed remote-access service lines up with no MFA on remote access. Stale privileged accounts, one unrotated over a year, lines up with related access-control weaknesses in the enforcement findings. Close with the note: the EN-compliance review, months later, tested whether these actually got fixed — its findings are confidential work product, but the method behind it, design versus operating effectiveness, sample testing, is the lesson that travels.</w:t>
      </w:r>
    </w:p>
    <w:p>
      <w:pPr>
        <w:pBdr>
          <w:top w:val="single" w:color="D8D8D8" w:sz="4" w:space="6"/>
        </w:pBdr>
        <w:spacing w:after="60" w:before="240"/>
      </w:pPr>
      <w:r>
        <w:rPr>
          <w:b/>
          <w:bCs/>
          <w:color w:val="D04A02"/>
          <w:sz w:val="20"/>
          <w:szCs w:val="20"/>
        </w:rPr>
        <w:t xml:space="preserve">Slide 47</w:t>
      </w:r>
      <w:r>
        <w:rPr>
          <w:b/>
          <w:bCs/>
          <w:color w:val="7A7A7A"/>
          <w:sz w:val="20"/>
          <w:szCs w:val="20"/>
        </w:rPr>
        <w:t xml:space="preserve">  ·  </w:t>
      </w:r>
      <w:r>
        <w:rPr>
          <w:b/>
          <w:bCs/>
          <w:sz w:val="22"/>
          <w:szCs w:val="22"/>
        </w:rPr>
        <w:t xml:space="preserve">Closing Thought</w:t>
      </w:r>
    </w:p>
    <w:p>
      <w:pPr>
        <w:spacing w:after="120" w:line="300"/>
      </w:pPr>
      <w:r>
        <w:rPr>
          <w:color w:val="1A1A1A"/>
          <w:sz w:val="22"/>
          <w:szCs w:val="22"/>
        </w:rPr>
        <w:t xml:space="preserve">This is the course-level takeaway, and it should be delivered slowly and without hedging away from the honest uncertainty in it. PCPD doesn’t investigate or issue an enforcement notice on every breach it hears about, and we genuinely don’t know their exact selection criteria — only what’s publicly visible: heightened attention when children’s personal data is involved, and cases that started from a complaint tend to get looked at. Make the “cuts one way” point explicitly: every organisation has to treat its own breach response as if it could be the one selected, because how you handle containment, evidence, and disclosure is very likely what ends up reflected in PCPD’s findings and recommendations if it is. Close the whole course segment on this line: the quality of your incident work and your compliance posture is what determines how well-prepared you are — whether or not PCPD ever comes knocking.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6"/>
        <w:szCs w:val="16"/>
      </w:rPr>
      <w:t xml:space="preserve">Page </w:t>
    </w:r>
    <w:r>
      <w:rPr>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A7A"/>
        <w:sz w:val="16"/>
        <w:szCs w:val="16"/>
      </w:rPr>
      <w:t xml:space="preserve">CS5292 Week 3 · Speaker Script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20"/>
    </w:pPr>
    <w:rPr>
      <w:b/>
      <w:bCs/>
      <w:caps/>
      <w:color w:val="D04A0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CS5292 Week 3 — Speaker Script Notes (Part 1 &amp; Part 2)</dc:title>
  <dc:creator>Jason Lee</dc:creator>
  <cp:lastModifiedBy>Un-named</cp:lastModifiedBy>
  <cp:revision>1</cp:revision>
  <dcterms:created xsi:type="dcterms:W3CDTF">2026-09-15T03:39:27.555Z</dcterms:created>
  <dcterms:modified xsi:type="dcterms:W3CDTF">2026-09-15T03:39:27.570Z</dcterms:modified>
</cp:coreProperties>
</file>

<file path=docProps/custom.xml><?xml version="1.0" encoding="utf-8"?>
<Properties xmlns="http://schemas.openxmlformats.org/officeDocument/2006/custom-properties" xmlns:vt="http://schemas.openxmlformats.org/officeDocument/2006/docPropsVTypes"/>
</file>