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s5292-week-6-speaker-script-modules-2-3"/>
    <w:p>
      <w:pPr>
        <w:pStyle w:val="Heading1"/>
      </w:pPr>
      <w:r>
        <w:t xml:space="preserve">CS5292 Week 6 — Speaker script, Modules 2 &amp; 3</w:t>
      </w:r>
    </w:p>
    <w:p>
      <w:pPr>
        <w:pStyle w:val="FirstParagraph"/>
      </w:pPr>
      <w:r>
        <w:t xml:space="preserve">(Read straight from the slide notes. Stage directions in [brackets].)</w:t>
      </w:r>
    </w:p>
    <w:bookmarkStart w:id="20" w:name="slide-6-module-2-nist-csf-2.0"/>
    <w:p>
      <w:pPr>
        <w:pStyle w:val="Heading2"/>
      </w:pPr>
      <w:r>
        <w:t xml:space="preserve">Slide 6 — Module 2: NIST CSF 2.0</w:t>
      </w:r>
    </w:p>
    <w:p>
      <w:pPr>
        <w:pStyle w:val="FirstParagraph"/>
      </w:pPr>
      <w:r>
        <w:t xml:space="preserve">Welcome back.</w:t>
      </w:r>
    </w:p>
    <w:p>
      <w:pPr>
        <w:pStyle w:val="BodyText"/>
      </w:pPr>
      <w:r>
        <w:t xml:space="preserve">Herman showed you NIST from the inside of one organisation. Now let’s take the framework itself apart.</w:t>
      </w:r>
    </w:p>
    <w:p>
      <w:pPr>
        <w:pStyle w:val="BodyText"/>
      </w:pPr>
      <w:r>
        <w:t xml:space="preserve">Five parts. Why NIST at all, when there’s no law. Where it came from. How it’s built: the Core, Profiles and Tiers. What changed in 2.0. And the part you’ll need next week and in your careers: how an auditor actually uses it.</w:t>
      </w:r>
    </w:p>
    <w:bookmarkEnd w:id="20"/>
    <w:bookmarkStart w:id="21" w:name="slide-7-why-nist-when-there-is-no-law"/>
    <w:p>
      <w:pPr>
        <w:pStyle w:val="Heading2"/>
      </w:pPr>
      <w:r>
        <w:t xml:space="preserve">Slide 7 — Why NIST, when there is no law</w:t>
      </w:r>
    </w:p>
    <w:p>
      <w:pPr>
        <w:pStyle w:val="FirstParagraph"/>
      </w:pPr>
      <w:r>
        <w:t xml:space="preserve">[Section 1 · about 3 minutes]</w:t>
      </w:r>
    </w:p>
    <w:bookmarkEnd w:id="21"/>
    <w:bookmarkStart w:id="22" w:name="X1fa2066d11e0c01a396436ca5d79590cbfba0bf"/>
    <w:p>
      <w:pPr>
        <w:pStyle w:val="Heading2"/>
      </w:pPr>
      <w:r>
        <w:t xml:space="preserve">Slide 8 — Five weeks, five answers to</w:t>
      </w:r>
      <w:r>
        <w:t xml:space="preserve"> </w:t>
      </w:r>
      <w:r>
        <w:t xml:space="preserve">“</w:t>
      </w:r>
      <w:r>
        <w:t xml:space="preserve">who sets the bar?</w:t>
      </w:r>
      <w:r>
        <w:t xml:space="preserve">”</w:t>
      </w:r>
    </w:p>
    <w:p>
      <w:pPr>
        <w:pStyle w:val="FirstParagraph"/>
      </w:pPr>
      <w:r>
        <w:t xml:space="preserve">Let’s put tonight in context. This is a deliberate funnel, and tonight it snaps open.</w:t>
      </w:r>
    </w:p>
    <w:p>
      <w:pPr>
        <w:pStyle w:val="BodyText"/>
      </w:pPr>
      <w:r>
        <w:t xml:space="preserve">Week 2, Cap. 653: the newest law, the narrowest scope, the most binding. Week 3, the PDPO: the oldest law, but the broadest, because it covers anyone holding personal data. Week 4, S17 and G3: not a law in form, but mandatory for every Government department. Week 5, C-RAF and GL20: no cyber ordinance, but a sector regulator who sets the bar for banks and insurers.</w:t>
      </w:r>
    </w:p>
    <w:p>
      <w:pPr>
        <w:pStyle w:val="BodyText"/>
      </w:pPr>
      <w:r>
        <w:t xml:space="preserve">And tonight, NIST. It binds nobody in Hong Kong. Which is exactly why everybody can use it. It’s the default an organisation reaches for when no law, no quasi-law and no regulator applies. Or, as we’ll see, it’s what the regulators themselves benchmarked against.</w:t>
      </w:r>
    </w:p>
    <w:bookmarkEnd w:id="22"/>
    <w:bookmarkStart w:id="23" w:name="slide-9-why-organisations-reach-for-it"/>
    <w:p>
      <w:pPr>
        <w:pStyle w:val="Heading2"/>
      </w:pPr>
      <w:r>
        <w:t xml:space="preserve">Slide 9 — Why organisations reach for it</w:t>
      </w:r>
    </w:p>
    <w:p>
      <w:pPr>
        <w:pStyle w:val="FirstParagraph"/>
      </w:pPr>
      <w:r>
        <w:t xml:space="preserve">Why NIST? Four reasons.</w:t>
      </w:r>
    </w:p>
    <w:p>
      <w:pPr>
        <w:pStyle w:val="BodyText"/>
      </w:pPr>
      <w:r>
        <w:t xml:space="preserve">First, it says what, not how. A NIST outcome reads like: backups are created, protected, maintained and tested. It doesn’t tell you which backup product, or how often. That’s what makes it portable.</w:t>
      </w:r>
    </w:p>
    <w:p>
      <w:pPr>
        <w:pStyle w:val="BodyText"/>
      </w:pPr>
      <w:r>
        <w:t xml:space="preserve">Second, it’s sector-neutral. NIST says it’s written for organisations of all sizes and sectors: industry, government, academia, non-profits, regardless of maturity.</w:t>
      </w:r>
    </w:p>
    <w:p>
      <w:pPr>
        <w:pStyle w:val="BodyText"/>
      </w:pPr>
      <w:r>
        <w:t xml:space="preserve">Third, it speaks to the board. Six functions. A director can remember six words. That’s not trivial. Remember Week 1: governance fails when the board and the technical team don’t share a language.</w:t>
      </w:r>
    </w:p>
    <w:p>
      <w:pPr>
        <w:pStyle w:val="BodyText"/>
      </w:pPr>
      <w:r>
        <w:t xml:space="preserve">Fourth, it’s a hub. Every outcome maps to other standards: ISO 27001, NIST’s own SP 800-53, the CIS Controls. So if you build on NIST, you can show your work in the language of whatever framework someone else asks for.</w:t>
      </w:r>
    </w:p>
    <w:p>
      <w:pPr>
        <w:pStyle w:val="BodyText"/>
      </w:pPr>
      <w:r>
        <w:t xml:space="preserve">The orange card is the one to remember. Outcome-based is NIST’s greatest strength for adoption, and, as we’ll see, its biggest headache for auditors.</w:t>
      </w:r>
    </w:p>
    <w:bookmarkEnd w:id="23"/>
    <w:bookmarkStart w:id="24" w:name="slide-10-where-it-came-from"/>
    <w:p>
      <w:pPr>
        <w:pStyle w:val="Heading2"/>
      </w:pPr>
      <w:r>
        <w:t xml:space="preserve">Slide 10 — Where it came from</w:t>
      </w:r>
    </w:p>
    <w:p>
      <w:pPr>
        <w:pStyle w:val="FirstParagraph"/>
      </w:pPr>
      <w:r>
        <w:t xml:space="preserve">[Section 2 · about 5 minutes]</w:t>
      </w:r>
    </w:p>
    <w:bookmarkEnd w:id="24"/>
    <w:bookmarkStart w:id="25" w:name="X2f4c43e107922720f99d9d9ad5d4f3f87d9129c"/>
    <w:p>
      <w:pPr>
        <w:pStyle w:val="Heading2"/>
      </w:pPr>
      <w:r>
        <w:t xml:space="preserve">Slide 11 — Born for critical infrastructure, grown for everyone</w:t>
      </w:r>
    </w:p>
    <w:p>
      <w:pPr>
        <w:pStyle w:val="FirstParagraph"/>
      </w:pPr>
      <w:r>
        <w:t xml:space="preserve">Where did this come from?</w:t>
      </w:r>
    </w:p>
    <w:p>
      <w:pPr>
        <w:pStyle w:val="BodyText"/>
      </w:pPr>
      <w:r>
        <w:t xml:space="preserve">Week 1’s lesson again: frameworks follow incidents and politics. In February 2013, President Obama signs Executive Order 13636 on critical infrastructure cybersecurity. Congress hadn’t passed a cyber law, so the executive branch asks NIST, the National Institute of Standards and Technology, to build a voluntary framework with industry.</w:t>
      </w:r>
    </w:p>
    <w:p>
      <w:pPr>
        <w:pStyle w:val="BodyText"/>
      </w:pPr>
      <w:r>
        <w:t xml:space="preserve">February 2014, version 1.0. Look at the title: Framework for Improving Critical Infrastructure Cybersecurity. It was for power grids, water, finance. Sound familiar? That’s the Cap. 653 population, ten years earlier, on the other side of the Pacific.</w:t>
      </w:r>
    </w:p>
    <w:p>
      <w:pPr>
        <w:pStyle w:val="BodyText"/>
      </w:pPr>
      <w:r>
        <w:t xml:space="preserve">2017, another Executive Order makes it mandatory for US federal agencies. So: voluntary for the private sector, mandatory for government. That’s exactly the S17-and-G3 pattern from Week 4.</w:t>
      </w:r>
    </w:p>
    <w:p>
      <w:pPr>
        <w:pStyle w:val="BodyText"/>
      </w:pPr>
      <w:r>
        <w:t xml:space="preserve">2018, version 1.1, adds supply chain risk and self-assessment.</w:t>
      </w:r>
    </w:p>
    <w:p>
      <w:pPr>
        <w:pStyle w:val="BodyText"/>
      </w:pPr>
      <w:r>
        <w:t xml:space="preserve">Then 2022 and 2023: a long public consultation, like the HKMA’s in Week 5. And on 26 February 2024, version 2.0. It drops</w:t>
      </w:r>
      <w:r>
        <w:t xml:space="preserve"> </w:t>
      </w:r>
      <w:r>
        <w:t xml:space="preserve">“</w:t>
      </w:r>
      <w:r>
        <w:t xml:space="preserve">critical infrastructure</w:t>
      </w:r>
      <w:r>
        <w:t xml:space="preserve">”</w:t>
      </w:r>
      <w:r>
        <w:t xml:space="preserve"> </w:t>
      </w:r>
      <w:r>
        <w:t xml:space="preserve">from the title. It’s now just: The NIST Cybersecurity Framework. Written for everyone.</w:t>
      </w:r>
    </w:p>
    <w:bookmarkEnd w:id="25"/>
    <w:bookmarkStart w:id="26" w:name="slide-12-pulse-check-certification"/>
    <w:p>
      <w:pPr>
        <w:pStyle w:val="Heading2"/>
      </w:pPr>
      <w:r>
        <w:t xml:space="preserve">Slide 12 — Pulse check: certification</w:t>
      </w:r>
    </w:p>
    <w:p>
      <w:pPr>
        <w:pStyle w:val="FirstParagraph"/>
      </w:pPr>
      <w:r>
        <w:t xml:space="preserve">Pulse check.</w:t>
      </w:r>
    </w:p>
    <w:p>
      <w:pPr>
        <w:pStyle w:val="BodyText"/>
      </w:pPr>
      <w:r>
        <w:t xml:space="preserve">You’re reviewing a vendor. Their proposal says: we are NIST CSF 2.0 certified. Do you accept that as evidence?</w:t>
      </w:r>
    </w:p>
    <w:p>
      <w:pPr>
        <w:pStyle w:val="BodyText"/>
      </w:pPr>
      <w:r>
        <w:t xml:space="preserve">Hands up for yes… no… depends…</w:t>
      </w:r>
    </w:p>
    <w:p>
      <w:pPr>
        <w:pStyle w:val="BodyText"/>
      </w:pPr>
      <w:r>
        <w:t xml:space="preserve">[COUNT. THEN NEXT SLIDE.]</w:t>
      </w:r>
    </w:p>
    <w:bookmarkEnd w:id="26"/>
    <w:bookmarkStart w:id="27" w:name="X79c775fba4decca53233449b362057f9d5f5ade"/>
    <w:p>
      <w:pPr>
        <w:pStyle w:val="Heading2"/>
      </w:pPr>
      <w:r>
        <w:t xml:space="preserve">Slide 13 — No. There is no such thing as CSF certification</w:t>
      </w:r>
    </w:p>
    <w:p>
      <w:pPr>
        <w:pStyle w:val="FirstParagraph"/>
      </w:pPr>
      <w:r>
        <w:t xml:space="preserve">The answer is no. There’s no such thing as NIST CSF certification. NIST doesn’t run a certification scheme and doesn’t accredit anyone to issue one.</w:t>
      </w:r>
    </w:p>
    <w:p>
      <w:pPr>
        <w:pStyle w:val="BodyText"/>
      </w:pPr>
      <w:r>
        <w:t xml:space="preserve">Compare ISO 27001, from Week 1. ISO 27001 is a management-system standard, full of</w:t>
      </w:r>
      <w:r>
        <w:t xml:space="preserve"> </w:t>
      </w:r>
      <w:r>
        <w:t xml:space="preserve">“</w:t>
      </w:r>
      <w:r>
        <w:t xml:space="preserve">shall</w:t>
      </w:r>
      <w:r>
        <w:t xml:space="preserve">”</w:t>
      </w:r>
      <w:r>
        <w:t xml:space="preserve">. Accredited certification bodies audit you and issue a certificate with a scope.</w:t>
      </w:r>
    </w:p>
    <w:p>
      <w:pPr>
        <w:pStyle w:val="BodyText"/>
      </w:pPr>
      <w:r>
        <w:t xml:space="preserve">So what can a vendor honestly say?</w:t>
      </w:r>
      <w:r>
        <w:t xml:space="preserve"> </w:t>
      </w:r>
      <w:r>
        <w:t xml:space="preserve">“</w:t>
      </w:r>
      <w:r>
        <w:t xml:space="preserve">We’ve assessed ourselves against the CSF</w:t>
      </w:r>
      <w:r>
        <w:t xml:space="preserve">”</w:t>
      </w:r>
      <w:r>
        <w:t xml:space="preserve">, or</w:t>
      </w:r>
      <w:r>
        <w:t xml:space="preserve"> </w:t>
      </w:r>
      <w:r>
        <w:t xml:space="preserve">“</w:t>
      </w:r>
      <w:r>
        <w:t xml:space="preserve">an independent firm assessed us</w:t>
      </w:r>
      <w:r>
        <w:t xml:space="preserve">”</w:t>
      </w:r>
      <w:r>
        <w:t xml:space="preserve">. That’s fine. But then your questions are: who assessed, against which Target Profile, and when?</w:t>
      </w:r>
    </w:p>
    <w:p>
      <w:pPr>
        <w:pStyle w:val="BodyText"/>
      </w:pPr>
      <w:r>
        <w:t xml:space="preserve">The audit lesson, in orange:</w:t>
      </w:r>
      <w:r>
        <w:t xml:space="preserve"> </w:t>
      </w:r>
      <w:r>
        <w:t xml:space="preserve">“</w:t>
      </w:r>
      <w:r>
        <w:t xml:space="preserve">NIST certified</w:t>
      </w:r>
      <w:r>
        <w:t xml:space="preserve">”</w:t>
      </w:r>
      <w:r>
        <w:t xml:space="preserve"> </w:t>
      </w:r>
      <w:r>
        <w:t xml:space="preserve">is a claim to test, not evidence. You’d be surprised how often it appears in tender responses.</w:t>
      </w:r>
    </w:p>
    <w:bookmarkEnd w:id="27"/>
    <w:bookmarkStart w:id="28" w:name="slide-14-break"/>
    <w:p>
      <w:pPr>
        <w:pStyle w:val="Heading2"/>
      </w:pPr>
      <w:r>
        <w:t xml:space="preserve">Slide 14 — Break</w:t>
      </w:r>
    </w:p>
    <w:p>
      <w:pPr>
        <w:pStyle w:val="FirstParagraph"/>
      </w:pPr>
      <w:r>
        <w:t xml:space="preserve">[TEN-MINUTE BREAK. Resume with Part B: section 3, How it is built.]</w:t>
      </w:r>
    </w:p>
    <w:bookmarkEnd w:id="28"/>
    <w:bookmarkStart w:id="29" w:name="slide-15-how-it-is-built"/>
    <w:p>
      <w:pPr>
        <w:pStyle w:val="Heading2"/>
      </w:pPr>
      <w:r>
        <w:t xml:space="preserve">Slide 15 — How it is built</w:t>
      </w:r>
    </w:p>
    <w:p>
      <w:pPr>
        <w:pStyle w:val="FirstParagraph"/>
      </w:pPr>
      <w:r>
        <w:t xml:space="preserve">[Section 3 · about 13 minutes]</w:t>
      </w:r>
    </w:p>
    <w:bookmarkEnd w:id="29"/>
    <w:bookmarkStart w:id="30" w:name="X6ac7fd1b8862fc7f13f990fa169283b412a9388"/>
    <w:p>
      <w:pPr>
        <w:pStyle w:val="Heading2"/>
      </w:pPr>
      <w:r>
        <w:t xml:space="preserve">Slide 16 — Three parts: a Core, Profiles and Tiers</w:t>
      </w:r>
    </w:p>
    <w:p>
      <w:pPr>
        <w:pStyle w:val="FirstParagraph"/>
      </w:pPr>
      <w:r>
        <w:t xml:space="preserve">The framework has three parts.</w:t>
      </w:r>
    </w:p>
    <w:p>
      <w:pPr>
        <w:pStyle w:val="BodyText"/>
      </w:pPr>
      <w:r>
        <w:t xml:space="preserve">The Core is the catalogue: what good looks like, as outcomes. Six Functions, twenty-two Categories, a hundred and six Subcategories.</w:t>
      </w:r>
    </w:p>
    <w:p>
      <w:pPr>
        <w:pStyle w:val="BodyText"/>
      </w:pPr>
      <w:r>
        <w:t xml:space="preserve">Profiles are how you use the catalogue. A Current Profile says where you are. A Target Profile says where you want to be. The difference is your gap, and your gap is your plan. I’ve made that the orange card, because for auditors, Profiles are where the action is.</w:t>
      </w:r>
    </w:p>
    <w:p>
      <w:pPr>
        <w:pStyle w:val="BodyText"/>
      </w:pPr>
      <w:r>
        <w:t xml:space="preserve">Tiers describe how rigorous your risk governance and management are, on four levels: Partial, Risk Informed, Repeatable, Adaptive.</w:t>
      </w:r>
    </w:p>
    <w:p>
      <w:pPr>
        <w:pStyle w:val="BodyText"/>
      </w:pPr>
      <w:r>
        <w:t xml:space="preserve">And around all of that, NIST publishes online resources: Informative References, Implementation Examples, Quick-Start Guides. We’ll come back to those.</w:t>
      </w:r>
    </w:p>
    <w:bookmarkEnd w:id="30"/>
    <w:bookmarkStart w:id="31" w:name="Xc434e93d237a6919b8868d5cc3170a55221090e"/>
    <w:p>
      <w:pPr>
        <w:pStyle w:val="Heading2"/>
      </w:pPr>
      <w:r>
        <w:t xml:space="preserve">Slide 17 — Six functions, with Govern at the centre</w:t>
      </w:r>
    </w:p>
    <w:p>
      <w:pPr>
        <w:pStyle w:val="FirstParagraph"/>
      </w:pPr>
      <w:r>
        <w:t xml:space="preserve">Here’s the Core in one picture. NIST draws it as a wheel.</w:t>
      </w:r>
    </w:p>
    <w:p>
      <w:pPr>
        <w:pStyle w:val="BodyText"/>
      </w:pPr>
      <w:r>
        <w:t xml:space="preserve">Five functions around the outside, and you may know these from version 1.1. Identify: understand your risk, your assets, your suppliers. Protect: put safeguards in place. Detect: find attacks and compromises. Respond: act on an incident. Recover: restore operations.</w:t>
      </w:r>
    </w:p>
    <w:p>
      <w:pPr>
        <w:pStyle w:val="BodyText"/>
      </w:pPr>
      <w:r>
        <w:t xml:space="preserve">And in the middle, new in 2.0: Govern. NIST’s own words: Govern</w:t>
      </w:r>
      <w:r>
        <w:t xml:space="preserve"> </w:t>
      </w:r>
      <w:r>
        <w:t xml:space="preserve">“</w:t>
      </w:r>
      <w:r>
        <w:t xml:space="preserve">is in the center of the wheel because it informs how an organization will implement the other five Functions.</w:t>
      </w:r>
      <w:r>
        <w:t xml:space="preserve">”</w:t>
      </w:r>
    </w:p>
    <w:p>
      <w:pPr>
        <w:pStyle w:val="BodyText"/>
      </w:pPr>
      <w:r>
        <w:t xml:space="preserve">Why does that matter to us? Because Govern is where boards, policies, roles and oversight live. Remember Week 5’s control principles on board accountability and independent audit? Remember Week 4’s SRA and audit cycle? In 1.1 those were scattered. In 2.0, they have a home, at the centre.</w:t>
      </w:r>
    </w:p>
    <w:p>
      <w:pPr>
        <w:pStyle w:val="BodyText"/>
      </w:pPr>
      <w:r>
        <w:t xml:space="preserve">One more thing NIST says explicitly: the functions aren’t a sequence. You don’t do Identify, finish it, then move on to Protect. They run concurrently.</w:t>
      </w:r>
    </w:p>
    <w:bookmarkEnd w:id="31"/>
    <w:bookmarkStart w:id="32" w:name="X6de3faa104ffc08cde4e78df9b834565a377c6a"/>
    <w:p>
      <w:pPr>
        <w:pStyle w:val="Heading2"/>
      </w:pPr>
      <w:r>
        <w:t xml:space="preserve">Slide 18 — From six words to 106 testable outcomes</w:t>
      </w:r>
    </w:p>
    <w:p>
      <w:pPr>
        <w:pStyle w:val="FirstParagraph"/>
      </w:pPr>
      <w:r>
        <w:t xml:space="preserve">The Core is a hierarchy. Six Functions, twenty-two Categories, a hundred and six Subcategories.</w:t>
      </w:r>
    </w:p>
    <w:p>
      <w:pPr>
        <w:pStyle w:val="BodyText"/>
      </w:pPr>
      <w:r>
        <w:t xml:space="preserve">Each level has an audience. Functions are for the board. Categories are for the programme owner, the CISO. And Subcategories are what you, the assessor, actually test.</w:t>
      </w:r>
    </w:p>
    <w:p>
      <w:pPr>
        <w:pStyle w:val="BodyText"/>
      </w:pPr>
      <w:r>
        <w:t xml:space="preserve">Here’s one, from top to bottom. Function: Identify. Category: Asset Management, ID.AM. Subcategory ID.AM-01: inventories of hardware managed by the organization are maintained.</w:t>
      </w:r>
    </w:p>
    <w:p>
      <w:pPr>
        <w:pStyle w:val="BodyText"/>
      </w:pPr>
      <w:r>
        <w:t xml:space="preserve">And below that, NIST publishes Implementation Examples: notional, action-oriented steps. For ID.AM-01: maintain inventories for all types of hardware, including IT, IoT, OT and mobile devices.</w:t>
      </w:r>
    </w:p>
    <w:p>
      <w:pPr>
        <w:pStyle w:val="BodyText"/>
      </w:pPr>
      <w:r>
        <w:t xml:space="preserve">Notice: the Subcategory is the outcome. The Implementation Example is one way to get there. It’s not mandatory. That distinction will matter when we write findings.</w:t>
      </w:r>
    </w:p>
    <w:bookmarkEnd w:id="32"/>
    <w:bookmarkStart w:id="33" w:name="X918a52797b4d31b8747c1ab464921b18f0db7a9"/>
    <w:p>
      <w:pPr>
        <w:pStyle w:val="Heading2"/>
      </w:pPr>
      <w:r>
        <w:t xml:space="preserve">Slide 19 — Govern: six categories the board will be asked about</w:t>
      </w:r>
    </w:p>
    <w:p>
      <w:pPr>
        <w:pStyle w:val="FirstParagraph"/>
      </w:pPr>
      <w:r>
        <w:t xml:space="preserve">Let’s spend a moment on Govern, because it’s the biggest change and it’s where auditors increasingly start.</w:t>
      </w:r>
    </w:p>
    <w:p>
      <w:pPr>
        <w:pStyle w:val="BodyText"/>
      </w:pPr>
      <w:r>
        <w:t xml:space="preserve">Six categories. Organizational Context: do we understand our mission, our stakeholders, and our legal and regulatory duties? For a Cap. 653 operator, being designated is part of that context.</w:t>
      </w:r>
    </w:p>
    <w:p>
      <w:pPr>
        <w:pStyle w:val="BodyText"/>
      </w:pPr>
      <w:r>
        <w:t xml:space="preserve">Risk Management Strategy: have we set our risk appetite and priorities? You saw G3’s five-step risk framework in Week 4.</w:t>
      </w:r>
    </w:p>
    <w:p>
      <w:pPr>
        <w:pStyle w:val="BodyText"/>
      </w:pPr>
      <w:r>
        <w:t xml:space="preserve">Roles, Responsibilities and Authorities: is leadership accountable? That’s C-RAF’s very first control principle from last week, accountability to the board.</w:t>
      </w:r>
    </w:p>
    <w:p>
      <w:pPr>
        <w:pStyle w:val="BodyText"/>
      </w:pPr>
      <w:r>
        <w:t xml:space="preserve">Policy: is it established, communicated, enforced? Every RFI you’ve written has asked for a policy.</w:t>
      </w:r>
    </w:p>
    <w:p>
      <w:pPr>
        <w:pStyle w:val="BodyText"/>
      </w:pPr>
      <w:r>
        <w:t xml:space="preserve">Oversight: are the results reviewed and the strategy adjusted? Last week’s C-RAF control on independent audit lives here.</w:t>
      </w:r>
    </w:p>
    <w:p>
      <w:pPr>
        <w:pStyle w:val="BodyText"/>
      </w:pPr>
      <w:r>
        <w:t xml:space="preserve">And Supply Chain Risk Management. In 1.1 this was a category inside Identify. In 2.0 it’s promoted to Govern, with ten subcategories, the largest category in the framework. After SolarWinds, MOVEit and others, NIST decided supply chain is a governance problem, not just a technical one.</w:t>
      </w:r>
    </w:p>
    <w:p>
      <w:pPr>
        <w:pStyle w:val="BodyText"/>
      </w:pPr>
      <w:r>
        <w:t xml:space="preserve">The right-hand column is the point: none of this is new to you. You’ve been auditing Govern for four weeks.</w:t>
      </w:r>
    </w:p>
    <w:bookmarkEnd w:id="33"/>
    <w:bookmarkStart w:id="34" w:name="X1f3edd02e605e27d6863740687a92f76f2aec19"/>
    <w:p>
      <w:pPr>
        <w:pStyle w:val="Heading2"/>
      </w:pPr>
      <w:r>
        <w:t xml:space="preserve">Slide 20 — Identify and Protect: know it, then guard it</w:t>
      </w:r>
    </w:p>
    <w:p>
      <w:pPr>
        <w:pStyle w:val="FirstParagraph"/>
      </w:pPr>
      <w:r>
        <w:t xml:space="preserve">Identify and Protect. I won’t read every row; this is your reference slide.</w:t>
      </w:r>
    </w:p>
    <w:p>
      <w:pPr>
        <w:pStyle w:val="BodyText"/>
      </w:pPr>
      <w:r>
        <w:t xml:space="preserve">Identify is about knowing what you have and what threatens it: Asset Management, Risk Assessment, and a new one, Improvement. ID.IM collects lessons learned from tests, exercises and real incidents and feeds them back. Version 1.1 had improvement scattered around; 2.0 gives it a home.</w:t>
      </w:r>
    </w:p>
    <w:p>
      <w:pPr>
        <w:pStyle w:val="BodyText"/>
      </w:pPr>
      <w:r>
        <w:t xml:space="preserve">Protect has five categories. Notice the right-hand column, because this is how you should read a framework as an auditor. For every category, ask: what document or record would prove this? Access control: joiner-mover-leaver records, MFA settings, access reviews. Data security: encryption settings, backup and restore tests. Platform security: hardening baselines, patch records.</w:t>
      </w:r>
    </w:p>
    <w:p>
      <w:pPr>
        <w:pStyle w:val="BodyText"/>
      </w:pPr>
      <w:r>
        <w:t xml:space="preserve">If you can’t name the evidence, you don’t yet understand the control.</w:t>
      </w:r>
    </w:p>
    <w:bookmarkEnd w:id="34"/>
    <w:bookmarkStart w:id="35" w:name="X59a8749c08da73c1452cc9100d14a8358b2a4ec"/>
    <w:p>
      <w:pPr>
        <w:pStyle w:val="Heading2"/>
      </w:pPr>
      <w:r>
        <w:t xml:space="preserve">Slide 21 — Detect, Respond, Recover: when prevention fails</w:t>
      </w:r>
    </w:p>
    <w:p>
      <w:pPr>
        <w:pStyle w:val="FirstParagraph"/>
      </w:pPr>
      <w:r>
        <w:t xml:space="preserve">And the last three functions: what happens when prevention fails.</w:t>
      </w:r>
    </w:p>
    <w:p>
      <w:pPr>
        <w:pStyle w:val="BodyText"/>
      </w:pPr>
      <w:r>
        <w:t xml:space="preserve">Detect has just two categories in 2.0: Continuous Monitoring, and Adverse Event Analysis. Version 1.1 had a third, Detection Processes, which was folded in.</w:t>
      </w:r>
    </w:p>
    <w:p>
      <w:pPr>
        <w:pStyle w:val="BodyText"/>
      </w:pPr>
      <w:r>
        <w:t xml:space="preserve">Respond has four. I want you to notice RS.CO, reporting and communication. In Hong Kong, that’s where the clocks live. Cap. 653: serious incidents to the Commissioner within 12 hours, others within 48. G3 from Week 4: report to GIRO within 60 minutes. NIST doesn’t set a clock. It says: report as required. The local law sets the clock. That’s a pattern we’ll come back to in a minute.</w:t>
      </w:r>
    </w:p>
    <w:p>
      <w:pPr>
        <w:pStyle w:val="BodyText"/>
      </w:pPr>
      <w:r>
        <w:t xml:space="preserve">Recover has two: executing the recovery plan, and communicating about it. And one subcategory I love for auditors, RC.RP-03: verify the integrity of backups before you restore from them. Ransomware groups now go for the backups first.</w:t>
      </w:r>
    </w:p>
    <w:bookmarkEnd w:id="35"/>
    <w:bookmarkStart w:id="36" w:name="X9dc017e13420d648fd3c94385e285fa09bfe168"/>
    <w:p>
      <w:pPr>
        <w:pStyle w:val="Heading2"/>
      </w:pPr>
      <w:r>
        <w:t xml:space="preserve">Slide 22 — Read it like an auditor: every verb is a test</w:t>
      </w:r>
    </w:p>
    <w:p>
      <w:pPr>
        <w:pStyle w:val="FirstParagraph"/>
      </w:pPr>
      <w:r>
        <w:t xml:space="preserve">Here’s a skill that will serve you in the midterm and for the rest of your career. Read a subcategory slowly, and treat every verb as a separate test.</w:t>
      </w:r>
    </w:p>
    <w:p>
      <w:pPr>
        <w:pStyle w:val="BodyText"/>
      </w:pPr>
      <w:r>
        <w:t xml:space="preserve">GV.SC-07. The risks posed by a supplier, their products and services, and other third parties are understood, recorded, prioritized, assessed, responded to, and monitored over the course of the relationship.</w:t>
      </w:r>
    </w:p>
    <w:p>
      <w:pPr>
        <w:pStyle w:val="BodyText"/>
      </w:pPr>
      <w:r>
        <w:t xml:space="preserve">Six verbs. Six tests.</w:t>
      </w:r>
    </w:p>
    <w:p>
      <w:pPr>
        <w:pStyle w:val="BodyText"/>
      </w:pPr>
      <w:r>
        <w:t xml:space="preserve">Understood: is there a methodology? Recorded: is there a register? Prioritized: are suppliers tiered by criticality? Assessed: due diligence, questionnaires, SOC 2 reports from Week 1. Responded to: contract clauses, remediation. Monitored: and this is the one most organisations fail.</w:t>
      </w:r>
      <w:r>
        <w:t xml:space="preserve"> </w:t>
      </w:r>
      <w:r>
        <w:t xml:space="preserve">“</w:t>
      </w:r>
      <w:r>
        <w:t xml:space="preserve">Over the course of the relationship.</w:t>
      </w:r>
      <w:r>
        <w:t xml:space="preserve">”</w:t>
      </w:r>
      <w:r>
        <w:t xml:space="preserve"> </w:t>
      </w:r>
      <w:r>
        <w:t xml:space="preserve">Many companies assess a supplier once, at onboarding, and never again.</w:t>
      </w:r>
    </w:p>
    <w:p>
      <w:pPr>
        <w:pStyle w:val="BodyText"/>
      </w:pPr>
      <w:r>
        <w:t xml:space="preserve">So if a client shows you a beautiful onboarding questionnaire, you’ve tested one or two verbs out of six. That’s not a pass. That’s a partial.</w:t>
      </w:r>
    </w:p>
    <w:bookmarkEnd w:id="36"/>
    <w:bookmarkStart w:id="37" w:name="slide-23-what-changed-in-2.0"/>
    <w:p>
      <w:pPr>
        <w:pStyle w:val="Heading2"/>
      </w:pPr>
      <w:r>
        <w:t xml:space="preserve">Slide 23 — What changed in 2.0</w:t>
      </w:r>
    </w:p>
    <w:p>
      <w:pPr>
        <w:pStyle w:val="FirstParagraph"/>
      </w:pPr>
      <w:r>
        <w:t xml:space="preserve">[Section 4 · about 10 minutes]</w:t>
      </w:r>
    </w:p>
    <w:bookmarkEnd w:id="37"/>
    <w:bookmarkStart w:id="38" w:name="slide-24-what-changed-from-1.1-to-2.0"/>
    <w:p>
      <w:pPr>
        <w:pStyle w:val="Heading2"/>
      </w:pPr>
      <w:r>
        <w:t xml:space="preserve">Slide 24 — What changed from 1.1 to 2.0</w:t>
      </w:r>
    </w:p>
    <w:p>
      <w:pPr>
        <w:pStyle w:val="FirstParagraph"/>
      </w:pPr>
      <w:r>
        <w:t xml:space="preserve">What actually changed from 1.1 to 2.0?</w:t>
      </w:r>
    </w:p>
    <w:p>
      <w:pPr>
        <w:pStyle w:val="BodyText"/>
      </w:pPr>
      <w:r>
        <w:t xml:space="preserve">The title and audience: from critical infrastructure to everyone.</w:t>
      </w:r>
    </w:p>
    <w:p>
      <w:pPr>
        <w:pStyle w:val="BodyText"/>
      </w:pPr>
      <w:r>
        <w:t xml:space="preserve">Structure: five functions became six. And yet categories went from twenty-three to twenty-two, and subcategories from a hundred and eight to a hundred and six. So it’s not bigger. It’s reorganised. Things were merged, moved, and some were withdrawn. A tip: if you ever inherit a 1.1 assessment and need to update it to 2.0, don’t assume the IDs carry over. NIST publishes a mapping between the two versions. Use it.</w:t>
      </w:r>
    </w:p>
    <w:p>
      <w:pPr>
        <w:pStyle w:val="BodyText"/>
      </w:pPr>
      <w:r>
        <w:t xml:space="preserve">Governance: from scattered to a dedicated function.</w:t>
      </w:r>
    </w:p>
    <w:p>
      <w:pPr>
        <w:pStyle w:val="BodyText"/>
      </w:pPr>
      <w:r>
        <w:t xml:space="preserve">Supply chain: from one category in Identify to ten subcategories in Govern.</w:t>
      </w:r>
    </w:p>
    <w:p>
      <w:pPr>
        <w:pStyle w:val="BodyText"/>
      </w:pPr>
      <w:r>
        <w:t xml:space="preserve">Improvement: now its own category.</w:t>
      </w:r>
    </w:p>
    <w:p>
      <w:pPr>
        <w:pStyle w:val="BodyText"/>
      </w:pPr>
      <w:r>
        <w:t xml:space="preserve">And guidance: 1.1 was mostly one document. 2.0 is an ecosystem: Implementation Examples for every subcategory, Quick-Start Guides, online references, and Profile templates.</w:t>
      </w:r>
    </w:p>
    <w:p>
      <w:pPr>
        <w:pStyle w:val="BodyText"/>
      </w:pPr>
      <w:r>
        <w:t xml:space="preserve">If you remember one row, it’s the orange one. Govern.</w:t>
      </w:r>
    </w:p>
    <w:bookmarkEnd w:id="38"/>
    <w:bookmarkStart w:id="39" w:name="Xec24c6c0e4554595e04aa043ebef9a7868bffdf"/>
    <w:p>
      <w:pPr>
        <w:pStyle w:val="Heading2"/>
      </w:pPr>
      <w:r>
        <w:t xml:space="preserve">Slide 25 — Profiles turn a catalogue into a plan</w:t>
      </w:r>
    </w:p>
    <w:p>
      <w:pPr>
        <w:pStyle w:val="FirstParagraph"/>
      </w:pPr>
      <w:r>
        <w:t xml:space="preserve">Profiles are where the Core becomes useful.</w:t>
      </w:r>
    </w:p>
    <w:p>
      <w:pPr>
        <w:pStyle w:val="BodyText"/>
      </w:pPr>
      <w:r>
        <w:t xml:space="preserve">NIST gives five steps. Scope it: which part of the organisation, and why. Gather information: policies, risk priorities, business impact analyses, legal and regulatory requirements. Create the Profiles: Current, and Target, outcome by outcome. Analyse the gaps and build a prioritised action plan. Then implement, and update.</w:t>
      </w:r>
    </w:p>
    <w:p>
      <w:pPr>
        <w:pStyle w:val="BodyText"/>
      </w:pPr>
      <w:r>
        <w:t xml:space="preserve">Step four is the orange one, because that’s an audit report in disguise. Current versus Target, the gap, the priority, the owner, the date. That’s exactly the shape of a finding.</w:t>
      </w:r>
    </w:p>
    <w:p>
      <w:pPr>
        <w:pStyle w:val="BodyText"/>
      </w:pPr>
      <w:r>
        <w:t xml:space="preserve">At the bottom, the three kinds. Current: what you do today. Target: what you choose to achieve. And Community Profile: a shared baseline published for a whole sector, a technology, or a threat. NIST has published community profiles on ransomware, for example, and is drafting one for AI.</w:t>
      </w:r>
    </w:p>
    <w:p>
      <w:pPr>
        <w:pStyle w:val="BodyText"/>
      </w:pPr>
      <w:r>
        <w:t xml:space="preserve">And here’s the important question for an auditor: who chose the Target? Herman touched on this. If management sets its own target too low, a perfect score against it means nothing. So when you audit against a NIST Profile, always ask how the Target was set, and who approved it.</w:t>
      </w:r>
    </w:p>
    <w:bookmarkEnd w:id="39"/>
    <w:bookmarkStart w:id="40" w:name="X5926ecb89cd8d43fcc6847fefb23688df360acc"/>
    <w:p>
      <w:pPr>
        <w:pStyle w:val="Heading2"/>
      </w:pPr>
      <w:r>
        <w:t xml:space="preserve">Slide 26 — Herman’s maturity table is a Current and Target Profile</w:t>
      </w:r>
    </w:p>
    <w:p>
      <w:pPr>
        <w:pStyle w:val="FirstParagraph"/>
      </w:pPr>
      <w:r>
        <w:t xml:space="preserve">Here’s Herman’s maturity table again. Read it with the framework in mind and it is exactly a Current Profile and a Target Profile, at function level.</w:t>
      </w:r>
    </w:p>
    <w:p>
      <w:pPr>
        <w:pStyle w:val="BodyText"/>
      </w:pPr>
      <w:r>
        <w:t xml:space="preserve">Identify, Protect and Recover sit at 2 with a target of 3: a gap of one. Detect and Respond are at 3, aiming for 3.5.</w:t>
      </w:r>
    </w:p>
    <w:p>
      <w:pPr>
        <w:pStyle w:val="BodyText"/>
      </w:pPr>
      <w:r>
        <w:t xml:space="preserve">Herman asked: how do you improve maturity? The answer from his notes: people, process, technology. Training and phishing simulation; better processes; and yes, sometimes more money and more tools.</w:t>
      </w:r>
    </w:p>
    <w:p>
      <w:pPr>
        <w:pStyle w:val="BodyText"/>
      </w:pPr>
      <w:r>
        <w:t xml:space="preserve">Now the auditor’s questions. Who set the targets, and who approved them? What evidence supports a score of 2 rather than 3; is there a scoring method, or is it judgement? And is there a dated plan, with an owner, for each gap?</w:t>
      </w:r>
    </w:p>
    <w:p>
      <w:pPr>
        <w:pStyle w:val="BodyText"/>
      </w:pPr>
      <w:r>
        <w:t xml:space="preserve">And one more question, which is the next slide.</w:t>
      </w:r>
    </w:p>
    <w:bookmarkEnd w:id="40"/>
    <w:bookmarkStart w:id="41" w:name="slide-27-pulse-check-what-is-missing"/>
    <w:p>
      <w:pPr>
        <w:pStyle w:val="Heading2"/>
      </w:pPr>
      <w:r>
        <w:t xml:space="preserve">Slide 27 — Pulse check: what is missing?</w:t>
      </w:r>
    </w:p>
    <w:p>
      <w:pPr>
        <w:pStyle w:val="FirstParagraph"/>
      </w:pPr>
      <w:r>
        <w:t xml:space="preserve">Quick pulse check. Look at the table again: Identify, Protect, Detect, Respond, Recover. Which function is missing?</w:t>
      </w:r>
    </w:p>
    <w:p>
      <w:pPr>
        <w:pStyle w:val="BodyText"/>
      </w:pPr>
      <w:r>
        <w:t xml:space="preserve">[WAIT. Someone will say Govern. Next slide.]</w:t>
      </w:r>
    </w:p>
    <w:bookmarkEnd w:id="41"/>
    <w:bookmarkStart w:id="42" w:name="slide-28-govern-is-missing"/>
    <w:p>
      <w:pPr>
        <w:pStyle w:val="Heading2"/>
      </w:pPr>
      <w:r>
        <w:t xml:space="preserve">Slide 28 — Govern is missing</w:t>
      </w:r>
    </w:p>
    <w:p>
      <w:pPr>
        <w:pStyle w:val="FirstParagraph"/>
      </w:pPr>
      <w:r>
        <w:t xml:space="preserve">Govern. The table is a CSF 1.1-shaped table: five functions. And that’s very common; plenty of organisations still score themselves that way.</w:t>
      </w:r>
    </w:p>
    <w:p>
      <w:pPr>
        <w:pStyle w:val="BodyText"/>
      </w:pPr>
      <w:r>
        <w:t xml:space="preserve">But Herman’s own slides told us why Govern matters: the betting-system scenario was a Govern failure. Scores of 2 or 3 for Protect mean little if nobody owns the target, nobody owns the risk, and nobody signs the acceptance.</w:t>
      </w:r>
    </w:p>
    <w:p>
      <w:pPr>
        <w:pStyle w:val="BodyText"/>
      </w:pPr>
      <w:r>
        <w:t xml:space="preserve">That’s why, in Module 3, all five controls we test are Govern.</w:t>
      </w:r>
    </w:p>
    <w:bookmarkEnd w:id="42"/>
    <w:bookmarkStart w:id="43" w:name="X193f23bb8441bc189a050234fee5f39494ffc7e"/>
    <w:p>
      <w:pPr>
        <w:pStyle w:val="Heading2"/>
      </w:pPr>
      <w:r>
        <w:t xml:space="preserve">Slide 29 — Tiers describe rigour — not a score to maximise</w:t>
      </w:r>
    </w:p>
    <w:p>
      <w:pPr>
        <w:pStyle w:val="FirstParagraph"/>
      </w:pPr>
      <w:r>
        <w:t xml:space="preserve">The third component: Tiers. Four of them. Partial, Risk Informed, Repeatable, Adaptive.</w:t>
      </w:r>
    </w:p>
    <w:p>
      <w:pPr>
        <w:pStyle w:val="BodyText"/>
      </w:pPr>
      <w:r>
        <w:t xml:space="preserve">The wording is NIST’s own, and it’s worth reading like an auditor again. Tier 2: practices are</w:t>
      </w:r>
      <w:r>
        <w:t xml:space="preserve"> </w:t>
      </w:r>
      <w:r>
        <w:t xml:space="preserve">“</w:t>
      </w:r>
      <w:r>
        <w:t xml:space="preserve">approved by management but may not be established as organization-wide policy</w:t>
      </w:r>
      <w:r>
        <w:t xml:space="preserve">”</w:t>
      </w:r>
      <w:r>
        <w:t xml:space="preserve">. Tier 3:</w:t>
      </w:r>
      <w:r>
        <w:t xml:space="preserve"> </w:t>
      </w:r>
      <w:r>
        <w:t xml:space="preserve">“</w:t>
      </w:r>
      <w:r>
        <w:t xml:space="preserve">formally approved and expressed as policy</w:t>
      </w:r>
      <w:r>
        <w:t xml:space="preserve">”</w:t>
      </w:r>
      <w:r>
        <w:t xml:space="preserve">. So the jump from 2 to 3 is literally whether there’s an approved organisation-wide policy. That’s an evidence question.</w:t>
      </w:r>
    </w:p>
    <w:p>
      <w:pPr>
        <w:pStyle w:val="BodyText"/>
      </w:pPr>
      <w:r>
        <w:t xml:space="preserve">But the orange card matters most. Tiers describe the rigour of how you govern and manage cyber risk overall. They’re not a score you give each subcategory. People do build maturity scores on top of the CSF, and that’s fine, but that’s their method, not NIST’s. Compare C-RAF from last week, where Baseline, Intermediate and Advanced are explicitly maturity levels, set by your inherent risk.</w:t>
      </w:r>
    </w:p>
    <w:p>
      <w:pPr>
        <w:pStyle w:val="BodyText"/>
      </w:pPr>
      <w:r>
        <w:t xml:space="preserve">Which leads to a question.</w:t>
      </w:r>
    </w:p>
    <w:bookmarkEnd w:id="43"/>
    <w:bookmarkStart w:id="44" w:name="slide-30-pulse-check-tiers"/>
    <w:p>
      <w:pPr>
        <w:pStyle w:val="Heading2"/>
      </w:pPr>
      <w:r>
        <w:t xml:space="preserve">Slide 30 — Pulse check: Tiers</w:t>
      </w:r>
    </w:p>
    <w:p>
      <w:pPr>
        <w:pStyle w:val="FirstParagraph"/>
      </w:pPr>
      <w:r>
        <w:t xml:space="preserve">Pulse check.</w:t>
      </w:r>
    </w:p>
    <w:p>
      <w:pPr>
        <w:pStyle w:val="BodyText"/>
      </w:pPr>
      <w:r>
        <w:t xml:space="preserve">Your client is at Tier 2, Risk Informed. Should your audit report recommend they reach Tier 4, Adaptive?</w:t>
      </w:r>
    </w:p>
    <w:p>
      <w:pPr>
        <w:pStyle w:val="BodyText"/>
      </w:pPr>
      <w:r>
        <w:t xml:space="preserve">Hands up: yes, always… no… depends…</w:t>
      </w:r>
    </w:p>
    <w:p>
      <w:pPr>
        <w:pStyle w:val="BodyText"/>
      </w:pPr>
      <w:r>
        <w:t xml:space="preserve">[COUNT. THEN NEXT SLIDE.]</w:t>
      </w:r>
    </w:p>
    <w:bookmarkEnd w:id="44"/>
    <w:bookmarkStart w:id="45" w:name="slide-31-it-depends-and-nist-says-so"/>
    <w:p>
      <w:pPr>
        <w:pStyle w:val="Heading2"/>
      </w:pPr>
      <w:r>
        <w:t xml:space="preserve">Slide 31 — It depends — and NIST says so</w:t>
      </w:r>
    </w:p>
    <w:p>
      <w:pPr>
        <w:pStyle w:val="FirstParagraph"/>
      </w:pPr>
      <w:r>
        <w:t xml:space="preserve">It depends, and NIST says so. Organisations choose the Tier that fits their objectives and their risk. NIST encourages moving up when risks or mandates are greater, or when cost-benefit supports it.</w:t>
      </w:r>
    </w:p>
    <w:p>
      <w:pPr>
        <w:pStyle w:val="BodyText"/>
      </w:pPr>
      <w:r>
        <w:t xml:space="preserve">So: recommend the Tier management chose and approved, not the maximum. If you think the target itself is too low, that’s a different finding, about governance, and you need a risk or a mandate to back it.</w:t>
      </w:r>
    </w:p>
    <w:p>
      <w:pPr>
        <w:pStyle w:val="BodyText"/>
      </w:pPr>
      <w:r>
        <w:t xml:space="preserve">And in Hong Kong, the mandate often comes from outside NIST. A designated Cap. 653 operator, or a bank under the HKMA, may have a floor set for them.</w:t>
      </w:r>
    </w:p>
    <w:p>
      <w:pPr>
        <w:pStyle w:val="BodyText"/>
      </w:pPr>
      <w:r>
        <w:t xml:space="preserve">The orange box is the audit principle that ties this course together. A finding needs criteria.</w:t>
      </w:r>
      <w:r>
        <w:t xml:space="preserve"> </w:t>
      </w:r>
      <w:r>
        <w:t xml:space="preserve">“</w:t>
      </w:r>
      <w:r>
        <w:t xml:space="preserve">You’re not Tier 4</w:t>
      </w:r>
      <w:r>
        <w:t xml:space="preserve">”</w:t>
      </w:r>
      <w:r>
        <w:t xml:space="preserve"> </w:t>
      </w:r>
      <w:r>
        <w:t xml:space="preserve">isn’t a finding unless Tier 4 was the target.</w:t>
      </w:r>
    </w:p>
    <w:bookmarkEnd w:id="45"/>
    <w:bookmarkStart w:id="46" w:name="Xc79739ee70abd153a7d88358c9c24d0c91285b9"/>
    <w:p>
      <w:pPr>
        <w:pStyle w:val="Heading2"/>
      </w:pPr>
      <w:r>
        <w:t xml:space="preserve">Slide 32 — Herman’s KRIs, function by function</w:t>
      </w:r>
    </w:p>
    <w:p>
      <w:pPr>
        <w:pStyle w:val="FirstParagraph"/>
      </w:pPr>
      <w:r>
        <w:t xml:space="preserve">Herman showed us three key risk indicators for each function. I’ve put them in one table, and added the column you’ll care about as auditors: what evidence sits behind each one.</w:t>
      </w:r>
    </w:p>
    <w:p>
      <w:pPr>
        <w:pStyle w:val="BodyText"/>
      </w:pPr>
      <w:r>
        <w:t xml:space="preserve">Identify: critical assets without an owner; servers onboarded to vulnerability scanning; internet-facing assets missing from the inventory. Protect: privileged accounts without MFA; critical patches past SLA; phishing click rate. Detect: mean time to detect; systems not covered by the SIEM; alerts not triaged in time. Respond: mean time to respond; incidents without root-cause analysis; incidents where the communication plan wasn’t followed. Recover: systems without a tested recovery plan; restore time against RTO; backups failing restore tests.</w:t>
      </w:r>
    </w:p>
    <w:p>
      <w:pPr>
        <w:pStyle w:val="BodyText"/>
      </w:pPr>
      <w:r>
        <w:t xml:space="preserve">Notice these measure outcomes, not activity. That’s GV.OV-03: performance is evaluated and reviewed for adjustments.</w:t>
      </w:r>
    </w:p>
    <w:p>
      <w:pPr>
        <w:pStyle w:val="BodyText"/>
      </w:pPr>
      <w:r>
        <w:t xml:space="preserve">The orange line is the test I’d apply to any KRI: does it have a threshold, an owner, and does someone act when it goes red? Herman’s next slide shows what acting looks like.</w:t>
      </w:r>
    </w:p>
    <w:bookmarkEnd w:id="46"/>
    <w:bookmarkStart w:id="47" w:name="X57ddd804109d4ccead4c9d22bdabc16e699dde8"/>
    <w:p>
      <w:pPr>
        <w:pStyle w:val="Heading2"/>
      </w:pPr>
      <w:r>
        <w:t xml:space="preserve">Slide 33 — When a KRI goes red: escalate, compensate, accept</w:t>
      </w:r>
    </w:p>
    <w:p>
      <w:pPr>
        <w:pStyle w:val="FirstParagraph"/>
      </w:pPr>
      <w:r>
        <w:t xml:space="preserve">This is my favourite slide from Herman’s deck, because it shows governance actually working.</w:t>
      </w:r>
    </w:p>
    <w:p>
      <w:pPr>
        <w:pStyle w:val="BodyText"/>
      </w:pPr>
      <w:r>
        <w:t xml:space="preserve">The KRI: percentage of servers onboarded to vulnerability scanning. Seventy percent onboarded, twenty pending, ten not compatible with the scanner. The threshold is red below ninety percent. So it’s red.</w:t>
      </w:r>
    </w:p>
    <w:p>
      <w:pPr>
        <w:pStyle w:val="BodyText"/>
      </w:pPr>
      <w:r>
        <w:t xml:space="preserve">What happens? It escalates to the Tech Risk Committee. Compensating controls are documented for the servers that can’t be scanned. And the residual risk goes through formal risk acceptance. Meanwhile, monitoring continues: new servers get onboarded, delays are explained, and the business is brought in to speed things up.</w:t>
      </w:r>
    </w:p>
    <w:p>
      <w:pPr>
        <w:pStyle w:val="BodyText"/>
      </w:pPr>
      <w:r>
        <w:t xml:space="preserve">In CSF terms: the ninety percent is a risk tolerance, GV.RM-02. The review and escalation is GV.OV-03. Choosing to compensate and accept is a risk response, ID.RA-06.</w:t>
      </w:r>
    </w:p>
    <w:p>
      <w:pPr>
        <w:pStyle w:val="BodyText"/>
      </w:pPr>
      <w:r>
        <w:t xml:space="preserve">And as an auditor, here’s what you’d ask for: the committee minute where it was escalated, and the signed risk acceptance. With an expiry date; an acceptance without an expiry is a permanent exception.</w:t>
      </w:r>
    </w:p>
    <w:p>
      <w:pPr>
        <w:pStyle w:val="BodyText"/>
      </w:pPr>
      <w:r>
        <w:t xml:space="preserve">Hold on to GV.RM-02. In Module 3, it’s the worked example, and you’ll see what it looks like when an organisation doesn’t have this.</w:t>
      </w:r>
    </w:p>
    <w:bookmarkEnd w:id="47"/>
    <w:bookmarkStart w:id="48" w:name="X97cd66430beb97f04b954f280f855eea324f5d9"/>
    <w:p>
      <w:pPr>
        <w:pStyle w:val="Heading2"/>
      </w:pPr>
      <w:r>
        <w:t xml:space="preserve">Slide 34 — Since 2024: from a document to an ecosystem</w:t>
      </w:r>
    </w:p>
    <w:p>
      <w:pPr>
        <w:pStyle w:val="FirstParagraph"/>
      </w:pPr>
      <w:r>
        <w:t xml:space="preserve">One more thing that changed: CSF 2.0 isn’t really one document any more. It’s an ecosystem, and NIST keeps adding to it.</w:t>
      </w:r>
    </w:p>
    <w:p>
      <w:pPr>
        <w:pStyle w:val="BodyText"/>
      </w:pPr>
      <w:r>
        <w:t xml:space="preserve">A few highlights since 2024. A quick-start guide on supply chain risk, which is effectively a ready-made reading of GV.SC. In April 2025, SP 800-61 revision 3: NIST’s incident response guide, rebuilt around the six CSF functions. In November 2025, an official mapping from CSF 2.0 to SP 800-53, so you can go from an outcome down to a detailed control.</w:t>
      </w:r>
    </w:p>
    <w:p>
      <w:pPr>
        <w:pStyle w:val="BodyText"/>
      </w:pPr>
      <w:r>
        <w:t xml:space="preserve">In December 2025, a preliminary draft of a Cyber AI Profile, applying CSF outcomes to AI. That’s a preview of Week 10.</w:t>
      </w:r>
    </w:p>
    <w:p>
      <w:pPr>
        <w:pStyle w:val="BodyText"/>
      </w:pPr>
      <w:r>
        <w:t xml:space="preserve">In March 2026, a guide linking cyber risk, enterprise risk and workforce management. And in April 2026, a guide on informative references, plus new mappings including the OWASP Top 10 for LLM applications.</w:t>
      </w:r>
    </w:p>
    <w:p>
      <w:pPr>
        <w:pStyle w:val="BodyText"/>
      </w:pPr>
      <w:r>
        <w:t xml:space="preserve">The practical lesson: when you cite NIST in a report, cite the version and the date. This framework moves.</w:t>
      </w:r>
    </w:p>
    <w:bookmarkEnd w:id="48"/>
    <w:bookmarkStart w:id="49" w:name="slide-35-the-auditors-lens"/>
    <w:p>
      <w:pPr>
        <w:pStyle w:val="Heading2"/>
      </w:pPr>
      <w:r>
        <w:t xml:space="preserve">Slide 35 — The auditor’s lens</w:t>
      </w:r>
    </w:p>
    <w:p>
      <w:pPr>
        <w:pStyle w:val="FirstParagraph"/>
      </w:pPr>
      <w:r>
        <w:t xml:space="preserve">[Section 5 · about 14 minutes]</w:t>
      </w:r>
    </w:p>
    <w:bookmarkEnd w:id="49"/>
    <w:bookmarkStart w:id="50" w:name="Xbf38780e7ee72bea93b08afbc3a06840f005cf7"/>
    <w:p>
      <w:pPr>
        <w:pStyle w:val="Heading2"/>
      </w:pPr>
      <w:r>
        <w:t xml:space="preserve">Slide 36 — You have been auditing NIST for four weeks</w:t>
      </w:r>
    </w:p>
    <w:p>
      <w:pPr>
        <w:pStyle w:val="FirstParagraph"/>
      </w:pPr>
      <w:r>
        <w:t xml:space="preserve">Here’s the payoff of the last four weeks. You’ve been auditing NIST all along; it just had Hong Kong names.</w:t>
      </w:r>
    </w:p>
    <w:p>
      <w:pPr>
        <w:pStyle w:val="BodyText"/>
      </w:pPr>
      <w:r>
        <w:t xml:space="preserve">Govern: C-RAF’s board accountability and independent audit principles, from last week. G3’s security risk assessment and audit cycle from Week 4.</w:t>
      </w:r>
    </w:p>
    <w:p>
      <w:pPr>
        <w:pStyle w:val="BodyText"/>
      </w:pPr>
      <w:r>
        <w:t xml:space="preserve">Identify: Cap. 653’s annual risk assessment. G3’s risk framework.</w:t>
      </w:r>
    </w:p>
    <w:p>
      <w:pPr>
        <w:pStyle w:val="BodyText"/>
      </w:pPr>
      <w:r>
        <w:t xml:space="preserve">Protect: the PDPO’s Data Protection Principle 4 on security, from Week 3. G3’s MFA requirement for remote access.</w:t>
      </w:r>
    </w:p>
    <w:p>
      <w:pPr>
        <w:pStyle w:val="BodyText"/>
      </w:pPr>
      <w:r>
        <w:t xml:space="preserve">Detect: C-RAF’s Detection domain, and iCAST’s blue-team expectations, which Samuel will cover in Week 8.</w:t>
      </w:r>
    </w:p>
    <w:p>
      <w:pPr>
        <w:pStyle w:val="BodyText"/>
      </w:pPr>
      <w:r>
        <w:t xml:space="preserve">Respond, in bold: this is where Hong Kong adds what NIST deliberately leaves out. The clock. Cap. 653: twelve hours for a serious incident, forty-eight for others. G3: sixty minutes to GIRO.</w:t>
      </w:r>
    </w:p>
    <w:p>
      <w:pPr>
        <w:pStyle w:val="BodyText"/>
      </w:pPr>
      <w:r>
        <w:t xml:space="preserve">Recover: Cap. 653’s emergency response plan and drills, and for banks, the HKMA’s STDB guideline on immutable, air-gapped tertiary backups.</w:t>
      </w:r>
    </w:p>
    <w:p>
      <w:pPr>
        <w:pStyle w:val="BodyText"/>
      </w:pPr>
      <w:r>
        <w:t xml:space="preserve">So here’s a way to think about it. NIST gives you the shape. Local law and regulators fill in the numbers. When you audit in Hong Kong, you’ll often use NIST as the structure and the local rule as the threshold.</w:t>
      </w:r>
    </w:p>
    <w:bookmarkEnd w:id="50"/>
    <w:bookmarkStart w:id="51" w:name="X352aefae62f859c368266276c5eb8f9abae6564"/>
    <w:p>
      <w:pPr>
        <w:pStyle w:val="Heading2"/>
      </w:pPr>
      <w:r>
        <w:t xml:space="preserve">Slide 37 — Same goal, three different kinds of instrument</w:t>
      </w:r>
    </w:p>
    <w:p>
      <w:pPr>
        <w:pStyle w:val="FirstParagraph"/>
      </w:pPr>
      <w:r>
        <w:t xml:space="preserve">Let’s put three frameworks side by side, the way we did with the PDPO and GDPR.</w:t>
      </w:r>
    </w:p>
    <w:p>
      <w:pPr>
        <w:pStyle w:val="BodyText"/>
      </w:pPr>
      <w:r>
        <w:t xml:space="preserve">NIST is voluntary outcomes. ISO 27001 is a certifiable management system. C-RAF is a supervisory expectation from a regulator.</w:t>
      </w:r>
    </w:p>
    <w:p>
      <w:pPr>
        <w:pStyle w:val="BodyText"/>
      </w:pPr>
      <w:r>
        <w:t xml:space="preserve">Who checks? For NIST, anyone: yourself, or a third party. For ISO, an accredited certification body. For C-RAF, assessors whose qualifications appear on the HKMA’s PDP list, from last week.</w:t>
      </w:r>
    </w:p>
    <w:p>
      <w:pPr>
        <w:pStyle w:val="BodyText"/>
      </w:pPr>
      <w:r>
        <w:t xml:space="preserve">How is the bar set? NIST: you choose your Target Profile. ISO: your own risk assessment and Statement of Applicability. C-RAF: your inherent risk sets your required maturity level.</w:t>
      </w:r>
    </w:p>
    <w:p>
      <w:pPr>
        <w:pStyle w:val="BodyText"/>
      </w:pPr>
      <w:r>
        <w:t xml:space="preserve">And so your first audit question differs. NIST: who set the Target? ISO: what’s in scope? C-RAF: was the inherent risk rated correctly? Remember last week’s counting rule that moved a bank from Low to Medium.</w:t>
      </w:r>
    </w:p>
    <w:p>
      <w:pPr>
        <w:pStyle w:val="BodyText"/>
      </w:pPr>
      <w:r>
        <w:t xml:space="preserve">And recall from last week: when the HKMA rebuilt C-RAF in 2019 and 2020, NIST CSF was one of the frameworks it was benchmarked against. They’re cousins.</w:t>
      </w:r>
    </w:p>
    <w:bookmarkEnd w:id="51"/>
    <w:bookmarkStart w:id="52" w:name="Xebd178f8e19167682be6131e5d3fe8fe6d00f60"/>
    <w:p>
      <w:pPr>
        <w:pStyle w:val="Heading2"/>
      </w:pPr>
      <w:r>
        <w:t xml:space="preserve">Slide 38 — Auditing an outcome framework: three traps</w:t>
      </w:r>
    </w:p>
    <w:p>
      <w:pPr>
        <w:pStyle w:val="FirstParagraph"/>
      </w:pPr>
      <w:r>
        <w:t xml:space="preserve">Three traps when you audit against an outcome framework like NIST.</w:t>
      </w:r>
    </w:p>
    <w:p>
      <w:pPr>
        <w:pStyle w:val="BodyText"/>
      </w:pPr>
      <w:r>
        <w:t xml:space="preserve">Trap one: treating it as a checklist. NIST says what, not how. So before you test anything, agree the criteria. What’s the Target Profile? Is there a law, a regulator or an internal policy that sets a specific threshold? Without criteria, you have opinions, not findings.</w:t>
      </w:r>
    </w:p>
    <w:p>
      <w:pPr>
        <w:pStyle w:val="BodyText"/>
      </w:pPr>
      <w:r>
        <w:t xml:space="preserve">Trap two, in orange because it’s the most common: accepting a policy as the outcome. A policy proves design. NIST subcategories are outcomes: backups ARE tested, risks ARE monitored. That needs operating evidence: records, logs, test results over a period. Week 1: design versus operating effectiveness.</w:t>
      </w:r>
    </w:p>
    <w:p>
      <w:pPr>
        <w:pStyle w:val="BodyText"/>
      </w:pPr>
      <w:r>
        <w:t xml:space="preserve">Trap three: testing one verb out of six. You saw GV.SC-07. Test each action, or say clearly in your report which ones you didn’t test.</w:t>
      </w:r>
    </w:p>
    <w:p>
      <w:pPr>
        <w:pStyle w:val="BodyText"/>
      </w:pPr>
      <w:r>
        <w:t xml:space="preserve">Now let’s see what that looks like in an actual RFI.</w:t>
      </w:r>
    </w:p>
    <w:bookmarkEnd w:id="52"/>
    <w:bookmarkStart w:id="53" w:name="slide-39-worked-example-1-backups"/>
    <w:p>
      <w:pPr>
        <w:pStyle w:val="Heading2"/>
      </w:pPr>
      <w:r>
        <w:t xml:space="preserve">Slide 39 — Worked example 1: backups</w:t>
      </w:r>
    </w:p>
    <w:p>
      <w:pPr>
        <w:pStyle w:val="FirstParagraph"/>
      </w:pPr>
      <w:r>
        <w:t xml:space="preserve">Worked example one. PR.DS-11: backups of data are created, protected, maintained, and tested. Four verbs.</w:t>
      </w:r>
    </w:p>
    <w:p>
      <w:pPr>
        <w:pStyle w:val="BodyText"/>
      </w:pPr>
      <w:r>
        <w:t xml:space="preserve">What would I ask for? The backup policy and schedule, with which systems are in scope. That’s</w:t>
      </w:r>
      <w:r>
        <w:t xml:space="preserve"> </w:t>
      </w:r>
      <w:r>
        <w:t xml:space="preserve">“</w:t>
      </w:r>
      <w:r>
        <w:t xml:space="preserve">created</w:t>
      </w:r>
      <w:r>
        <w:t xml:space="preserve">”</w:t>
      </w:r>
      <w:r>
        <w:t xml:space="preserve">. Backup job reports for a three-month sample:</w:t>
      </w:r>
      <w:r>
        <w:t xml:space="preserve"> </w:t>
      </w:r>
      <w:r>
        <w:t xml:space="preserve">“</w:t>
      </w:r>
      <w:r>
        <w:t xml:space="preserve">maintained</w:t>
      </w:r>
      <w:r>
        <w:t xml:space="preserve">”</w:t>
      </w:r>
      <w:r>
        <w:t xml:space="preserve">. Evidence of protection: encryption, who can access the backups, and whether there’s an offline or immutable copy:</w:t>
      </w:r>
      <w:r>
        <w:t xml:space="preserve"> </w:t>
      </w:r>
      <w:r>
        <w:t xml:space="preserve">“</w:t>
      </w:r>
      <w:r>
        <w:t xml:space="preserve">protected</w:t>
      </w:r>
      <w:r>
        <w:t xml:space="preserve">”</w:t>
      </w:r>
      <w:r>
        <w:t xml:space="preserve">. And the last two restore tests:</w:t>
      </w:r>
      <w:r>
        <w:t xml:space="preserve"> </w:t>
      </w:r>
      <w:r>
        <w:t xml:space="preserve">“</w:t>
      </w:r>
      <w:r>
        <w:t xml:space="preserve">tested</w:t>
      </w:r>
      <w:r>
        <w:t xml:space="preserve">”</w:t>
      </w:r>
      <w:r>
        <w:t xml:space="preserve">.</w:t>
      </w:r>
    </w:p>
    <w:p>
      <w:pPr>
        <w:pStyle w:val="BodyText"/>
      </w:pPr>
      <w:r>
        <w:t xml:space="preserve">What does good evidence show? Backups cover the critical systems, not just whatever was easy. The backup copies can’t be altered by the same admin accounts that run production, because that’s exactly what ransomware operators abuse. A restore actually worked, recently, and someone signed it off. And failed jobs were followed up.</w:t>
      </w:r>
    </w:p>
    <w:p>
      <w:pPr>
        <w:pStyle w:val="BodyText"/>
      </w:pPr>
      <w:r>
        <w:t xml:space="preserve">NIST’s implementation examples for this subcategory include testing backups and restores at least annually, and keeping some backups offline and offsite. And for Hong Kong banks, the HKMA’s STDB guideline goes further: an immutable, air-gapped tertiary copy.</w:t>
      </w:r>
    </w:p>
    <w:p>
      <w:pPr>
        <w:pStyle w:val="BodyText"/>
      </w:pPr>
      <w:r>
        <w:t xml:space="preserve">Notice the pattern. One RFI item per verb.</w:t>
      </w:r>
    </w:p>
    <w:bookmarkEnd w:id="53"/>
    <w:bookmarkStart w:id="54" w:name="slide-40-worked-example-2-oversight"/>
    <w:p>
      <w:pPr>
        <w:pStyle w:val="Heading2"/>
      </w:pPr>
      <w:r>
        <w:t xml:space="preserve">Slide 40 — Worked example 2: oversight</w:t>
      </w:r>
    </w:p>
    <w:p>
      <w:pPr>
        <w:pStyle w:val="FirstParagraph"/>
      </w:pPr>
      <w:r>
        <w:t xml:space="preserve">Worked example two, from Govern. GV.OV-01: cybersecurity risk management strategy outcomes are reviewed to inform and adjust strategy and direction.</w:t>
      </w:r>
    </w:p>
    <w:p>
      <w:pPr>
        <w:pStyle w:val="BodyText"/>
      </w:pPr>
      <w:r>
        <w:t xml:space="preserve">Two halves: reviewed, and adjusted. Most organisations can prove the first half. Very few can prove the second.</w:t>
      </w:r>
    </w:p>
    <w:p>
      <w:pPr>
        <w:pStyle w:val="BodyText"/>
      </w:pPr>
      <w:r>
        <w:t xml:space="preserve">What would I ask for? The approved strategy and who approved it. Board or committee minutes for the last four quarters where cyber was discussed. The reports or key risk indicators they were shown. And any decision that changed strategy, budget or priorities as a result.</w:t>
      </w:r>
    </w:p>
    <w:p>
      <w:pPr>
        <w:pStyle w:val="BodyText"/>
      </w:pPr>
      <w:r>
        <w:t xml:space="preserve">Good evidence shows cyber reached the board regularly, not once a year as a formality. The reports measured results against the strategy, not just activity like</w:t>
      </w:r>
      <w:r>
        <w:t xml:space="preserve"> </w:t>
      </w:r>
      <w:r>
        <w:t xml:space="preserve">“</w:t>
      </w:r>
      <w:r>
        <w:t xml:space="preserve">we blocked a million emails</w:t>
      </w:r>
      <w:r>
        <w:t xml:space="preserve">”</w:t>
      </w:r>
      <w:r>
        <w:t xml:space="preserve">. The board asked questions and decided something. And the strategy actually changed, traceably.</w:t>
      </w:r>
    </w:p>
    <w:p>
      <w:pPr>
        <w:pStyle w:val="BodyText"/>
      </w:pPr>
      <w:r>
        <w:t xml:space="preserve">If this feels familiar, it should. Last week’s group task asked almost exactly this, against C-RAF. Same skill, different framework. That’s the skill for next week’s midterm, too.</w:t>
      </w:r>
    </w:p>
    <w:bookmarkEnd w:id="54"/>
    <w:bookmarkStart w:id="55" w:name="slide-41-hermans-verdict"/>
    <w:p>
      <w:pPr>
        <w:pStyle w:val="Heading2"/>
      </w:pPr>
      <w:r>
        <w:t xml:space="preserve">Slide 41 — Herman’s verdict</w:t>
      </w:r>
    </w:p>
    <w:p>
      <w:pPr>
        <w:pStyle w:val="FirstParagraph"/>
      </w:pPr>
      <w:r>
        <w:t xml:space="preserve">Herman’s final verdict, which I’ll borrow as the bridge to our takeaways.</w:t>
      </w:r>
    </w:p>
    <w:p>
      <w:pPr>
        <w:pStyle w:val="BodyText"/>
      </w:pPr>
      <w:r>
        <w:t xml:space="preserve">Cybersecurity is simply this. Govern: establish accountability and risk ownership to guide everything else. Identify your business-critical assets and data. Then protect, detect, respond and recover, with people, process and technology, to reduce risk to the level top management is willing to accept.</w:t>
      </w:r>
    </w:p>
    <w:p>
      <w:pPr>
        <w:pStyle w:val="BodyText"/>
      </w:pPr>
      <w:r>
        <w:t xml:space="preserve">“</w:t>
      </w:r>
      <w:r>
        <w:t xml:space="preserve">The level top management is willing to accept</w:t>
      </w:r>
      <w:r>
        <w:t xml:space="preserve">”</w:t>
      </w:r>
      <w:r>
        <w:t xml:space="preserve">: that’s risk appetite. Remember that phrase in Module 3.</w:t>
      </w:r>
    </w:p>
    <w:bookmarkEnd w:id="55"/>
    <w:bookmarkStart w:id="56" w:name="slide-42-what-to-take-into-the-midterm"/>
    <w:p>
      <w:pPr>
        <w:pStyle w:val="Heading2"/>
      </w:pPr>
      <w:r>
        <w:t xml:space="preserve">Slide 42 — What to take into the midterm</w:t>
      </w:r>
    </w:p>
    <w:p>
      <w:pPr>
        <w:pStyle w:val="FirstParagraph"/>
      </w:pPr>
      <w:r>
        <w:t xml:space="preserve">Four things to take into next week’s midterm.</w:t>
      </w:r>
    </w:p>
    <w:p>
      <w:pPr>
        <w:pStyle w:val="BodyText"/>
      </w:pPr>
      <w:r>
        <w:t xml:space="preserve">One: NIST says what, not how. Your criteria come from the Target Profile and from local law.</w:t>
      </w:r>
    </w:p>
    <w:p>
      <w:pPr>
        <w:pStyle w:val="BodyText"/>
      </w:pPr>
      <w:r>
        <w:t xml:space="preserve">Two: Govern is the centre. Six categories, and supply chain lives there now. Start your audit there.</w:t>
      </w:r>
    </w:p>
    <w:p>
      <w:pPr>
        <w:pStyle w:val="BodyText"/>
      </w:pPr>
      <w:r>
        <w:t xml:space="preserve">Three, in orange: the gap is the finding. Current versus Target, prioritised, owned and dated.</w:t>
      </w:r>
    </w:p>
    <w:p>
      <w:pPr>
        <w:pStyle w:val="BodyText"/>
      </w:pPr>
      <w:r>
        <w:t xml:space="preserve">Four: Tiers aren’t scores. Recommend the Tier management approved, and tie anything more to a risk or a mandate.</w:t>
      </w:r>
    </w:p>
    <w:p>
      <w:pPr>
        <w:pStyle w:val="BodyText"/>
      </w:pPr>
      <w:r>
        <w:t xml:space="preserve">And underneath all four: every verb in a subcategory is a test, and every test needs operating evidence.</w:t>
      </w:r>
    </w:p>
    <w:bookmarkEnd w:id="56"/>
    <w:bookmarkStart w:id="57" w:name="slide-43-break-then-module-3"/>
    <w:p>
      <w:pPr>
        <w:pStyle w:val="Heading2"/>
      </w:pPr>
      <w:r>
        <w:t xml:space="preserve">Slide 43 — Break, then Module 3</w:t>
      </w:r>
    </w:p>
    <w:p>
      <w:pPr>
        <w:pStyle w:val="FirstParagraph"/>
      </w:pPr>
      <w:r>
        <w:t xml:space="preserve">That’s Module 2. Ten-minute break.</w:t>
      </w:r>
    </w:p>
    <w:p>
      <w:pPr>
        <w:pStyle w:val="BodyText"/>
      </w:pPr>
      <w:r>
        <w:t xml:space="preserve">When you come back, Module 3: you’ll get sample documents and a few selected CSF outcomes, and in your groups you’ll draft the RFI. Use the two worked examples as your pattern.</w:t>
      </w:r>
    </w:p>
    <w:p>
      <w:pPr>
        <w:pStyle w:val="BodyText"/>
      </w:pPr>
      <w:r>
        <w:t xml:space="preserve">And remember: next week is the midterm, covering Weeks 1 to 6.</w:t>
      </w:r>
    </w:p>
    <w:p>
      <w:pPr>
        <w:pStyle w:val="BodyText"/>
      </w:pPr>
      <w:r>
        <w:t xml:space="preserve">[TEN-MINUTE BREAK.]</w:t>
      </w:r>
    </w:p>
    <w:bookmarkEnd w:id="57"/>
    <w:bookmarkStart w:id="58" w:name="slide-44-module-3-your-turn"/>
    <w:p>
      <w:pPr>
        <w:pStyle w:val="Heading2"/>
      </w:pPr>
      <w:r>
        <w:t xml:space="preserve">Slide 44 — Module 3: your turn</w:t>
      </w:r>
    </w:p>
    <w:p>
      <w:pPr>
        <w:pStyle w:val="FirstParagraph"/>
      </w:pPr>
      <w:r>
        <w:t xml:space="preserve">[MODULE 3 · 20 minutes of walkthrough, then groups until 21:30, class review to 21:45. Publish the worksheet and Excel template on Canvas now; publish the pack at the Your turn slide.]</w:t>
      </w:r>
    </w:p>
    <w:p>
      <w:pPr>
        <w:pStyle w:val="BodyText"/>
      </w:pPr>
      <w:r>
        <w:t xml:space="preserve">Welcome back. Module 3 has two halves. First, twenty minutes with me: the five Govern controls we will test at XYZ-TS, what to ask for, where to look, what to watch, and one of them worked end to end. Then it is your turn on the other four.</w:t>
      </w:r>
    </w:p>
    <w:bookmarkEnd w:id="58"/>
    <w:bookmarkStart w:id="59" w:name="Xc5dca29901bf7bd7bfc69821c1df686ce8d3cf3"/>
    <w:p>
      <w:pPr>
        <w:pStyle w:val="Heading2"/>
      </w:pPr>
      <w:r>
        <w:t xml:space="preserve">Slide 45 — The client: XYZ-TS, and five Govern outcomes</w:t>
      </w:r>
    </w:p>
    <w:p>
      <w:pPr>
        <w:pStyle w:val="FirstParagraph"/>
      </w:pPr>
      <w:r>
        <w:t xml:space="preserve">Here’s the client: XYZ-TS, the technology services arm of a multinational manufacturer. It runs IT for the group’s business units. It holds ISO 27001 in scope for its IT infrastructure, but it has no sector regulator and no cyber ordinance. Exactly Herman’s situation tonight: nobody sets the bar, so management chose NIST CSF 2.0.</w:t>
      </w:r>
    </w:p>
    <w:p>
      <w:pPr>
        <w:pStyle w:val="BodyText"/>
      </w:pPr>
      <w:r>
        <w:t xml:space="preserve">You’re the assessor, and we start where every NIST assessment should start: Govern. Five subcategories, one from each of five Govern categories.</w:t>
      </w:r>
    </w:p>
    <w:p>
      <w:pPr>
        <w:pStyle w:val="BodyText"/>
      </w:pPr>
      <w:r>
        <w:t xml:space="preserve">One: GV.RR-01. Leadership is responsible and accountable, and fosters a risk-aware culture. Two halves: accountability, and culture.</w:t>
      </w:r>
    </w:p>
    <w:p>
      <w:pPr>
        <w:pStyle w:val="BodyText"/>
      </w:pPr>
      <w:r>
        <w:t xml:space="preserve">Two: GV.RM-02. Risk appetite and tolerance statements are established, communicated and maintained. Note the word</w:t>
      </w:r>
      <w:r>
        <w:t xml:space="preserve"> </w:t>
      </w:r>
      <w:r>
        <w:t xml:space="preserve">“</w:t>
      </w:r>
      <w:r>
        <w:t xml:space="preserve">statements</w:t>
      </w:r>
      <w:r>
        <w:t xml:space="preserve">”</w:t>
      </w:r>
      <w:r>
        <w:t xml:space="preserve">.</w:t>
      </w:r>
    </w:p>
    <w:p>
      <w:pPr>
        <w:pStyle w:val="BodyText"/>
      </w:pPr>
      <w:r>
        <w:t xml:space="preserve">Three: GV.PO-02. Policy is reviewed, updated, communicated and enforced to reflect changes in threats and technology.</w:t>
      </w:r>
    </w:p>
    <w:p>
      <w:pPr>
        <w:pStyle w:val="BodyText"/>
      </w:pPr>
      <w:r>
        <w:t xml:space="preserve">Four: GV.OV-01. Strategy outcomes are reviewed to inform and adjust strategy. Reviewing is not enough; something has to change.</w:t>
      </w:r>
    </w:p>
    <w:p>
      <w:pPr>
        <w:pStyle w:val="BodyText"/>
      </w:pPr>
      <w:r>
        <w:t xml:space="preserve">Five: GV.SC-07, the supplier one we read verb by verb in Module 2.</w:t>
      </w:r>
    </w:p>
    <w:p>
      <w:pPr>
        <w:pStyle w:val="BodyText"/>
      </w:pPr>
      <w:r>
        <w:t xml:space="preserve">These are real documents. What you’ll see in Step 3 is what a real organisation produced, sanitised: company, people, places and suppliers replaced.</w:t>
      </w:r>
    </w:p>
    <w:bookmarkEnd w:id="59"/>
    <w:bookmarkStart w:id="60" w:name="Xc0e545304d2f70c121e1e6b8797c3e27553e728"/>
    <w:p>
      <w:pPr>
        <w:pStyle w:val="Heading2"/>
      </w:pPr>
      <w:r>
        <w:t xml:space="preserve">Slide 46 — 1 · GV.RR-01: Leadership is accountable for cyber risk and fosters a risk-aware culture</w:t>
      </w:r>
    </w:p>
    <w:p>
      <w:pPr>
        <w:pStyle w:val="FirstParagraph"/>
      </w:pPr>
      <w:r>
        <w:t xml:space="preserve">[MODULE 3 WALKTHROUGH · about 3 minutes]</w:t>
      </w:r>
    </w:p>
    <w:p>
      <w:pPr>
        <w:pStyle w:val="BodyText"/>
      </w:pPr>
      <w:r>
        <w:t xml:space="preserve">Control one, GV.RR-01: leadership is responsible and accountable, and fosters a risk-aware culture. Two halves. For accountability, ask for every committee charter and the Board or Audit Committee minute that names who is accountable; then minutes and attendance to show leadership actually acts. For culture, ask for awareness completion and what leadership did about it.</w:t>
      </w:r>
    </w:p>
    <w:p>
      <w:pPr>
        <w:pStyle w:val="BodyText"/>
      </w:pPr>
      <w:r>
        <w:t xml:space="preserve">In the pack, look at D03, the ISMC terms of reference; the GTRC terms of reference, which only exist as a slide in D09; the quarterly steering committee packs; and the team structure and training figures in D10.</w:t>
      </w:r>
    </w:p>
    <w:p>
      <w:pPr>
        <w:pStyle w:val="BodyText"/>
      </w:pPr>
      <w:r>
        <w:t xml:space="preserve">Watch for this: three bodies govern cyber here — the ISMC, the CSSC and the GTRC. Herman’s question from the betting scenario applies: who actually owns it?</w:t>
      </w:r>
    </w:p>
    <w:bookmarkEnd w:id="60"/>
    <w:bookmarkStart w:id="61" w:name="Xcbfe30e679ed015be5144acc554e10481ef9842"/>
    <w:p>
      <w:pPr>
        <w:pStyle w:val="Heading2"/>
      </w:pPr>
      <w:r>
        <w:t xml:space="preserve">Slide 47 — 2 · GV.RM-02: Risk appetite and tolerance statements are established, communicated and maintained</w:t>
      </w:r>
    </w:p>
    <w:p>
      <w:pPr>
        <w:pStyle w:val="FirstParagraph"/>
      </w:pPr>
      <w:r>
        <w:t xml:space="preserve">[MODULE 3 WALKTHROUGH · about 3 minutes]</w:t>
      </w:r>
    </w:p>
    <w:p>
      <w:pPr>
        <w:pStyle w:val="BodyText"/>
      </w:pPr>
      <w:r>
        <w:t xml:space="preserve">Control two, GV.RM-02, risk appetite and tolerance statements. This is the one I’ll work through in full in a moment, so just the shape now: the key word is</w:t>
      </w:r>
      <w:r>
        <w:t xml:space="preserve"> </w:t>
      </w:r>
      <w:r>
        <w:t xml:space="preserve">“</w:t>
      </w:r>
      <w:r>
        <w:t xml:space="preserve">statements</w:t>
      </w:r>
      <w:r>
        <w:t xml:space="preserve">”</w:t>
      </w:r>
      <w:r>
        <w:t xml:space="preserve">. Ask for the approved statement itself, the method that applies it, and proof it’s communicated and maintained.</w:t>
      </w:r>
    </w:p>
    <w:bookmarkEnd w:id="61"/>
    <w:bookmarkStart w:id="62" w:name="Xeaa8d4d45fdc81c2143d868030e01628a8376ff"/>
    <w:p>
      <w:pPr>
        <w:pStyle w:val="Heading2"/>
      </w:pPr>
      <w:r>
        <w:t xml:space="preserve">Slide 48 — Worked example: GV.RM-02 — what the evidence shows</w:t>
      </w:r>
    </w:p>
    <w:p>
      <w:pPr>
        <w:pStyle w:val="FirstParagraph"/>
      </w:pPr>
      <w:r>
        <w:t xml:space="preserve">[WORKED EXAMPLE · about 4 minutes]</w:t>
      </w:r>
    </w:p>
    <w:p>
      <w:pPr>
        <w:pStyle w:val="BodyText"/>
      </w:pPr>
      <w:r>
        <w:t xml:space="preserve">Let’s do one properly, end to end. GV.RM-02: risk appetite and risk tolerance statements are established, communicated and maintained.</w:t>
      </w:r>
    </w:p>
    <w:p>
      <w:pPr>
        <w:pStyle w:val="BodyText"/>
      </w:pPr>
      <w:r>
        <w:t xml:space="preserve">Established: there is no statement in the pack. And the client’s own Q1 steering committee pack, D07 page 24, says risk management still needs to be</w:t>
      </w:r>
      <w:r>
        <w:t xml:space="preserve"> </w:t>
      </w:r>
      <w:r>
        <w:t xml:space="preserve">“</w:t>
      </w:r>
      <w:r>
        <w:t xml:space="preserve">formally established to align risk appetite</w:t>
      </w:r>
      <w:r>
        <w:t xml:space="preserve">”</w:t>
      </w:r>
      <w:r>
        <w:t xml:space="preserve">. When the client’s own document tells you it isn’t done, believe it.</w:t>
      </w:r>
    </w:p>
    <w:p>
      <w:pPr>
        <w:pStyle w:val="BodyText"/>
      </w:pPr>
      <w:r>
        <w:t xml:space="preserve">Who’s meant to set it? Two bodies: the GTRC, on behalf of the Board, and the ISMC. That’s a governance question in itself.</w:t>
      </w:r>
    </w:p>
    <w:p>
      <w:pPr>
        <w:pStyle w:val="BodyText"/>
      </w:pPr>
      <w:r>
        <w:t xml:space="preserve">Tolerances: here’s the good news. The risk grid has impact bands in US dollars, and most headline risks have KRI thresholds. That is Herman’s</w:t>
      </w:r>
      <w:r>
        <w:t xml:space="preserve"> </w:t>
      </w:r>
      <w:r>
        <w:t xml:space="preserve">“</w:t>
      </w:r>
      <w:r>
        <w:t xml:space="preserve">red below ninety percent</w:t>
      </w:r>
      <w:r>
        <w:t xml:space="preserve">”</w:t>
      </w:r>
      <w:r>
        <w:t xml:space="preserve"> </w:t>
      </w:r>
      <w:r>
        <w:t xml:space="preserve">in another organisation. But two risks have no KRI at all, and one is</w:t>
      </w:r>
      <w:r>
        <w:t xml:space="preserve"> </w:t>
      </w:r>
      <w:r>
        <w:t xml:space="preserve">“</w:t>
      </w:r>
      <w:r>
        <w:t xml:space="preserve">to be defined</w:t>
      </w:r>
      <w:r>
        <w:t xml:space="preserve">”</w:t>
      </w:r>
      <w:r>
        <w:t xml:space="preserve">.</w:t>
      </w:r>
    </w:p>
    <w:p>
      <w:pPr>
        <w:pStyle w:val="BodyText"/>
      </w:pPr>
      <w:r>
        <w:t xml:space="preserve">Communicated: nothing outside the steering committee packs.</w:t>
      </w:r>
    </w:p>
    <w:p>
      <w:pPr>
        <w:pStyle w:val="BodyText"/>
      </w:pPr>
      <w:r>
        <w:t xml:space="preserve">Maintained: the KRIs in the Q1 2025 pack are still labelled Q3 2024. Were they reviewed, or relabelled?</w:t>
      </w:r>
    </w:p>
    <w:p>
      <w:pPr>
        <w:pStyle w:val="BodyText"/>
      </w:pPr>
      <w:r>
        <w:t xml:space="preserve">And acceptance: D06 gives four different answers to who accepts a risk. Compare Herman: escalate to the committee, compensating controls, formal acceptance. One path.</w:t>
      </w:r>
    </w:p>
    <w:bookmarkEnd w:id="62"/>
    <w:bookmarkStart w:id="63" w:name="X9dd70962d4032694114e26bffb01efa594bbf57"/>
    <w:p>
      <w:pPr>
        <w:pStyle w:val="Heading2"/>
      </w:pPr>
      <w:r>
        <w:t xml:space="preserve">Slide 49 — Worked example: the verdict and the RFI</w:t>
      </w:r>
    </w:p>
    <w:p>
      <w:pPr>
        <w:pStyle w:val="FirstParagraph"/>
      </w:pPr>
      <w:r>
        <w:t xml:space="preserve">So the verdict. Not met — or, if you’re being generous, unable to conclude until they produce a statement. I’d write Not met, because the client’s own document says it isn’t established.</w:t>
      </w:r>
    </w:p>
    <w:p>
      <w:pPr>
        <w:pStyle w:val="BodyText"/>
      </w:pPr>
      <w:r>
        <w:t xml:space="preserve">Notice the shape of the justification: what the evidence shows, with document and page; then what it doesn’t show. Two to four sentences. That’s what I want in your homework, and in the midterm.</w:t>
      </w:r>
    </w:p>
    <w:p>
      <w:pPr>
        <w:pStyle w:val="BodyText"/>
      </w:pPr>
      <w:r>
        <w:t xml:space="preserve">And the outstanding RFI: the statement and the minute approving it; who sets it and who accepts risk; the enterprise methodology that two documents cite but nobody sent; and KRIs for the risks that have none.</w:t>
      </w:r>
    </w:p>
    <w:p>
      <w:pPr>
        <w:pStyle w:val="BodyText"/>
      </w:pPr>
      <w:r>
        <w:t xml:space="preserve">That’s one done. The other four are yours.</w:t>
      </w:r>
    </w:p>
    <w:bookmarkEnd w:id="63"/>
    <w:bookmarkStart w:id="64" w:name="X07763f8ec10f5b121ad5993d50c81994c8cda5b"/>
    <w:p>
      <w:pPr>
        <w:pStyle w:val="Heading2"/>
      </w:pPr>
      <w:r>
        <w:t xml:space="preserve">Slide 50 — 3 · GV.PO-02: Policy is reviewed, updated, communicated and enforced as things change</w:t>
      </w:r>
    </w:p>
    <w:p>
      <w:pPr>
        <w:pStyle w:val="FirstParagraph"/>
      </w:pPr>
      <w:r>
        <w:t xml:space="preserve">[MODULE 3 WALKTHROUGH · about 3 minutes]</w:t>
      </w:r>
    </w:p>
    <w:p>
      <w:pPr>
        <w:pStyle w:val="BodyText"/>
      </w:pPr>
      <w:r>
        <w:t xml:space="preserve">Control three, GV.PO-02: policy is reviewed, updated, communicated and enforced to reflect changes. Four verbs. Reviewed and updated you can see in document histories. Communicated and enforced need different evidence: attestations, an exceptions log, violation records.</w:t>
      </w:r>
    </w:p>
    <w:p>
      <w:pPr>
        <w:pStyle w:val="BodyText"/>
      </w:pPr>
      <w:r>
        <w:t xml:space="preserve">In the pack: the document history on page two of D04, and of D02 — which hasn’t moved since 2021. And one good example: the AI Usage Policy, written in 2025 because of GenAI risk. That’s policy following threats and technology.</w:t>
      </w:r>
    </w:p>
    <w:p>
      <w:pPr>
        <w:pStyle w:val="BodyText"/>
      </w:pPr>
      <w:r>
        <w:t xml:space="preserve">Watch the version numbers on D04, and the next review dates.</w:t>
      </w:r>
    </w:p>
    <w:bookmarkEnd w:id="64"/>
    <w:bookmarkStart w:id="65" w:name="Xeb25e2b7e7193d5e1664ba51d2eedcee3cf3425"/>
    <w:p>
      <w:pPr>
        <w:pStyle w:val="Heading2"/>
      </w:pPr>
      <w:r>
        <w:t xml:space="preserve">Slide 51 — 4 · GV.OV-01: Strategy outcomes are reviewed to inform and adjust strategy and direction</w:t>
      </w:r>
    </w:p>
    <w:p>
      <w:pPr>
        <w:pStyle w:val="FirstParagraph"/>
      </w:pPr>
      <w:r>
        <w:t xml:space="preserve">[MODULE 3 WALKTHROUGH · about 3 minutes]</w:t>
      </w:r>
    </w:p>
    <w:p>
      <w:pPr>
        <w:pStyle w:val="BodyText"/>
      </w:pPr>
      <w:r>
        <w:t xml:space="preserve">Control four, GV.OV-01: strategy outcomes are reviewed to inform and adjust strategy. Reviewing isn’t enough; something has to change. Ask for the strategy, the minutes, the Board reporting, and one example where a review changed direction.</w:t>
      </w:r>
    </w:p>
    <w:p>
      <w:pPr>
        <w:pStyle w:val="BodyText"/>
      </w:pPr>
      <w:r>
        <w:t xml:space="preserve">In the pack: four quarterly steering committee packs. And D09 pages 20 to 22, which link every headline risk to an initiative, a target risk level and a budget. On paper, that’s strategy being adjusted.</w:t>
      </w:r>
    </w:p>
    <w:p>
      <w:pPr>
        <w:pStyle w:val="BodyText"/>
      </w:pPr>
      <w:r>
        <w:t xml:space="preserve">Watch for: these are pre-reads. There are no minutes anywhere in the pack, so who decided?</w:t>
      </w:r>
    </w:p>
    <w:bookmarkEnd w:id="65"/>
    <w:bookmarkStart w:id="66" w:name="X3a5dedb00a0a7a3ee705995df8141a38acc1523"/>
    <w:p>
      <w:pPr>
        <w:pStyle w:val="Heading2"/>
      </w:pPr>
      <w:r>
        <w:t xml:space="preserve">Slide 52 — 5 · GV.SC-07: Supplier risks are understood, recorded, prioritized, assessed, responded to and monitored</w:t>
      </w:r>
    </w:p>
    <w:p>
      <w:pPr>
        <w:pStyle w:val="FirstParagraph"/>
      </w:pPr>
      <w:r>
        <w:t xml:space="preserve">[MODULE 3 WALKTHROUGH · about 3 minutes]</w:t>
      </w:r>
    </w:p>
    <w:p>
      <w:pPr>
        <w:pStyle w:val="BodyText"/>
      </w:pPr>
      <w:r>
        <w:t xml:space="preserve">Control five, GV.SC-07, the one we read verb by verb in Module 2. Six verbs, six requests: register, method, assessments, tiering, remediation, monitoring.</w:t>
      </w:r>
    </w:p>
    <w:p>
      <w:pPr>
        <w:pStyle w:val="BodyText"/>
      </w:pPr>
      <w:r>
        <w:t xml:space="preserve">In the pack: the supplier policy in D04, the supplier security assessment on D09 page 15, and the supply-chain risk in the risk grid.</w:t>
      </w:r>
    </w:p>
    <w:p>
      <w:pPr>
        <w:pStyle w:val="BodyText"/>
      </w:pPr>
      <w:r>
        <w:t xml:space="preserve">Watch for: look at who was assessed. Then look at D16, the tool list — the MSSP, the cloud, the security vendors. Were they in the 29?</w:t>
      </w:r>
    </w:p>
    <w:bookmarkEnd w:id="66"/>
    <w:bookmarkStart w:id="67" w:name="slide-53-your-turn-the-other-four"/>
    <w:p>
      <w:pPr>
        <w:pStyle w:val="Heading2"/>
      </w:pPr>
      <w:r>
        <w:t xml:space="preserve">Slide 53 — Your turn: the other four</w:t>
      </w:r>
    </w:p>
    <w:p>
      <w:pPr>
        <w:pStyle w:val="FirstParagraph"/>
      </w:pPr>
      <w:r>
        <w:t xml:space="preserve">[PUBLISH THE XYZ-TS PACK ON CANVAS NOW.]</w:t>
      </w:r>
    </w:p>
    <w:p>
      <w:pPr>
        <w:pStyle w:val="BodyText"/>
      </w:pPr>
      <w:r>
        <w:t xml:space="preserve">Your turn. In your groups, take one of the other four controls, so every control is covered by at least one group. Five minutes to draft the RFI first, then open the pack and find the evidence. At 21:30, each group gives me its verdict in one sentence, and we review together until 21:45.</w:t>
      </w:r>
    </w:p>
    <w:p>
      <w:pPr>
        <w:pStyle w:val="BodyText"/>
      </w:pPr>
      <w:r>
        <w:t xml:space="preserve">[LIKELY QUESTIONS AND ANSWERS:</w:t>
      </w:r>
      <w:r>
        <w:t xml:space="preserve"> </w:t>
      </w:r>
      <w:r>
        <w:t xml:space="preserve">— Who is accountable — ISMC, CSSC or GTRC? Exactly the question. Only the ISMC has a charter in the pack; the GTRC’s is a slide (D09) still being amended (D10).</w:t>
      </w:r>
      <w:r>
        <w:t xml:space="preserve"> </w:t>
      </w:r>
      <w:r>
        <w:t xml:space="preserve">— D03: title says</w:t>
      </w:r>
      <w:r>
        <w:t xml:space="preserve"> </w:t>
      </w:r>
      <w:r>
        <w:t xml:space="preserve">“</w:t>
      </w:r>
      <w:r>
        <w:t xml:space="preserve">Management Committee</w:t>
      </w:r>
      <w:r>
        <w:t xml:space="preserve">”</w:t>
      </w:r>
      <w:r>
        <w:t xml:space="preserve">, purpose says</w:t>
      </w:r>
      <w:r>
        <w:t xml:space="preserve"> </w:t>
      </w:r>
      <w:r>
        <w:t xml:space="preserve">“</w:t>
      </w:r>
      <w:r>
        <w:t xml:space="preserve">Steering Committee</w:t>
      </w:r>
      <w:r>
        <w:t xml:space="preserve">”</w:t>
      </w:r>
      <w:r>
        <w:t xml:space="preserve">; footer v1.0, table v2.0; next review Mar 2025 = release date.</w:t>
      </w:r>
      <w:r>
        <w:t xml:space="preserve"> </w:t>
      </w:r>
      <w:r>
        <w:t xml:space="preserve">— D04 says 1.1 on the cover, 1.2 in the footers, 2.0 in the table. Which is in force? Ask.</w:t>
      </w:r>
      <w:r>
        <w:t xml:space="preserve"> </w:t>
      </w:r>
      <w:r>
        <w:t xml:space="preserve">— D02 is still v1.0 from 2021 and cites ISO 27001:2013.</w:t>
      </w:r>
      <w:r>
        <w:t xml:space="preserve"> </w:t>
      </w:r>
      <w:r>
        <w:t xml:space="preserve">— D09 pp20–22: risks linked to initiatives and budgets. Strategy adjusted? On paper. Who approved? No minutes.</w:t>
      </w:r>
      <w:r>
        <w:t xml:space="preserve"> </w:t>
      </w:r>
      <w:r>
        <w:t xml:space="preserve">— D09 p15: the 29 suppliers look like garment suppliers. Where are the IT providers in D16?</w:t>
      </w:r>
      <w:r>
        <w:t xml:space="preserve"> </w:t>
      </w:r>
      <w:r>
        <w:t xml:space="preserve">— D10 p25: about 19% awareness completion. Culture?</w:t>
      </w:r>
      <w:r>
        <w:t xml:space="preserve"> </w:t>
      </w:r>
      <w:r>
        <w:t xml:space="preserve">Model results: GV.RR-01 Partially met · GV.PO-02 Partially met · GV.OV-01 Partially met · GV.SC-07 Partially met.]</w:t>
      </w:r>
    </w:p>
    <w:bookmarkEnd w:id="67"/>
    <w:bookmarkStart w:id="68" w:name="X98aa4b8891b2c53c9fe15afe98a2ef3483be9eb"/>
    <w:p>
      <w:pPr>
        <w:pStyle w:val="Heading2"/>
      </w:pPr>
      <w:r>
        <w:t xml:space="preserve">Slide 54 — What the client sent — and what it did not</w:t>
      </w:r>
    </w:p>
    <w:p>
      <w:pPr>
        <w:pStyle w:val="FirstParagraph"/>
      </w:pPr>
      <w:r>
        <w:t xml:space="preserve">Here’s what the client actually sent, mapped to the five outcomes. Compare with your lists.</w:t>
      </w:r>
    </w:p>
    <w:p>
      <w:pPr>
        <w:pStyle w:val="BodyText"/>
      </w:pPr>
      <w:r>
        <w:t xml:space="preserve">Three things to notice.</w:t>
      </w:r>
    </w:p>
    <w:p>
      <w:pPr>
        <w:pStyle w:val="BodyText"/>
      </w:pPr>
      <w:r>
        <w:t xml:space="preserve">First, the strongest evidence is the quarterly steering committee pack, D07 to D10. Four quarters of KPIs, incidents, a risk grid, KRIs. It carries four of the five outcomes. When one source carries that much, read it carefully: it’s a pre-read. Who attended? What was decided?</w:t>
      </w:r>
    </w:p>
    <w:p>
      <w:pPr>
        <w:pStyle w:val="BodyText"/>
      </w:pPr>
      <w:r>
        <w:t xml:space="preserve">Second, the red column. No minutes for any committee. No risk appetite statement. No policy register. No supplier register. That’s realistic, and those stay on your RFI.</w:t>
      </w:r>
    </w:p>
    <w:p>
      <w:pPr>
        <w:pStyle w:val="BodyText"/>
      </w:pPr>
      <w:r>
        <w:t xml:space="preserve">Third, sixteen documents and only about half of them matter for Govern. The HR procedure, the physical security procedure, the IT usage policy, the asset procedure, the tool list: they’re real controls, but they’re Protect and Identify, not Govern. In the midterm, citing irrelevant evidence costs you marks.</w:t>
      </w:r>
    </w:p>
    <w:bookmarkEnd w:id="68"/>
    <w:bookmarkStart w:id="69" w:name="Xc74ccf97336014bdc4ada995f00ba98440b1f7e"/>
    <w:p>
      <w:pPr>
        <w:pStyle w:val="Heading2"/>
      </w:pPr>
      <w:r>
        <w:t xml:space="preserve">Slide 55 — Homework: the four other outcomes</w:t>
      </w:r>
    </w:p>
    <w:p>
      <w:pPr>
        <w:pStyle w:val="FirstParagraph"/>
      </w:pPr>
      <w:r>
        <w:t xml:space="preserve">Time’s up. The rest is homework, same groups, due before next week’s class.</w:t>
      </w:r>
    </w:p>
    <w:p>
      <w:pPr>
        <w:pStyle w:val="BodyText"/>
      </w:pPr>
      <w:r>
        <w:t xml:space="preserve">For each outcome, three things. One: the evidence, with D-numbers and pages, and only what’s relevant. Two: your result on the simple scale, Met, Partially met, Not met, or Unable to conclude, with a justification that goes verb by verb. Three: your outstanding RFI.</w:t>
      </w:r>
    </w:p>
    <w:p>
      <w:pPr>
        <w:pStyle w:val="BodyText"/>
      </w:pPr>
      <w:r>
        <w:t xml:space="preserve">It’s Part B of the worksheet, in the Excel template. One file per group on Canvas before the Week 7 class.</w:t>
      </w:r>
    </w:p>
    <w:p>
      <w:pPr>
        <w:pStyle w:val="BodyText"/>
      </w:pPr>
      <w:r>
        <w:t xml:space="preserve">And this is exactly the midterm skill: evidence-based justification and RFI drafting. Treat it as practice.</w:t>
      </w:r>
    </w:p>
    <w:bookmarkEnd w:id="69"/>
    <w:bookmarkStart w:id="70" w:name="slide-56-next-week-the-midterm"/>
    <w:p>
      <w:pPr>
        <w:pStyle w:val="Heading2"/>
      </w:pPr>
      <w:r>
        <w:t xml:space="preserve">Slide 56 — Next week: the midterm</w:t>
      </w:r>
    </w:p>
    <w:p>
      <w:pPr>
        <w:pStyle w:val="FirstParagraph"/>
      </w:pPr>
      <w:r>
        <w:t xml:space="preserve">To close. Thank you again to Herman.</w:t>
      </w:r>
    </w:p>
    <w:p>
      <w:pPr>
        <w:pStyle w:val="BodyText"/>
      </w:pPr>
      <w:r>
        <w:t xml:space="preserve">Next week is the midterm, covering Weeks 1 to 6: multiple choice, evidence-based justification, and RFI drafting. Exactly what you practised tonight and last week. Submit your group homework before class; the model answer comes out after the deadline, in time to revise.</w:t>
      </w:r>
    </w:p>
    <w:p>
      <w:pPr>
        <w:pStyle w:val="BodyText"/>
      </w:pPr>
      <w:r>
        <w:t xml:space="preserve">Good night, everyone.</w:t>
      </w:r>
    </w:p>
    <w:bookmarkEnd w:id="70"/>
    <w:bookmarkStart w:id="71" w:name="slide-57-thank-you"/>
    <w:p>
      <w:pPr>
        <w:pStyle w:val="Heading2"/>
      </w:pPr>
      <w:r>
        <w:t xml:space="preserve">Slide 57 — Thank you</w:t>
      </w:r>
    </w:p>
    <w:p>
      <w:pPr>
        <w:pStyle w:val="FirstParagraph"/>
      </w:pPr>
      <w:r>
        <w:t xml:space="preserve">[No script — move on.]</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2026-10-07T11:28:24Z</dcterms:created>
  <dcterms:modified xsi:type="dcterms:W3CDTF">2026-10-07T11:28:24Z</dcterms:modified>
</cp:coreProperties>
</file>

<file path=docProps/custom.xml><?xml version="1.0" encoding="utf-8"?>
<Properties xmlns="http://schemas.openxmlformats.org/officeDocument/2006/custom-properties" xmlns:vt="http://schemas.openxmlformats.org/officeDocument/2006/docPropsVTypes"/>
</file>