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Bank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Hypothecation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การจำนำที่ไม่เกี่ยวข้องกับการครอบครองหรือการโอนกรรมสิทธิ์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การจำนำทรัพย์สินใด ๆ เพื่อเป็นค้ำประกัน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การจำนำหลักทรัพย์ในความต้องการของตลาดหรือเงินฝากเพื่อค้ำประกันเงินกู้ โดยเฉพาะอย่างยิ่งการจำนำหลักทรัพย์ในความต้องการของตลาดหรือเงินฝากที่เป็นของบุคคลอื่นที่ไม่ใช่ผู้ยืม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OTC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การซื้อขายหลักทรัพย์นอกตลาดหลักทรัพย์ คือการซื้อขายแบบไม่เป็นทางการ ผ่านการเจรจาต่อรองกันทางโทรศัพท์ ไม่ได้กำหนดช่วงเวลาการติดต่อซื้อขายที่แน่นอนและไม่มีศูนย์กลางการจับคู่ซื้อขาย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Affiliate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องค์กรธุรกิจที่แบ่งปันความเป็นเจ้าของหรือการควบคุมร่วมกันกับองค์กรธุรกิจอื่น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P &amp; I (Principal and interest) </w:t>
      </w:r>
      <w:r w:rsidDel="00000000" w:rsidR="00000000" w:rsidRPr="00000000">
        <w:rPr>
          <w:color w:val="333333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เงินต้นและดอกเบี้ยเงินกู้ ผู้กู้ต้องชําระเงินต้นและดอกเบี้ยตามกําหนดเวลาที่ตกลงกันไว้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Maturity date </w:t>
      </w:r>
      <w:r w:rsidDel="00000000" w:rsidR="00000000" w:rsidRPr="00000000">
        <w:rPr>
          <w:color w:val="333333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วันที่ระยะเวลาตามสัญญาของเครื่องมือทางการเงินหมดอายุ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Solvency :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เงื่อนไขการมีเงินเพียงพอที่จะชดเชยการขาดทุน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 ในระยะสั้นเป็นการแสดงสภาพคล่อง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SolveAPR (Annual Percentage Rate) :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อัตราดอกเบี้ยที่คุณจ่ายในแต่ละปีสำหรับเงินกู้ บัตรเครดิต หรือ วงเงินสินเชื่อนอื่นๆ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ACH (Automated Clearing House) :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สำนักหักบัญชีอัตโนมัติ (ACH) เป็นเครือข่ายที่ปลอดภัยที่ใช้เชื่อมต่อระหว่างธนาคาร ผ่านเครือข่ายนี้ที่ดำเนินการฝากโดยตรง ชำระเงินทางอิเล็กทรอนิกส์โอนเงิน และ ชำระเงินผ่านบัตรเดบิต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b w:val="1"/>
          <w:color w:val="333333"/>
          <w:rtl w:val="0"/>
        </w:rPr>
        <w:t xml:space="preserve">Front-end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 : ค่าธรรมเนียมขายหน่วยลงทุน เก็บตอนเราซื้อ (กองทุนขายหน่วยลงทุนให้เรา)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b w:val="1"/>
          <w:color w:val="333333"/>
          <w:rtl w:val="0"/>
        </w:rPr>
        <w:t xml:space="preserve">Back-end</w:t>
      </w:r>
      <w:r w:rsidDel="00000000" w:rsidR="00000000" w:rsidRPr="00000000">
        <w:rPr>
          <w:color w:val="333333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ค่าธรรมเนียมซื้อคืนหน่วยลงทุน เก็บตอนเราขาย (กองทุนซื้อหน่วยลงทุนคืนจากเรา)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Healthcare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Annual limit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เกณฑ์จำกัดค่าใช้จ่ายที่บริษัทประกันจะจ่ายให้ในรอบปี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Chronic disease management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การดูแลผู้ป่วยเรื้อรังโดยมีการ ตรวจ คัดกรอง การเฝ้าระวัง การประสานการรักษา และ ศึกษาผู้ป่วย สามารถลดค่ารักษาให้กับผู้ป่วยที่โรคเรื้อรัง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Cost Sharing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ค่าใช้จ่ายที่บริษัทประกันจ่ายให้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Durable medical equipment (DME)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อุปกรณ์ที่ถูกจ่ายให้จากผู้ให้การรักษา เพื่อให้ผู้รับบริการใช้งานในทุกๆวัน หรือใช้งานเป็นระยะเวลานาน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Federal poverty level (FPL)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หน่วยวัดที่แสดงถึงความฐานะโดยวัดจากรายรับของแต่ละครอบครัว จัดทำโดย Department of Health and Human services (HHS)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Specialist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แพทย์เฉพาะทาง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Net rental income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รายได้จากการให้เช่ายืมทรัพย์สิน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Network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สิ่งอำนวยความสะดวก ผู้ให้บริการประกันสุขภาพหรือแผนประกันสุขภาพ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COBRA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เป็นกฎหมายที่ควบคุมโดยรัฐบาลกลางและกระทรวงแรงงานของสหรัฐอเมริกา การมีประกัน COBRA หมายความว่าคุณและครอบครัวของคุณได้รับอนุญาตให้อยู่ในแผนสุขภาพกลุ่มนายจ้างของคุณในระยะเวลาที่ จำกัด หลังจากการจ้างงานของคุณสิ้นสุดลงหรือเปลี่ยนแปลง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Drug list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ยาเฉพาะทางที่ต้องใช้ใบสั่งยาจากแพทย์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Hotel and Lodging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Benchmarking :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วิธีการเปรียบเทียบกับคู่แข่ง โดยอาจเป็นการเปรียบเทียบถึงผลิตภัณฑ์หรือว่าบริการ คุณภาพ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2"/>
        </w:numPr>
        <w:pBdr>
          <w:bottom w:color="auto" w:space="0" w:sz="0" w:val="none"/>
        </w:pBdr>
        <w:shd w:fill="ffffff" w:val="clear"/>
        <w:spacing w:after="0" w:afterAutospacing="0" w:before="0" w:lineRule="auto"/>
        <w:ind w:left="720" w:hanging="360"/>
        <w:rPr>
          <w:sz w:val="22"/>
          <w:szCs w:val="22"/>
          <w:highlight w:val="white"/>
        </w:rPr>
      </w:pPr>
      <w:bookmarkStart w:colFirst="0" w:colLast="0" w:name="_p1i0syrphd9k" w:id="0"/>
      <w:bookmarkEnd w:id="0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Capital Expenditure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รายจ่ายฝ่ายทุนรู้จักในชื่อ Capex หมายถึงต้นทุนการปรับปรุงทุนทั้งหมดของการเป็นเจ้าของโรงแรมตลอดช่วงอายุของสินทรัพย์ ซึ่งรวมถึงต้นทุนฝ่ายทุนที่ยืดอายุทางเศรษฐกิจของสินทรัพย์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numPr>
          <w:ilvl w:val="0"/>
          <w:numId w:val="2"/>
        </w:numPr>
        <w:pBdr>
          <w:bottom w:color="auto" w:space="0" w:sz="0" w:val="none"/>
        </w:pBdr>
        <w:shd w:fill="ffffff" w:val="clear"/>
        <w:spacing w:after="0" w:afterAutospacing="0" w:before="0" w:lineRule="auto"/>
        <w:ind w:left="720" w:hanging="360"/>
        <w:rPr>
          <w:sz w:val="22"/>
          <w:szCs w:val="22"/>
          <w:highlight w:val="white"/>
        </w:rPr>
      </w:pPr>
      <w:bookmarkStart w:colFirst="0" w:colLast="0" w:name="_1qcoviohcj0b" w:id="1"/>
      <w:bookmarkEnd w:id="1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Mattress Run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2"/>
          <w:szCs w:val="22"/>
          <w:shd w:fill="f8f9fa" w:val="clear"/>
          <w:rtl w:val="0"/>
        </w:rPr>
        <w:t xml:space="preserve">นักเดินทางที่เข้าพักหลายคืนเพื่อสะสมคะแนนสำหรับโปรแกรมการเข้าพักบ่อยครั้งเฉพาะสำหรับเครือโรงแรมนั้น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Amenity: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รายการหรือบริการฟรีที่ทางโรงแรมจัดให้สำหรับแขกหรือกลุ่ม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Blocked: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ห้องพักในโรงแรมที่จองไว้โดยไม่ต้องวางเงินมัดจำ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2"/>
        </w:numPr>
        <w:pBdr>
          <w:bottom w:color="auto" w:space="0" w:sz="0" w:val="none"/>
        </w:pBdr>
        <w:shd w:fill="ffffff" w:val="clear"/>
        <w:spacing w:after="0" w:afterAutospacing="0" w:before="0" w:lineRule="auto"/>
        <w:ind w:left="720" w:hanging="360"/>
        <w:rPr>
          <w:sz w:val="20"/>
          <w:szCs w:val="20"/>
        </w:rPr>
      </w:pPr>
      <w:bookmarkStart w:colFirst="0" w:colLast="0" w:name="_oaz15k2a7w2e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Destination Management Company (DMC) 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เป็นบริษัทที่ให้บริการ ทรัพยากร และความเชี่ยวชาญเฉพาะด้านความรู้ในท้องถิ่นสำหรับกิจกรรมและทัวร์สำหรับบริษัทอื่นๆ บริการเหล่านี้อาจรวมถึงการขนส่ง งานกาล่าดินเนอร์ การวางแผนกิจกรรมและการทัศนศึกษา ร้านอาหาร สถานที่จัดประชุม กฎหมายท้องถิ่น ที่พักโรงแรม การประชุม และการขนส่ง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Shoulder Season: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hd w:fill="f8f9fa" w:val="clear"/>
          <w:rtl w:val="0"/>
        </w:rPr>
        <w:t xml:space="preserve">ช่วงเวลาระหว่างไฮซีซั่นและโลว์ซีซั่น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highlight w:val="white"/>
          <w:rtl w:val="0"/>
        </w:rPr>
        <w:t xml:space="preserve">Quin 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hd w:fill="f8f9fa" w:val="clear"/>
          <w:rtl w:val="0"/>
        </w:rPr>
        <w:t xml:space="preserve">หมายถึงห้องพักในโรงแรมที่สามารถรองรับได้ห้าคน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Rack Rate :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hd w:fill="f8f9fa" w:val="clear"/>
          <w:rtl w:val="0"/>
        </w:rPr>
        <w:t xml:space="preserve">ราคาเดิมของห้องพักในโรงแรมก่อนที่จะใช้ส่วนลดหรือราคาโปรโมชั่นใดๆ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RevPar :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hd w:fill="f8f9fa" w:val="clear"/>
          <w:rtl w:val="0"/>
        </w:rPr>
        <w:t xml:space="preserve">รายได้ต่อห้องว่างคำนวณจากจำนวนห้องที่สามารถขายในโรงแรมได้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