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Спецификация услуг и тарифов (Сложная таблица)</w:t>
      </w:r>
    </w:p>
    <w:p>
      <w:r>
        <w:t>Ниже представлена таблица тарификации с вертикальными и горизонтальными объединениями ячеек: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Категория</w:t>
            </w:r>
          </w:p>
        </w:tc>
        <w:tc>
          <w:tcPr>
            <w:tcW w:type="dxa" w:w="2160"/>
          </w:tcPr>
          <w:p>
            <w:r>
              <w:t>Услуга</w:t>
            </w:r>
          </w:p>
        </w:tc>
        <w:tc>
          <w:tcPr>
            <w:tcW w:type="dxa" w:w="4320"/>
            <w:gridSpan w:val="2"/>
          </w:tcPr>
          <w:p>
            <w:r>
              <w:t>Условия и Лимиты</w:t>
            </w:r>
          </w:p>
        </w:tc>
      </w:tr>
      <w:tr>
        <w:tc>
          <w:tcPr>
            <w:tcW w:type="dxa" w:w="2160"/>
          </w:tcPr>
          <w:p>
            <w:r>
              <w:t>Категория</w:t>
            </w:r>
          </w:p>
        </w:tc>
        <w:tc>
          <w:tcPr>
            <w:tcW w:type="dxa" w:w="2160"/>
          </w:tcPr>
          <w:p>
            <w:r>
              <w:t>Услуга</w:t>
            </w:r>
          </w:p>
        </w:tc>
        <w:tc>
          <w:tcPr>
            <w:tcW w:type="dxa" w:w="2160"/>
          </w:tcPr>
          <w:p>
            <w:r>
              <w:t>SLA (время реакции)</w:t>
            </w:r>
          </w:p>
        </w:tc>
        <w:tc>
          <w:tcPr>
            <w:tcW w:type="dxa" w:w="2160"/>
          </w:tcPr>
          <w:p>
            <w:r>
              <w:t>Стоимость / мес</w:t>
            </w:r>
          </w:p>
        </w:tc>
      </w:tr>
      <w:tr>
        <w:tc>
          <w:tcPr>
            <w:tcW w:type="dxa" w:w="2160"/>
            <w:vMerge w:val="restart"/>
          </w:tcPr>
          <w:p>
            <w:r>
              <w:t>Инфраструктура</w:t>
            </w:r>
          </w:p>
          <w:p>
            <w:r>
              <w:t>Инфраструктура</w:t>
            </w:r>
          </w:p>
        </w:tc>
        <w:tc>
          <w:tcPr>
            <w:tcW w:type="dxa" w:w="2160"/>
          </w:tcPr>
          <w:p>
            <w:r>
              <w:t>Аренда выделенного сервера</w:t>
            </w:r>
          </w:p>
        </w:tc>
        <w:tc>
          <w:tcPr>
            <w:tcW w:type="dxa" w:w="2160"/>
          </w:tcPr>
          <w:p>
            <w:r>
              <w:t>До 15 минут</w:t>
            </w:r>
          </w:p>
        </w:tc>
        <w:tc>
          <w:tcPr>
            <w:tcW w:type="dxa" w:w="2160"/>
          </w:tcPr>
          <w:p>
            <w:r>
              <w:t>15 000 руб.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Облачное хранилище S3</w:t>
            </w:r>
          </w:p>
        </w:tc>
        <w:tc>
          <w:tcPr>
            <w:tcW w:type="dxa" w:w="2160"/>
          </w:tcPr>
          <w:p>
            <w:r>
              <w:t>До 1 часа</w:t>
            </w:r>
          </w:p>
        </w:tc>
        <w:tc>
          <w:tcPr>
            <w:tcW w:type="dxa" w:w="2160"/>
          </w:tcPr>
          <w:p>
            <w:r>
              <w:t>3 000 руб.</w:t>
            </w:r>
          </w:p>
        </w:tc>
      </w:tr>
      <w:tr>
        <w:tc>
          <w:tcPr>
            <w:tcW w:type="dxa" w:w="2160"/>
            <w:vMerge w:val="restart"/>
          </w:tcPr>
          <w:p>
            <w:r>
              <w:t>Безопасность</w:t>
            </w:r>
          </w:p>
          <w:p>
            <w:r>
              <w:t>Безопасность</w:t>
            </w:r>
          </w:p>
        </w:tc>
        <w:tc>
          <w:tcPr>
            <w:tcW w:type="dxa" w:w="2160"/>
          </w:tcPr>
          <w:p>
            <w:r>
              <w:t>DDoS защита L3-L7</w:t>
            </w:r>
          </w:p>
        </w:tc>
        <w:tc>
          <w:tcPr>
            <w:tcW w:type="dxa" w:w="2160"/>
          </w:tcPr>
          <w:p>
            <w:r>
              <w:t>Мгновенно (авто)</w:t>
            </w:r>
          </w:p>
        </w:tc>
        <w:tc>
          <w:tcPr>
            <w:tcW w:type="dxa" w:w="2160"/>
          </w:tcPr>
          <w:p>
            <w:r>
              <w:t>8 000 руб.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Аудит уязвимостей</w:t>
            </w:r>
          </w:p>
        </w:tc>
        <w:tc>
          <w:tcPr>
            <w:tcW w:type="dxa" w:w="2160"/>
          </w:tcPr>
          <w:p>
            <w:r>
              <w:t>1 рабочий день</w:t>
            </w:r>
          </w:p>
        </w:tc>
        <w:tc>
          <w:tcPr>
            <w:tcW w:type="dxa" w:w="2160"/>
          </w:tcPr>
          <w:p>
            <w:r>
              <w:t>25 000 руб.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