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B9" w:rsidRPr="006F24B9" w:rsidRDefault="006F24B9" w:rsidP="006F24B9">
      <w:pPr>
        <w:rPr>
          <w:rFonts w:ascii="Times New Roman" w:eastAsia="Times New Roman" w:hAnsi="Times New Roman" w:cs="Times New Roman"/>
          <w:sz w:val="40"/>
          <w:lang w:eastAsia="ru-RU"/>
        </w:rPr>
      </w:pPr>
      <w:r w:rsidRPr="006F24B9">
        <w:rPr>
          <w:rFonts w:ascii="Times New Roman" w:hAnsi="Times New Roman" w:cs="Times New Roman"/>
          <w:sz w:val="40"/>
        </w:rPr>
        <w:t xml:space="preserve">РКО - </w:t>
      </w:r>
      <w:r w:rsidRPr="006F24B9">
        <w:rPr>
          <w:rFonts w:ascii="Times New Roman" w:eastAsia="Times New Roman" w:hAnsi="Times New Roman" w:cs="Times New Roman"/>
          <w:sz w:val="40"/>
          <w:lang w:eastAsia="ru-RU"/>
        </w:rPr>
        <w:t>Расчетно-кассовое обслуживание</w:t>
      </w:r>
    </w:p>
    <w:p w:rsidR="006F24B9" w:rsidRPr="006F24B9" w:rsidRDefault="006F24B9" w:rsidP="006F24B9">
      <w:pPr>
        <w:spacing w:after="0" w:line="330" w:lineRule="atLeast"/>
        <w:rPr>
          <w:rFonts w:ascii="Times New Roman" w:eastAsia="Times New Roman" w:hAnsi="Times New Roman" w:cs="Times New Roman"/>
          <w:sz w:val="40"/>
          <w:lang w:eastAsia="ru-RU"/>
        </w:rPr>
      </w:pPr>
      <w:r w:rsidRPr="006F24B9">
        <w:rPr>
          <w:rFonts w:ascii="Times New Roman" w:eastAsia="Times New Roman" w:hAnsi="Times New Roman" w:cs="Times New Roman"/>
          <w:sz w:val="40"/>
          <w:lang w:eastAsia="ru-RU"/>
        </w:rPr>
        <w:t>представляет собой набор банковских услуг для ведения бизнеса, оно включает открытие расчетного счета в банке и проведение по нему различных операций: внесения и снятия наличных, выполнения платежей, переводов и пр. Для осуществления РКО заключается договор между банком и компанией или ИП.</w:t>
      </w:r>
      <w:bookmarkStart w:id="0" w:name="_GoBack"/>
      <w:bookmarkEnd w:id="0"/>
    </w:p>
    <w:p w:rsidR="006F24B9" w:rsidRPr="006F24B9" w:rsidRDefault="006F24B9" w:rsidP="006F24B9">
      <w:pPr>
        <w:spacing w:after="0" w:line="330" w:lineRule="atLeast"/>
        <w:rPr>
          <w:rFonts w:ascii="Times New Roman" w:eastAsia="Times New Roman" w:hAnsi="Times New Roman" w:cs="Times New Roman"/>
          <w:sz w:val="40"/>
          <w:lang w:eastAsia="ru-RU"/>
        </w:rPr>
      </w:pPr>
    </w:p>
    <w:p w:rsidR="006F24B9" w:rsidRPr="006F24B9" w:rsidRDefault="006F24B9" w:rsidP="006F24B9">
      <w:pPr>
        <w:rPr>
          <w:rFonts w:ascii="Times New Roman" w:eastAsia="Times New Roman" w:hAnsi="Times New Roman" w:cs="Times New Roman"/>
          <w:sz w:val="40"/>
          <w:lang w:eastAsia="ru-RU"/>
        </w:rPr>
      </w:pPr>
      <w:proofErr w:type="spellStart"/>
      <w:r w:rsidRPr="006F24B9">
        <w:rPr>
          <w:rFonts w:ascii="Times New Roman" w:eastAsia="Times New Roman" w:hAnsi="Times New Roman" w:cs="Times New Roman"/>
          <w:sz w:val="40"/>
          <w:lang w:eastAsia="ru-RU"/>
        </w:rPr>
        <w:t>Samoinkass</w:t>
      </w:r>
      <w:proofErr w:type="spellEnd"/>
      <w:r w:rsidRPr="006F24B9">
        <w:rPr>
          <w:rFonts w:ascii="Times New Roman" w:eastAsia="Times New Roman" w:hAnsi="Times New Roman" w:cs="Times New Roman"/>
          <w:sz w:val="40"/>
          <w:lang w:eastAsia="ru-RU"/>
        </w:rPr>
        <w:t xml:space="preserve"> - </w:t>
      </w:r>
      <w:proofErr w:type="spellStart"/>
      <w:r w:rsidRPr="006F24B9">
        <w:rPr>
          <w:rFonts w:ascii="Times New Roman" w:eastAsia="Times New Roman" w:hAnsi="Times New Roman" w:cs="Times New Roman"/>
          <w:sz w:val="40"/>
          <w:lang w:eastAsia="ru-RU"/>
        </w:rPr>
        <w:t>Самоинкассация</w:t>
      </w:r>
      <w:proofErr w:type="spellEnd"/>
      <w:r w:rsidRPr="006F24B9">
        <w:rPr>
          <w:rFonts w:ascii="Times New Roman" w:eastAsia="Times New Roman" w:hAnsi="Times New Roman" w:cs="Times New Roman"/>
          <w:sz w:val="40"/>
          <w:lang w:eastAsia="ru-RU"/>
        </w:rPr>
        <w:t xml:space="preserve"> – это способ внесения наличной выручки юридическим лицом или ИП на свой расчетный счет в УСБ посредством использования бизнес-карты и установленного для этой цели устройства </w:t>
      </w:r>
      <w:proofErr w:type="spellStart"/>
      <w:r w:rsidRPr="006F24B9">
        <w:rPr>
          <w:rFonts w:ascii="Times New Roman" w:eastAsia="Times New Roman" w:hAnsi="Times New Roman" w:cs="Times New Roman"/>
          <w:sz w:val="40"/>
          <w:lang w:eastAsia="ru-RU"/>
        </w:rPr>
        <w:t>самоинкассации</w:t>
      </w:r>
      <w:proofErr w:type="spellEnd"/>
      <w:r w:rsidRPr="006F24B9">
        <w:rPr>
          <w:rFonts w:ascii="Times New Roman" w:eastAsia="Times New Roman" w:hAnsi="Times New Roman" w:cs="Times New Roman"/>
          <w:sz w:val="40"/>
          <w:lang w:eastAsia="ru-RU"/>
        </w:rPr>
        <w:t xml:space="preserve"> – АДМ (автоматическая депозитная машина) в режиме 24/7.</w:t>
      </w:r>
    </w:p>
    <w:p w:rsidR="006F24B9" w:rsidRPr="006F24B9" w:rsidRDefault="006F24B9" w:rsidP="006F24B9">
      <w:pPr>
        <w:rPr>
          <w:rFonts w:ascii="Times New Roman" w:eastAsia="Times New Roman" w:hAnsi="Times New Roman" w:cs="Times New Roman"/>
          <w:sz w:val="40"/>
          <w:lang w:eastAsia="ru-RU"/>
        </w:rPr>
      </w:pPr>
    </w:p>
    <w:p w:rsidR="004D61AC" w:rsidRPr="006F24B9" w:rsidRDefault="006F24B9" w:rsidP="006F24B9">
      <w:pPr>
        <w:rPr>
          <w:rFonts w:ascii="Times New Roman" w:eastAsia="Times New Roman" w:hAnsi="Times New Roman" w:cs="Times New Roman"/>
          <w:sz w:val="40"/>
          <w:lang w:eastAsia="ru-RU"/>
        </w:rPr>
      </w:pPr>
      <w:r w:rsidRPr="006F24B9">
        <w:rPr>
          <w:rFonts w:ascii="Times New Roman" w:eastAsia="Times New Roman" w:hAnsi="Times New Roman" w:cs="Times New Roman"/>
          <w:sz w:val="40"/>
          <w:lang w:eastAsia="ru-RU"/>
        </w:rPr>
        <w:t>ОКВЭД – Общероссийский классификатор видов экономической деятельности, в котором каждому виду деятельности соответствует числовой код. Подавая заявление о регистрации, будущий индивидуальный предприниматель указывает в нём коды ОКВЭД и таким образом сообщает госорганам, чем будет заниматься. По кодам ОКВЭД виды деятельности делятся на классы, подклассы, группы, подгруппы и собственно виды.</w:t>
      </w:r>
    </w:p>
    <w:sectPr w:rsidR="004D61AC" w:rsidRPr="006F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AC"/>
    <w:rsid w:val="004D61AC"/>
    <w:rsid w:val="006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6DC2"/>
  <w15:chartTrackingRefBased/>
  <w15:docId w15:val="{2ED04EF8-3246-4FDB-A8D6-1B19F30D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3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2023-11-17T16:14:00Z</dcterms:created>
  <dcterms:modified xsi:type="dcterms:W3CDTF">2023-11-17T16:26:00Z</dcterms:modified>
</cp:coreProperties>
</file>