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t xml:space="preserve">pdf_options:</w:t>
      </w:r>
      <w:r>
        <w:br/>
        <w:t xml:space="preserve">  margin:</w:t>
      </w:r>
      <w:r>
        <w:br/>
        <w:t xml:space="preserve">    top: 30mm</w:t>
      </w:r>
      <w:r>
        <w:br/>
        <w:t xml:space="preserve">    bottom: 25mm</w:t>
      </w:r>
      <w:r>
        <w:br/>
        <w:t xml:space="preserve">    left: 22mm</w:t>
      </w:r>
      <w:r>
        <w:br/>
        <w:t xml:space="preserve">    right: 22mm</w:t>
      </w:r>
      <w:r>
        <w:br/>
        <w:t xml:space="preserve">  displayHeaderFooter: true</w:t>
      </w:r>
      <w:r>
        <w:br/>
        <w:t xml:space="preserve">  headerTemplate: "</w:t>
      </w:r>
      <w:r>
        <w:rPr>
          <w:rStyle w:val="MdTag"/>
        </w:rPr>
        <w:t xml:space="preserve">&lt;span&gt;</w:t>
      </w:r>
      <w:r>
        <w:rPr>
          <w:rStyle w:val="MdTag"/>
        </w:rPr>
        <w:t xml:space="preserve">&lt;/span&gt;</w:t>
      </w:r>
      <w:r>
        <w:t xml:space="preserve">"</w:t>
      </w:r>
      <w:r>
        <w:br/>
        <w:t xml:space="preserve">  footerTemplate: "</w:t>
      </w:r>
      <w:r>
        <w:rPr>
          <w:rStyle w:val="MdTag"/>
        </w:rPr>
        <w:t xml:space="preserve">&lt;div style='font-size:9px; color:#8a7e72; width:100%; text-align:center; padding:0 40px;'&gt;</w:t>
      </w:r>
      <w:r>
        <w:t xml:space="preserve">Familiar Guest — Product Feature Brief (Mexico) &amp;nbsp;&amp;nbsp;|&amp;nbsp;&amp;nbsp; Confidential</w:t>
      </w:r>
      <w:r>
        <w:rPr>
          <w:rStyle w:val="MdTag"/>
        </w:rPr>
        <w:t xml:space="preserve">&lt;/div&gt;</w:t>
      </w:r>
      <w:r>
        <w:t xml:space="preserve">"</w:t>
      </w:r>
    </w:p>
    <w:p>
      <w:pPr>
        <w:pStyle w:val="Heading2"/>
        <w:pStyle w:val="MdHeading2"/>
      </w:pPr>
      <w:r>
        <w:t xml:space="preserve">stylesheet: </w:t>
      </w:r>
      <w:hyperlink w:history="1" r:id="rIdj9vftqkckk0rhawtzaqft">
        <w:r>
          <w:rPr>
            <w:rStyle w:val="MdLink"/>
          </w:rPr>
          <w:t xml:space="preserve">https://fonts.googleapis.com/css2?family=Fraunces:opsz,wght@9..144,400;9..144,600;9..144,700&amp;family=Hanken+Grotesk:wght@300;400;500;600&amp;display=swap</w:t>
        </w:r>
      </w:hyperlink>
    </w:p>
    <w:p>
      <w:pPr>
        <w:pStyle w:val="MdHtml"/>
      </w:pPr>
      <w:r>
        <w:t xml:space="preserve">&lt;style&gt;</w:t>
      </w:r>
      <w:r>
        <w:br/>
        <w:t xml:space="preserve">  body { font-family: 'Hanken Grotesk', sans-serif; color: #2A241E; line-height: 1.6; font-size: 12.5px; }</w:t>
      </w:r>
      <w:r>
        <w:br/>
        <w:t xml:space="preserve">  h1, h2, h3, h4 { font-family: 'Fraunces', serif; color: #14543F; }</w:t>
      </w:r>
      <w:r>
        <w:br/>
        <w:t xml:space="preserve">  h1 { font-size: 29px; margin-bottom: 2px; }</w:t>
      </w:r>
      <w:r>
        <w:br/>
        <w:t xml:space="preserve">  h2 { font-size: 18px; border-bottom: 2px solid #E6DBCB; padding-bottom: 6px; margin-top: 26px; }</w:t>
      </w:r>
      <w:r>
        <w:br/>
        <w:t xml:space="preserve">  h3 { font-size: 14px; color: #C0673E; margin-top: 18px; margin-bottom: 6px; }</w:t>
      </w:r>
      <w:r>
        <w:br/>
        <w:t xml:space="preserve">  h4 { font-size: 13px; color: #14543F; margin-top: 12px; margin-bottom: 4px; }</w:t>
      </w:r>
      <w:r>
        <w:br/>
        <w:t xml:space="preserve">  table { font-size: 11px; border-collapse: collapse; width: 100%; margin: 12px 0; }</w:t>
      </w:r>
      <w:r>
        <w:br/>
        <w:t xml:space="preserve">  th { background-color: #14543F; color: white; padding: 7px 9px; text-align: left; font-weight: 500; }</w:t>
      </w:r>
      <w:r>
        <w:br/>
        <w:t xml:space="preserve">  td { padding: 6px 9px; border-bottom: 1px solid #E6DBCB; vertical-align: top; }</w:t>
      </w:r>
      <w:r>
        <w:br/>
        <w:t xml:space="preserve">  tr:nth-child(even) { background-color: #FBF6EE; }</w:t>
      </w:r>
      <w:r>
        <w:br/>
        <w:t xml:space="preserve">  .subtitle { font-size: 15px; color: #C0673E; font-weight: 500; margin-bottom: 18px; }</w:t>
      </w:r>
      <w:r>
        <w:br/>
        <w:t xml:space="preserve">  .lead { font-size: 13.5px; line-height: 1.7; color: #3d362e; }</w:t>
      </w:r>
      <w:r>
        <w:br/>
        <w:t xml:space="preserve">  .callout { background-color: #FBF6EE; border-left: 4px solid #14543F; padding: 12px 16px; margin: 14px 0; border-radius: 0 6px 6px 0; }</w:t>
      </w:r>
      <w:r>
        <w:br/>
        <w:t xml:space="preserve">  .callout p { margin: 4px 0; }</w:t>
      </w:r>
      <w:r>
        <w:br/>
        <w:t xml:space="preserve">  .warn { background-color: #fbf0ea; border-left: 4px solid #C0673E; padding: 12px 16px; margin: 14px 0; border-radius: 0 6px 6px 0; }</w:t>
      </w:r>
      <w:r>
        <w:br/>
        <w:t xml:space="preserve">  .warn p { margin: 4px 0; }</w:t>
      </w:r>
      <w:r>
        <w:br/>
        <w:t xml:space="preserve">  .highlight-box { background-color: #14543F; color: white; padding: 16px 20px; border-radius: 6px; margin: 16px 0; }</w:t>
      </w:r>
      <w:r>
        <w:br/>
        <w:t xml:space="preserve">  .highlight-box p { margin: 4px 0; color: white; }</w:t>
      </w:r>
      <w:r>
        <w:br/>
        <w:t xml:space="preserve">  .highlight-box strong { color: #e8d5b7; }</w:t>
      </w:r>
      <w:r>
        <w:br/>
        <w:t xml:space="preserve">  strong { color: #14543F; }</w:t>
      </w:r>
      <w:r>
        <w:br/>
        <w:t xml:space="preserve">  hr { border: none; border-top: 1px solid #E6DBCB; margin: 22px 0; }</w:t>
      </w:r>
      <w:r>
        <w:br/>
        <w:t xml:space="preserve">  ul { padding-left: 18px; margin: 6px 0; }</w:t>
      </w:r>
      <w:r>
        <w:br/>
        <w:t xml:space="preserve">  li { margin-bottom: 4px; }</w:t>
      </w:r>
      <w:r>
        <w:br/>
        <w:t xml:space="preserve">  .page-break { page-break-before: always; }</w:t>
      </w:r>
      <w:r>
        <w:br/>
        <w:t xml:space="preserve">  .check { color: #14543F; font-weight: 700; }</w:t>
      </w:r>
      <w:r>
        <w:br/>
        <w:t xml:space="preserve">  .dash { color: #c9bfae; }</w:t>
      </w:r>
      <w:r>
        <w:br/>
        <w:t xml:space="preserve">  .pill { background:#14543F; color:white; font-size:9px; padding:1px 7px; border-radius:8px; text-transform:uppercase; letter-spacing:0.5px; }</w:t>
      </w:r>
      <w:r>
        <w:br/>
        <w:t xml:space="preserve">  .pill-x { background:#C0673E; color:white; font-size:9px; padding:1px 7px; border-radius:8px; text-transform:uppercase; letter-spacing:0.5px; }</w:t>
      </w:r>
      <w:r>
        <w:br/>
        <w:t xml:space="preserve">  .price-card { border: 1px solid #E6DBCB; border-radius: 8px; padding: 14px 16px; }</w:t>
      </w:r>
      <w:r>
        <w:br/>
        <w:t xml:space="preserve">  .price-name { font-family:'Fraunces',serif; font-size:16px; color:#14543F; font-weight:600; }</w:t>
      </w:r>
      <w:r>
        <w:br/>
        <w:t xml:space="preserve">  .price-amt { font-family:'Fraunces',serif; font-size:22px; color:#C0673E; font-weight:700; }</w:t>
      </w:r>
      <w:r>
        <w:br/>
        <w:t xml:space="preserve">&lt;/style&gt;</w:t>
      </w:r>
    </w:p>
    <w:p>
      <w:pPr>
        <w:pStyle w:val="Heading1"/>
        <w:pStyle w:val="MdHeading1"/>
      </w:pPr>
      <w:r>
        <w:t xml:space="preserve">Product Feature Brief</w:t>
      </w:r>
    </w:p>
    <w:p>
      <w:pPr>
        <w:pStyle w:val="MdHtml"/>
      </w:pPr>
      <w:r>
        <w:t xml:space="preserve">&lt;div class="subtitle"&gt;Familiar Guest for the Mexico market — built for US &amp; Canadian homeowners&lt;/div&gt;
</w:t>
      </w:r>
    </w:p>
    <w:p>
      <w:pPr>
        <w:pStyle w:val="MdHtml"/>
      </w:pPr>
      <w:r>
        <w:t xml:space="preserve">&lt;p class="lead"&gt;Familiar Guest lets US and Canadian homeowners who own rental property in Mexico take bookings directly from their own repeat and trusted guests — keeping the guest relationship and the revenue that Airbnb's ~15.5% fee takes away. This brief defines the full feature set for launch and a recommended pricing plan.&lt;/p&gt;
</w:t>
      </w:r>
    </w:p>
    <w:p>
      <w:pPr>
        <w:pStyle w:val="MdHtml"/>
      </w:pPr>
      <w:r>
        <w:t xml:space="preserve">&lt;div class="highlight-box"&gt;</w:t>
      </w:r>
      <w:r>
        <w:br/>
        <w:t xml:space="preserve">&lt;p&gt;&lt;strong&gt;Positioning:&lt;/strong&gt; owner-first, repeat-guest-focused, invisible infrastructure (the booking page carries the owner's property name), simple to start, and trust built in by default. For this market the edge is &lt;strong&gt;cross-border&lt;/strong&gt;: clean money movement, two languages, and trust strong enough to book a home in another country.&lt;/p&gt;</w:t>
      </w:r>
      <w:r>
        <w:br/>
        <w:t xml:space="preserve">&lt;/div&gt;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Who It's For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Owners:</w:t>
      </w:r>
      <w:r>
        <w:t xml:space="preserve"> US and Canadian individuals who own one or a few homes in Mexico (initial beachhead: the Todos Santos · Los Cabos · La Paz corridor in Baja California Sur). They already rent on Airbnb and have a base of return guests.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Guests:</w:t>
      </w:r>
      <w:r>
        <w:t xml:space="preserve"> travelers from the US, Canada, and Mexico — including snowbirds on long winter stays and Spanish-first Mexican nationals.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Feature Set</w:t>
      </w:r>
    </w:p>
    <w:p>
      <w:pPr>
        <w:pStyle w:val="MdParagraph"/>
      </w:pPr>
      <w:r>
        <w:t xml:space="preserve">Features are grouped by function. Each is marked </w:t>
      </w: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(original product) or </w:t>
      </w: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(the six Mexico-market additions).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A. Effortless Onboarding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Photo upload</w:t>
      </w:r>
      <w:r>
        <w:t xml:space="preserve"> — phone (QR/text-a-link), cloud storage (Google Photos, iCloud, Drive, Dropbox OAuth), and drag-and-drop. </w:t>
      </w:r>
      <w:r>
        <w:rPr>
          <w:rStyle w:val="MdEm"/>
          <w:i/>
          <w:iCs/>
        </w:rPr>
        <w:t xml:space="preserve">No Airbnb scraping; owner-provided content only.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AI-written listing</w:t>
      </w:r>
      <w:r>
        <w:t xml:space="preserve"> — owner pastes their own text or answers a few prompts; AI produces a polished title, description, and amenity list to edit.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Owner identity verification (Gate 1)</w:t>
      </w:r>
      <w:r>
        <w:t xml:space="preserve"> — Stripe-powered KYC; required before listing or collecting payment.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Property ownership verification (Gate 2)</w:t>
      </w:r>
      <w:r>
        <w:t xml:space="preserve"> — for public listings; accepts Mexico-appropriate proof including </w:t>
      </w:r>
      <w:r>
        <w:rPr>
          <w:rStyle w:val="MdStrong"/>
          <w:b/>
          <w:bCs/>
        </w:rPr>
        <w:t xml:space="preserve">fideicomiso (bank trust)</w:t>
      </w:r>
      <w:r>
        <w:t xml:space="preserve"> and Mexican-corporation documents. Unlocks the Verified Owner badge and public mode.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Bilingual setup (EN/ES)</w:t>
      </w:r>
      <w:r>
        <w:t xml:space="preserve"> — the owner works in English; the listing publishes in both English and Spanish.</w:t>
      </w:r>
    </w:p>
    <w:p>
      <w:pPr>
        <w:pStyle w:val="MdSpace"/>
      </w:pPr>
    </w:p>
    <w:p>
      <w:pPr>
        <w:pStyle w:val="Heading3"/>
        <w:pStyle w:val="MdHeading3"/>
      </w:pPr>
      <w:r>
        <w:t xml:space="preserve">B. Calendar &amp; Availability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Inbound iCal sync</w:t>
      </w:r>
      <w:r>
        <w:t xml:space="preserve"> — paste export URLs from Airbnb, VRBO, Booking.com, Google/Apple Calendar, and PMS tools; refreshed every 15–30 min.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Outbound .ics feed</w:t>
      </w:r>
      <w:r>
        <w:t xml:space="preserve"> — a unique export URL per listing for other platforms to read.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"Last synced" timestamp</w:t>
      </w:r>
      <w:r>
        <w:t xml:space="preserve"> — sets clear expectations (iCal is near-real-time, not instant).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C. Booking Experience (Guest-Facing)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Private branded booking link</w:t>
      </w:r>
      <w:r>
        <w:t xml:space="preserve"> — carries the property's name, not ours; works on mobile; no guest account required.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Bilingual booking page + AI-translated messaging</w:t>
      </w:r>
      <w:r>
        <w:t xml:space="preserve"> — guest and owner each communicate in their own language; AI translates both ways in real time.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Multi-currency display</w:t>
      </w:r>
      <w:r>
        <w:t xml:space="preserve"> — prices shown in the guest's currency (USD / CAD / MXN), all-in and transparent.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Long-stay support</w:t>
      </w:r>
      <w:r>
        <w:t xml:space="preserve"> — weekly and monthly rates for snowbird stays.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Installment payments</w:t>
      </w:r>
      <w:r>
        <w:t xml:space="preserve"> — deposit now, balance before arrival (or split a long stay), reducing friction on large bookings.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Rental agreement</w:t>
      </w:r>
      <w:r>
        <w:t xml:space="preserve"> — auto-generated per booking (DocuSeal), signed digitally before payment clears; stored permanently.</w:t>
      </w:r>
    </w:p>
    <w:p>
      <w:pPr>
        <w:pStyle w:val="MdSpace"/>
      </w:pPr>
    </w:p>
    <w:p>
      <w:pPr>
        <w:pStyle w:val="MdHtml"/>
      </w:pPr>
      <w:r>
        <w:t xml:space="preserve">&lt;div class="page-break"&gt;&lt;/div&gt;
</w:t>
      </w:r>
    </w:p>
    <w:p>
      <w:pPr>
        <w:pStyle w:val="Heading3"/>
        <w:pStyle w:val="MdHeading3"/>
      </w:pPr>
      <w:r>
        <w:t xml:space="preserve">D. Payments, Escrow &amp; Cross-Border Money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Stripe Connect (Custom)</w:t>
      </w:r>
      <w:r>
        <w:t xml:space="preserve"> — owners are paid "by Familiar Guest"; Stripe stays invisible and handles KYC and payee compliance.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Escrow</w:t>
      </w:r>
      <w:r>
        <w:t xml:space="preserve"> — guest funds held until check-in via delayed payout. The cornerstone trust feature.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Damage deposit</w:t>
      </w:r>
      <w:r>
        <w:t xml:space="preserve"> — held separately, released automatically after the inspection window.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Cross-border payouts</w:t>
      </w:r>
      <w:r>
        <w:t xml:space="preserve"> — owner chooses payout currency and destination bank (US, Canada, or Mexico).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Fees at cost</w:t>
      </w:r>
      <w:r>
        <w:t xml:space="preserve"> — card processing </w:t>
      </w:r>
      <w:r>
        <w:rPr>
          <w:rStyle w:val="MdStrong"/>
          <w:b/>
          <w:bCs/>
        </w:rPr>
        <w:t xml:space="preserve">and</w:t>
      </w:r>
      <w:r>
        <w:t xml:space="preserve"> currency conversion passed through to the owner at cost; net-zero to us.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Free bookings</w:t>
      </w:r>
      <w:r>
        <w:t xml:space="preserve"> — owner marks a booking free (friends/family); charged $5 from card on file. Card on file only required if this is enabled.</w:t>
      </w:r>
    </w:p>
    <w:p>
      <w:pPr>
        <w:pStyle w:val="MdSpace"/>
      </w:pPr>
    </w:p>
    <w:p>
      <w:pPr>
        <w:pStyle w:val="Heading3"/>
        <w:pStyle w:val="MdHeading3"/>
      </w:pPr>
      <w:r>
        <w:t xml:space="preserve">E. Trust &amp; Safety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Verified Owner badge</w:t>
      </w:r>
      <w:r>
        <w:t xml:space="preserve"> — every owner identity-verified via Stripe as a condition of payout.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Cross-border trust framing</w:t>
      </w:r>
      <w:r>
        <w:t xml:space="preserve"> — escrow + verification + coverage packaged and messaged as </w:t>
      </w:r>
      <w:r>
        <w:rPr>
          <w:rStyle w:val="MdEm"/>
          <w:i/>
          <w:iCs/>
        </w:rPr>
        <w:t xml:space="preserve">"safe to book a home in Mexico."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Guest screening</w:t>
      </w:r>
      <w:r>
        <w:t xml:space="preserve"> </w:t>
      </w:r>
      <w:r>
        <w:rPr>
          <w:rStyle w:val="MdEm"/>
          <w:i/>
          <w:iCs/>
        </w:rPr>
        <w:t xml:space="preserve">(add-on)</w:t>
      </w:r>
      <w:r>
        <w:t xml:space="preserve"> — ID + fraud check via Truvi (supports Mexico).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Protected booking</w:t>
      </w:r>
      <w:r>
        <w:t xml:space="preserve"> </w:t>
      </w:r>
      <w:r>
        <w:rPr>
          <w:rStyle w:val="MdEm"/>
          <w:i/>
          <w:iCs/>
        </w:rPr>
        <w:t xml:space="preserve">(add-on)</w:t>
      </w:r>
      <w:r>
        <w:t xml:space="preserve"> — screening plus up to $1M damage protection via Truvi.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F. Owner Operations (Remote / Absentee)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Caretaker role</w:t>
      </w:r>
      <w:r>
        <w:t xml:space="preserve"> — a scoped, limited-access login for the local cleaner/caretaker (sees bookings, dates, prep tasks; never payments or the full guest list).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Digital check-in</w:t>
      </w:r>
      <w:r>
        <w:t xml:space="preserve"> — automated check-in instructions and lockbox/smart-code support for self-arrival.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Two booking modes</w:t>
      </w:r>
      <w:r>
        <w:t xml:space="preserve"> — trusted-guest mode (after Gate 1) and public mode (after Gate 2).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G. Guest Relationship &amp; Retention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Private Guest CRM</w:t>
      </w:r>
      <w:r>
        <w:t xml:space="preserve"> — directory with contact, stay history, notes, preferences, and trust tiers (vetted / returning / referral). Owned by the owner, never shared.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Guest import + season-timed re-invite</w:t>
      </w:r>
      <w:r>
        <w:t xml:space="preserve"> — import past guests (contacts/spreadsheet) and auto-send "book again" invites timed to the Nov–Apr high season.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One-click rebook</w:t>
      </w:r>
      <w:r>
        <w:t xml:space="preserve"> — post-checkout "same dates next year?" with details pre-filled.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Referral system</w:t>
      </w:r>
      <w:r>
        <w:t xml:space="preserve"> — a trusted guest shares a link; the new guest is pre-vetted by association.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Automated messaging (bilingual)</w:t>
      </w:r>
      <w:r>
        <w:t xml:space="preserve"> — confirmation, pre-arrival, check-in, mid-stay, checkout, deposit-release, via Resend.</w:t>
      </w:r>
    </w:p>
    <w:p>
      <w:pPr>
        <w:pStyle w:val="MdSpace"/>
      </w:pPr>
    </w:p>
    <w:p>
      <w:pPr>
        <w:pStyle w:val="Heading3"/>
        <w:pStyle w:val="MdHeading3"/>
      </w:pPr>
      <w:r>
        <w:t xml:space="preserve">H. Digital House Manual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Private link</w:t>
      </w:r>
      <w:r>
        <w:t xml:space="preserve"> — accessible without an app; updated once, delivered forever.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class="pill-x"&gt;</w:t>
      </w:r>
      <w:r>
        <w:t xml:space="preserve">cross-border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Baja-specific templates</w:t>
      </w:r>
      <w:r>
        <w:t xml:space="preserve"> — water/cistern, drinking water, power/blackouts, 4×4 roads, nearest services, emergency contacts, and useful Spanish phrases.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I. Owner Insights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Income summary</w:t>
      </w:r>
      <w:r>
        <w:t xml:space="preserve"> — total income, nights booked, occupancy, top guests; export-ready.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Tag"/>
        </w:rPr>
        <w:t xml:space="preserve">&lt;span class="pill"&gt;</w:t>
      </w:r>
      <w:r>
        <w:t xml:space="preserve">core</w:t>
      </w:r>
      <w:r>
        <w:rPr>
          <w:rStyle w:val="MdTag"/>
        </w:rPr>
        <w:t xml:space="preserve">&lt;/span&gt;</w:t>
      </w:r>
      <w:r>
        <w:t xml:space="preserve"> </w:t>
      </w:r>
      <w:r>
        <w:rPr>
          <w:rStyle w:val="MdStrong"/>
          <w:b/>
          <w:bCs/>
        </w:rPr>
        <w:t xml:space="preserve">Consolidated multi-property view</w:t>
      </w:r>
      <w:r>
        <w:t xml:space="preserve"> — across all of an owner's listings (Pro plan).</w:t>
      </w:r>
    </w:p>
    <w:p>
      <w:pPr>
        <w:pStyle w:val="MdSpace"/>
      </w:pPr>
    </w:p>
    <w:p>
      <w:pPr>
        <w:pStyle w:val="MdHtml"/>
      </w:pPr>
      <w:r>
        <w:t xml:space="preserve">&lt;div class="warn"&gt;</w:t>
      </w:r>
      <w:r>
        <w:br/>
        <w:t xml:space="preserve">&lt;p&gt;&lt;strong&gt;Not in this release:&lt;/strong&gt; the cross-border tax helper (US/Canada vs. Mexican ISR/IVA/ISH reconciliation) is intentionally excluded for now due to complexity and liability. Income exports give owners and their accountants the raw data; Familiar Guest does not provide tax advice.&lt;/p&gt;</w:t>
      </w:r>
      <w:r>
        <w:br/>
        <w:t xml:space="preserve">&lt;/div&gt;</w:t>
      </w:r>
    </w:p>
    <w:p>
      <w:pPr>
        <w:pStyle w:val="MdHtml"/>
      </w:pPr>
      <w:r>
        <w:t xml:space="preserve">&lt;div class="page-break"&gt;&lt;/div&gt;
</w:t>
      </w:r>
    </w:p>
    <w:p>
      <w:pPr>
        <w:pStyle w:val="Heading2"/>
        <w:pStyle w:val="MdHeading2"/>
      </w:pPr>
      <w:r>
        <w:t xml:space="preserve">Recommended Pricing Plan</w:t>
      </w:r>
    </w:p>
    <w:p>
      <w:pPr>
        <w:pStyle w:val="MdParagraph"/>
      </w:pPr>
      <w:r>
        <w:t xml:space="preserve">Plans are priced in </w:t>
      </w:r>
      <w:r>
        <w:rPr>
          <w:rStyle w:val="MdStrong"/>
          <w:b/>
          <w:bCs/>
        </w:rPr>
        <w:t xml:space="preserve">USD</w:t>
      </w:r>
      <w:r>
        <w:t xml:space="preserve"> (owners are US/Canadian and think in dollars). Card processing and currency conversion are always passed through at cost on every plan.</w:t>
      </w:r>
    </w:p>
    <w:p>
      <w:pPr>
        <w:pStyle w:val="MdSpace"/>
      </w:pPr>
    </w:p>
    <w:p>
      <w:pPr>
        <w:pStyle w:val="MdHtml"/>
      </w:pPr>
      <w:r>
        <w:t xml:space="preserve">&lt;table&gt;</w:t>
      </w:r>
      <w:r>
        <w:br/>
        <w:t xml:space="preserve">&lt;tr&gt;&lt;th&gt;&amp;nbsp;&lt;/th&gt;&lt;th&gt;Pay-as-you-go&lt;/th&gt;&lt;th&gt;Starter&lt;/th&gt;&lt;th&gt;Host&lt;/th&gt;&lt;th&gt;Pro&lt;/th&gt;&lt;/tr&gt;</w:t>
      </w:r>
      <w:r>
        <w:br/>
        <w:t xml:space="preserve">&lt;tr&gt;&lt;td&gt;&lt;strong&gt;Price&lt;/strong&gt;&lt;/td&gt;&lt;td&gt;5% per booking&lt;/td&gt;&lt;td&gt;&lt;strong&gt;$12&lt;/strong&gt; / mo&lt;/td&gt;&lt;td&gt;&lt;strong&gt;$29&lt;/strong&gt; / mo&lt;/td&gt;&lt;td&gt;&lt;strong&gt;$49&lt;/strong&gt; / mo&lt;/td&gt;&lt;/tr&gt;</w:t>
      </w:r>
      <w:r>
        <w:br/>
        <w:t xml:space="preserve">&lt;tr&gt;&lt;td&gt;Best for&lt;/td&gt;&lt;td&gt;Seasonal / testing&lt;/td&gt;&lt;td&gt;Single-home owners&lt;/td&gt;&lt;td&gt;Active owners, up to 5 homes&lt;/td&gt;&lt;td&gt;Owners with 6–10 homes&lt;/td&gt;&lt;/tr&gt;</w:t>
      </w:r>
      <w:r>
        <w:br/>
        <w:t xml:space="preserve">&lt;tr&gt;&lt;td&gt;Properties&lt;/td&gt;&lt;td&gt;Pay per booking&lt;/td&gt;&lt;td&gt;1&lt;/td&gt;&lt;td&gt;Up to 5&lt;/td&gt;&lt;td&gt;6–10&lt;/td&gt;&lt;/tr&gt;</w:t>
      </w:r>
      <w:r>
        <w:br/>
        <w:t xml:space="preserve">&lt;tr&gt;&lt;td&gt;Commission&lt;/td&gt;&lt;td&gt;5% per booking&lt;/td&gt;&lt;td class="check"&gt;None&lt;/td&gt;&lt;td class="check"&gt;None&lt;/td&gt;&lt;td class="check"&gt;None&lt;/td&gt;&lt;/tr&gt;</w:t>
      </w:r>
      <w:r>
        <w:br/>
        <w:t xml:space="preserve">&lt;tr&gt;&lt;td&gt;Free bookings&lt;/td&gt;&lt;td&gt;$5 each&lt;/td&gt;&lt;td class="check"&gt;Included&lt;/td&gt;&lt;td class="check"&gt;Included&lt;/td&gt;&lt;td class="check"&gt;Included&lt;/td&gt;&lt;/tr&gt;</w:t>
      </w:r>
      <w:r>
        <w:br/>
        <w:t xml:space="preserve">&lt;tr&gt;&lt;td&gt;Multi-currency + cross-border payouts&lt;/td&gt;&lt;td class="check"&gt;✓&lt;/td&gt;&lt;td class="check"&gt;✓&lt;/td&gt;&lt;td class="check"&gt;✓&lt;/td&gt;&lt;td class="check"&gt;✓&lt;/td&gt;&lt;/tr&gt;</w:t>
      </w:r>
      <w:r>
        <w:br/>
        <w:t xml:space="preserve">&lt;tr&gt;&lt;td&gt;Bilingual booking + AI translation&lt;/td&gt;&lt;td class="check"&gt;✓&lt;/td&gt;&lt;td class="check"&gt;✓&lt;/td&gt;&lt;td class="check"&gt;✓&lt;/td&gt;&lt;td class="check"&gt;✓&lt;/td&gt;&lt;/tr&gt;</w:t>
      </w:r>
      <w:r>
        <w:br/>
        <w:t xml:space="preserve">&lt;tr&gt;&lt;td&gt;Escrow + Verified Owner&lt;/td&gt;&lt;td class="check"&gt;✓&lt;/td&gt;&lt;td class="check"&gt;✓&lt;/td&gt;&lt;td class="check"&gt;✓&lt;/td&gt;&lt;td class="check"&gt;✓&lt;/td&gt;&lt;/tr&gt;</w:t>
      </w:r>
      <w:r>
        <w:br/>
        <w:t xml:space="preserve">&lt;tr&gt;&lt;td&gt;Rental agreement (e-sign)&lt;/td&gt;&lt;td class="check"&gt;✓&lt;/td&gt;&lt;td class="check"&gt;✓&lt;/td&gt;&lt;td class="check"&gt;✓&lt;/td&gt;&lt;td class="check"&gt;✓&lt;/td&gt;&lt;/tr&gt;</w:t>
      </w:r>
      <w:r>
        <w:br/>
        <w:t xml:space="preserve">&lt;tr&gt;&lt;td&gt;Calendar sync (iCal)&lt;/td&gt;&lt;td class="check"&gt;✓&lt;/td&gt;&lt;td class="check"&gt;✓&lt;/td&gt;&lt;td class="check"&gt;✓&lt;/td&gt;&lt;td class="check"&gt;✓&lt;/td&gt;&lt;/tr&gt;</w:t>
      </w:r>
      <w:r>
        <w:br/>
        <w:t xml:space="preserve">&lt;tr&gt;&lt;td&gt;Long-stay rates + installments&lt;/td&gt;&lt;td class="check"&gt;✓&lt;/td&gt;&lt;td class="check"&gt;✓&lt;/td&gt;&lt;td class="check"&gt;✓&lt;/td&gt;&lt;td class="check"&gt;✓&lt;/td&gt;&lt;/tr&gt;</w:t>
      </w:r>
      <w:r>
        <w:br/>
        <w:t xml:space="preserve">&lt;tr&gt;&lt;td&gt;Guest CRM + season re-invite&lt;/td&gt;&lt;td class="check"&gt;✓&lt;/td&gt;&lt;td class="check"&gt;✓&lt;/td&gt;&lt;td class="check"&gt;✓&lt;/td&gt;&lt;td class="check"&gt;✓&lt;/td&gt;&lt;/tr&gt;</w:t>
      </w:r>
      <w:r>
        <w:br/>
        <w:t xml:space="preserve">&lt;tr&gt;&lt;td&gt;Automated bilingual messaging&lt;/td&gt;&lt;td class="check"&gt;✓&lt;/td&gt;&lt;td class="check"&gt;✓&lt;/td&gt;&lt;td class="check"&gt;✓&lt;/td&gt;&lt;td class="check"&gt;✓&lt;/td&gt;&lt;/tr&gt;</w:t>
      </w:r>
      <w:r>
        <w:br/>
        <w:t xml:space="preserve">&lt;tr&gt;&lt;td&gt;Digital house manual (Baja templates)&lt;/td&gt;&lt;td class="check"&gt;✓&lt;/td&gt;&lt;td class="check"&gt;✓&lt;/td&gt;&lt;td class="check"&gt;✓&lt;/td&gt;&lt;td class="check"&gt;✓&lt;/td&gt;&lt;/tr&gt;</w:t>
      </w:r>
      <w:r>
        <w:br/>
        <w:t xml:space="preserve">&lt;tr&gt;&lt;td&gt;Consolidated multi-property reports&lt;/td&gt;&lt;td class="dash"&gt;—&lt;/td&gt;&lt;td class="dash"&gt;—&lt;/td&gt;&lt;td class="dash"&gt;—&lt;/td&gt;&lt;td class="check"&gt;✓&lt;/td&gt;&lt;/tr&gt;</w:t>
      </w:r>
      <w:r>
        <w:br/>
        <w:t xml:space="preserve">&lt;tr&gt;&lt;td&gt;Priority support&lt;/td&gt;&lt;td class="dash"&gt;—&lt;/td&gt;&lt;td class="dash"&gt;—&lt;/td&gt;&lt;td class="dash"&gt;—&lt;/td&gt;&lt;td class="check"&gt;✓&lt;/td&gt;&lt;/tr&gt;</w:t>
      </w:r>
      <w:r>
        <w:br/>
        <w:t xml:space="preserve">&lt;/table&gt;</w:t>
      </w:r>
    </w:p>
    <w:p>
      <w:pPr>
        <w:pStyle w:val="MdHtml"/>
      </w:pPr>
      <w:r>
        <w:t xml:space="preserve">&lt;p style="font-size:11.5px; color:#8a7e72; margin-top:6px;"&gt;&lt;strong&gt;All plans are subject to payment processing fees&lt;/strong&gt; (card + currency conversion), passed through to the owner at cost.&lt;/p&gt;
</w:t>
      </w:r>
    </w:p>
    <w:p>
      <w:pPr>
        <w:pStyle w:val="Heading3"/>
        <w:pStyle w:val="MdHeading3"/>
      </w:pPr>
      <w:r>
        <w:t xml:space="preserve">Add-ons (any plan)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33"/>
        <w:gridCol w:w="3333"/>
        <w:gridCol w:w="3333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Add-on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Price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What the guest gets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Guest Screening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$5 per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ID verification + fraud check (Truvi)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Protected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$19.99 per booking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Screening + up to $1M damage protection (Truvi)</w:t>
            </w:r>
          </w:p>
        </w:tc>
      </w:tr>
    </w:tbl>
    <w:p>
      <w:pPr>
        <w:pStyle w:val="Heading3"/>
        <w:pStyle w:val="MdHeading3"/>
      </w:pPr>
      <w:r>
        <w:t xml:space="preserve">Pricing logic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Every core and cross-border feature is available on every plan.</w:t>
      </w:r>
      <w:r>
        <w:t xml:space="preserve"> Trust and money-movement are the product — paywalling them would undercut the value proposition. Plans differ on </w:t>
      </w:r>
      <w:r>
        <w:rPr>
          <w:rStyle w:val="MdStrong"/>
          <w:b/>
          <w:bCs/>
        </w:rPr>
        <w:t xml:space="preserve">commission vs. flat fee, property count, and reporting/support.</w:t>
      </w:r>
      <w:r>
        <w:t xml:space="preserve"> (All plans include 5 caretaker seats — a baseline feature, not a marketed differentiator.)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Property cap is 10 for now</w:t>
      </w:r>
      <w:r>
        <w:t xml:space="preserve"> — we are focused on individual renters, not portfolio managers, so no tiers above 10 properties.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The crossover:</w:t>
      </w:r>
      <w:r>
        <w:t xml:space="preserve"> an owner booking more than ~$2,880/year through Familiar Guest should move from Pay-as-you-go (5%) to </w:t>
      </w:r>
      <w:r>
        <w:rPr>
          <w:rStyle w:val="MdStrong"/>
          <w:b/>
          <w:bCs/>
        </w:rPr>
        <w:t xml:space="preserve">Starter</w:t>
      </w:r>
      <w:r>
        <w:t xml:space="preserve"> ($144/yr), then to </w:t>
      </w:r>
      <w:r>
        <w:rPr>
          <w:rStyle w:val="MdStrong"/>
          <w:b/>
          <w:bCs/>
        </w:rPr>
        <w:t xml:space="preserve">Host</w:t>
      </w:r>
      <w:r>
        <w:t xml:space="preserve"> when they add a second property. Given Los Cabos/Baja nightly rates, most active owners cross the first threshold quickly — steering the base toward predictable subscription revenue.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Annual option:</w:t>
      </w:r>
      <w:r>
        <w:t xml:space="preserve"> offer ~2 months free on annual billing (Starter $120/yr, Host $290/yr, Pro $490/yr) to improve retention and cash flow.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Payment fees:</w:t>
      </w:r>
      <w:r>
        <w:t xml:space="preserve"> every plan is subject to payment processing fees (card + FX), passed through with no markup — preserving the trust positioning. </w:t>
      </w:r>
      <w:r>
        <w:rPr>
          <w:rStyle w:val="MdEm"/>
          <w:i/>
          <w:iCs/>
        </w:rPr>
        <w:t xml:space="preserve">(A modest FX spread is a possible future revenue line, but not at launch.)</w:t>
      </w:r>
    </w:p>
    <w:p>
      <w:pPr>
        <w:pStyle w:val="MdSpace"/>
      </w:pPr>
    </w:p>
    <w:p>
      <w:pPr>
        <w:pStyle w:val="MdHtml"/>
      </w:pPr>
      <w:r>
        <w:t xml:space="preserve">&lt;div class="callout"&gt;</w:t>
      </w:r>
      <w:r>
        <w:br/>
        <w:t xml:space="preserve">&lt;p&gt;&lt;strong&gt;Why this works for the Mexico market:&lt;/strong&gt; the owner keeps essentially all of their nightly rate (vs. losing ~15.5% to Airbnb), pays only a small flat fee or commission, and gets cross-border payments, bilingual booking, and a built-in trust layer that a DIY site or a Venmo request can never match.&lt;/p&gt;</w:t>
      </w:r>
      <w:r>
        <w:br/>
        <w:t xml:space="preserve">&lt;/div&gt;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2"/>
        <w:pStyle w:val="MdHeading2"/>
      </w:pPr>
      <w:r>
        <w:t xml:space="preserve">Launch Scope Summary</w:t>
      </w:r>
    </w:p>
    <w:tbl>
      <w:tblPr>
        <w:tblStyle w:val="MdTable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rPr>
          <w:cantSplit/>
          <w:tblHeader/>
        </w:trPr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Included at launch</w:t>
            </w:r>
          </w:p>
        </w:tc>
        <w:tc>
          <w:tcPr>
            <w:shd w:fill="F2F2F2"/>
            <w:vAlign w:val="center"/>
          </w:tcPr>
          <w:p>
            <w:pPr>
              <w:pStyle w:val="MdTableHeader"/>
            </w:pPr>
            <w:r>
              <w:t xml:space="preserve">Deferred (post-launch)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All core features + the 6 cross-border features above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Cross-border tax helper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Trusted-guest + public modes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Platform-backed booking guarantee (needs funded reserve)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Truvi screening &amp; damage coverage (add-ons)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Guest "trust passport" / portable reputation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MdTableCell"/>
            </w:pPr>
            <w:r>
              <w:t xml:space="preserve">Three-tier pricing + two add-ons</w:t>
            </w:r>
          </w:p>
        </w:tc>
        <w:tc>
          <w:tcPr>
            <w:vAlign w:val="center"/>
          </w:tcPr>
          <w:p>
            <w:pPr>
              <w:pStyle w:val="MdTableCell"/>
            </w:pPr>
            <w:r>
              <w:t xml:space="preserve">Double-booking radar, owner-owned reviews (next iteration)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MdHtml"/>
      </w:pPr>
      <w:r>
        <w:t xml:space="preserve">&lt;div style="text-align: center; margin-top: 26px; color: #8a7e72; font-size: 11px;"&gt;</w:t>
      </w:r>
      <w:r>
        <w:br/>
        <w:t xml:space="preserve">famguest.com &amp;nbsp;&amp;nbsp;|&amp;nbsp;&amp;nbsp; June 2026</w:t>
      </w:r>
      <w:r>
        <w:br/>
        <w:t xml:space="preserve">&lt;/div&gt;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after="200" w:before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after="240" w:before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after="200" w:before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after="120" w:before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/>
    <w:pPr>
      <w:spacing w:after="60" w:before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after="240" w:before="48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after="200" w:before="4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after="160" w:before="32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after="140" w:before="28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after="120" w:before="24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after="120" w:before="24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9vftqkckk0rhawtzaqft" Type="http://schemas.openxmlformats.org/officeDocument/2006/relationships/hyperlink" Target="https://fonts.googleapis.com/css2?family=Fraunces:opsz,wght@9..144,400;9..144,600;9..144,700&amp;family=Hanken+Grotesk:wght@300;400;500;600&amp;display=swa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2026-06-09T02:58:54.112Z</dcterms:created>
  <dcterms:modified xsi:type="dcterms:W3CDTF">2026-06-09T02:58:54.112Z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