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A2FB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梵木里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.VANMOLY</w:t>
      </w:r>
      <w:r>
        <w:rPr>
          <w:rFonts w:hint="default" w:ascii="Arial" w:hAnsi="Arial" w:eastAsia="等线" w:cs="Arial"/>
          <w:b/>
          <w:sz w:val="52"/>
          <w:lang w:val="en-US" w:eastAsia="zh-CN"/>
        </w:rPr>
        <w:t>”</w:t>
      </w:r>
      <w:r>
        <w:rPr>
          <w:rFonts w:ascii="Arial" w:hAnsi="Arial" w:eastAsia="等线" w:cs="Arial"/>
          <w:b/>
          <w:sz w:val="52"/>
        </w:rPr>
        <w:t>案例展示</w:t>
      </w:r>
      <w:r>
        <w:rPr>
          <w:rFonts w:hint="default" w:ascii="Arial" w:hAnsi="Arial" w:eastAsia="等线" w:cs="Arial"/>
          <w:b/>
          <w:sz w:val="52"/>
          <w:lang w:val="en-US" w:eastAsia="zh-CN"/>
        </w:rPr>
        <w:t>”</w:t>
      </w:r>
      <w:r>
        <w:rPr>
          <w:rFonts w:ascii="Arial" w:hAnsi="Arial" w:eastAsia="等线" w:cs="Arial"/>
          <w:b/>
          <w:sz w:val="52"/>
        </w:rPr>
        <w:t>页面 前后端开发文档</w:t>
      </w:r>
    </w:p>
    <w:p w14:paraId="278D6E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基于蔚来汽车官网（https://www.nio.cn/）的产品展示逻辑、交互设计、数据流架构为核心参考，结合理想i8官网（https://www.lixiang.com/i8）的场景化展示优势，适配梵木里家居全案服务的业务需求，明确前后端开发的递增逻辑、功能模块、接口规范、参考依据，确保开发过程有序推进、前后端联动顺畅，完全适配前期确定的案例展示四层架构。</w:t>
      </w:r>
    </w:p>
    <w:p w14:paraId="31CD298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一、开发核心参考资料（重点参考蔚来汽车网页）</w:t>
      </w:r>
      <w:bookmarkEnd w:id="0"/>
    </w:p>
    <w:p w14:paraId="199BC329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核心参考对象：蔚来汽车官网（https://www.nio.cn/）</w:t>
      </w:r>
      <w:bookmarkEnd w:id="1"/>
    </w:p>
    <w:p w14:paraId="40F59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参考核心：蔚来官网的</w:t>
      </w:r>
      <w:r>
        <w:rPr>
          <w:rFonts w:ascii="Arial" w:hAnsi="Arial" w:eastAsia="等线" w:cs="Arial"/>
          <w:b/>
          <w:sz w:val="22"/>
        </w:rPr>
        <w:t>模块化展示逻辑、导航架构、交互范式、服务兜底体系、数据流联动</w:t>
      </w:r>
      <w:r>
        <w:rPr>
          <w:rFonts w:ascii="Arial" w:hAnsi="Arial" w:eastAsia="等线" w:cs="Arial"/>
          <w:sz w:val="22"/>
        </w:rPr>
        <w:t>，是本次前后端开发的核心参考模板，适配家居全案服务的场景化、服务化属性，具体参考点如下（对应开发模块）：</w:t>
      </w:r>
    </w:p>
    <w:p w14:paraId="6DBE0D4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前端页面结构：参考蔚来官网「顶部导航+首屏视觉+模块化核心内容+服务兜底」的五段式结构，适配案例展示的四层架构；</w:t>
      </w:r>
    </w:p>
    <w:p w14:paraId="3E6656A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交互逻辑：参考蔚来官网「页内无缝切换、滚动渐入、侧滑面板、沉浸式预览」的交互方式，避免多页面跳转，提升用户体验；</w:t>
      </w:r>
    </w:p>
    <w:p w14:paraId="766FA58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配置展示：参考蔚来车型「版本分级、参数模块化、清晰对比」的展示逻辑，落地家居三档配置分级与同空间对比功能；</w:t>
      </w:r>
    </w:p>
    <w:p w14:paraId="516C3F1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服务体系：参考蔚来「质保、售后、用户社区」的兜底展示逻辑，落地家居全案的设计、施工、质保等服务展示；</w:t>
      </w:r>
    </w:p>
    <w:p w14:paraId="78D9D47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后端数据流：参考蔚来「车型库→配置库→服务库」的联动逻辑，搭建梵木里「案例库→空间库→物料库→报价库」的后端数据体系。</w:t>
      </w:r>
    </w:p>
    <w:p w14:paraId="4D08FB6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辅助参考对象：理想i8官网（https://www.lixiang.com/i8）</w:t>
      </w:r>
      <w:bookmarkEnd w:id="2"/>
    </w:p>
    <w:p w14:paraId="6BDD36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参考核心：理想i8官网的</w:t>
      </w:r>
      <w:r>
        <w:rPr>
          <w:rFonts w:ascii="Arial" w:hAnsi="Arial" w:eastAsia="等线" w:cs="Arial"/>
          <w:b/>
          <w:sz w:val="22"/>
        </w:rPr>
        <w:t>场景化文案、弹性舒展交互、配置对比细节、实时计价逻辑</w:t>
      </w:r>
      <w:r>
        <w:rPr>
          <w:rFonts w:ascii="Arial" w:hAnsi="Arial" w:eastAsia="等线" w:cs="Arial"/>
          <w:sz w:val="22"/>
        </w:rPr>
        <w:t>，补充蔚来官网的不足，适配家居全案的场景化、个性化需求，具体参考点如下：</w:t>
      </w:r>
    </w:p>
    <w:p w14:paraId="76F7563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场景化展示：参考理想i8「情感化文案+大视觉实景」的展示方式，落地家居案例的实景场景呈现；</w:t>
      </w:r>
    </w:p>
    <w:p w14:paraId="1A331E0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交互动效：参考理想i8「案例舒展、空间逐屏加载」的弹性动效，优化案例详情页的展开体验；</w:t>
      </w:r>
    </w:p>
    <w:p w14:paraId="1FC973B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配置对比：参考理想i8「优势项红点高亮、相同参数隐藏」的细节，优化家居配置对比功能；</w:t>
      </w:r>
    </w:p>
    <w:p w14:paraId="7C4861D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计价逻辑：参考理想i8「选装实时差价计算」的逻辑，落地家居自选配置的实时报价功能。</w:t>
      </w:r>
    </w:p>
    <w:p w14:paraId="21055DC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参考原则</w:t>
      </w:r>
      <w:bookmarkEnd w:id="3"/>
    </w:p>
    <w:p w14:paraId="4351BC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以蔚来官网的标准化、体系化架构为基础，融入理想i8的场景化、细节化优势，结合梵木里家居全案「多空间、个性化、服务化」的核心差异，避免生搬硬套汽车展示逻辑，确保开发内容贴合家居业务需求。</w:t>
      </w:r>
    </w:p>
    <w:p w14:paraId="22F3108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二、开发递增逻辑（前后端同步推进，分5阶段递增，明确依赖关系）</w:t>
      </w:r>
      <w:bookmarkEnd w:id="4"/>
    </w:p>
    <w:p w14:paraId="1D4FD6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核心递增原则：</w:t>
      </w:r>
      <w:r>
        <w:rPr>
          <w:rFonts w:ascii="Arial" w:hAnsi="Arial" w:eastAsia="等线" w:cs="Arial"/>
          <w:b/>
          <w:sz w:val="22"/>
        </w:rPr>
        <w:t>基础搭建→核心功能→交互优化→数据联动→测试上线</w:t>
      </w:r>
      <w:r>
        <w:rPr>
          <w:rFonts w:ascii="Arial" w:hAnsi="Arial" w:eastAsia="等线" w:cs="Arial"/>
          <w:sz w:val="22"/>
        </w:rPr>
        <w:t>，前端依赖后端接口支撑，后端依赖底层数据库搭建，每个阶段完成后需通过测试，方可进入下一阶段，确保开发质量，具体阶段划分及递增逻辑如下：</w:t>
      </w:r>
    </w:p>
    <w:p w14:paraId="61A2C95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阶段1：基础搭建阶段（前后端同步，核心依赖：数据库设计）</w:t>
      </w:r>
      <w:bookmarkEnd w:id="5"/>
    </w:p>
    <w:p w14:paraId="6B952603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1.1 后端基础搭建（参考蔚来后端数据体系）</w:t>
      </w:r>
      <w:bookmarkEnd w:id="6"/>
    </w:p>
    <w:p w14:paraId="77B6BA3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核心任务：搭建数据库底层架构，创建5大核心数据表（案例库、空间库、物料库、报价库、楼盘库），明确字段、类型、关联关系，建立外键关联（参考蔚来「车型库→配置库」的关联逻辑）；</w:t>
      </w:r>
    </w:p>
    <w:p w14:paraId="3F1031F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参考依据：蔚来官网车型与配置的关联逻辑，确保物料库与配置库、案例库与空间库的强关联，杜绝数据脱节；</w:t>
      </w:r>
    </w:p>
    <w:p w14:paraId="6697786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交付物：数据库表结构（含字段说明、关联关系、约束条件）；</w:t>
      </w:r>
    </w:p>
    <w:p w14:paraId="0470361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递增前提：完成数据库需求梳理，明确各库的核心字段及联动规则。</w:t>
      </w:r>
    </w:p>
    <w:p w14:paraId="7F39ABD2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1.2 前端基础搭建（参考蔚来前端页面结构）</w:t>
      </w:r>
      <w:bookmarkEnd w:id="7"/>
    </w:p>
    <w:p w14:paraId="380970A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核心任务：搭建页面基础布局，完成顶部导航栏、首屏Banner、底部服务兜底区的静态布局，适配PC端、平板、手机三端响应式（参考蔚来官网响应式适配逻辑）；</w:t>
      </w:r>
    </w:p>
    <w:p w14:paraId="1F4FBFB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参考依据：蔚来官网顶部导航（品牌Logo+分类筛选+搜索）、首屏满屏视觉、底部服务展示的布局方式，调整为家居风格筛选、案例展示相关内容；</w:t>
      </w:r>
    </w:p>
    <w:p w14:paraId="259772E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交付物：静态基础页面（无交互、无数据渲染）；</w:t>
      </w:r>
    </w:p>
    <w:p w14:paraId="3092406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递增前提：后端数据库表结构确定，确保前端后续数据渲染有明确的接口支撑方向。</w:t>
      </w:r>
    </w:p>
    <w:p w14:paraId="5E4A638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阶段2：核心功能开发阶段（前后端联动，核心依赖：基础搭建完成）</w:t>
      </w:r>
      <w:bookmarkEnd w:id="8"/>
    </w:p>
    <w:p w14:paraId="126D5AAC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2.1 后端核心功能开发（参考蔚来接口逻辑）</w:t>
      </w:r>
      <w:bookmarkEnd w:id="9"/>
    </w:p>
    <w:p w14:paraId="1703BDC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核心任务：开发基础数据接口，实现「案例列表查询、案例详情查询、空间配置查询」三大核心接口，支持按风格筛选案例（参考蔚来车型分类查询接口逻辑）；</w:t>
      </w:r>
    </w:p>
    <w:p w14:paraId="48629CB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参考依据：蔚来官网车型列表查询、车型详情查询接口的设计思路，确保接口返回数据格式标准化、模块化，适配前端渲染需求；</w:t>
      </w:r>
    </w:p>
    <w:p w14:paraId="7B5474F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交付物：3个基础接口（含接口文档、请求方式、参数说明、返回示例）；</w:t>
      </w:r>
    </w:p>
    <w:p w14:paraId="04C40E3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递增前提：后端数据库搭建完成，前端基础布局完成，可实现简单的数据渲染联调。</w:t>
      </w:r>
    </w:p>
    <w:p w14:paraId="7145380F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2.2 前端核心功能开发（参考蔚来+理想交互逻辑）</w:t>
      </w:r>
      <w:bookmarkEnd w:id="10"/>
    </w:p>
    <w:p w14:paraId="7AB41B4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核心任务：实现案例列表渲染、案例详情舒展、空间模块展示功能，完成风格筛选标签的切换逻辑（参考蔚来车型分类切换、理想i8案例舒展动效）；</w:t>
      </w:r>
    </w:p>
    <w:p w14:paraId="4A9A3D4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参考依据：蔚来官网车型卡片矩阵展示、理想i8案例详情弹性舒展动效，确保案例列表响应式渲染，详情页无跳转舒展；</w:t>
      </w:r>
    </w:p>
    <w:p w14:paraId="2E79A04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交付物：可渲染数据的案例列表页、案例详情页（基础动效+数据渲染）；</w:t>
      </w:r>
    </w:p>
    <w:p w14:paraId="58E4D7D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递增前提：后端基础接口开发完成，可正常返回数据，前端可完成数据联调。</w:t>
      </w:r>
    </w:p>
    <w:p w14:paraId="78461B5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阶段3：交互优化阶段（前端主导，后端配合，核心依赖：核心功能完成）</w:t>
      </w:r>
      <w:bookmarkEnd w:id="11"/>
    </w:p>
    <w:p w14:paraId="20B4A054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3.1 前端交互优化（重点参考蔚来交互范式）</w:t>
      </w:r>
      <w:bookmarkEnd w:id="12"/>
    </w:p>
    <w:p w14:paraId="0311731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核心任务：优化页面交互动效，实现滚动渐入、卡片悬停、版本无缝切换、VR全景预览功能，开发配置对比侧滑面板（参考蔚来侧滑交互、理想i8对比功能）；</w:t>
      </w:r>
    </w:p>
    <w:p w14:paraId="4ED54FE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参考依据：蔚来官网滚动渐入、侧滑面板交互，理想i8卡片悬停、版本切换动效，确保交互流畅、科技感贴合家居调性；</w:t>
      </w:r>
    </w:p>
    <w:p w14:paraId="198BD34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交付物：优化后的交互页面（含动效、侧滑面板、VR预览）；</w:t>
      </w:r>
    </w:p>
    <w:p w14:paraId="7F9E7A4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递增前提：前端核心功能完成，后端接口可稳定返回数据，无数据渲染异常。</w:t>
      </w:r>
    </w:p>
    <w:p w14:paraId="6ABAEF7B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3.2 后端配合优化（参考蔚来接口优化逻辑）</w:t>
      </w:r>
      <w:bookmarkEnd w:id="13"/>
    </w:p>
    <w:p w14:paraId="6569CC9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核心任务：优化接口性能，增加接口缓存，支持配置对比数据的批量查询，调整返回数据格式，适配前端交互需求（参考蔚来接口性能优化思路）；</w:t>
      </w:r>
    </w:p>
    <w:p w14:paraId="03B1EF2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参考依据：蔚来官网接口快速响应、批量数据返回的逻辑，确保前端交互时数据加载流畅，无卡顿；</w:t>
      </w:r>
    </w:p>
    <w:p w14:paraId="255CBC6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交付物：优化后的接口（含缓存配置、批量查询功能）；</w:t>
      </w:r>
    </w:p>
    <w:p w14:paraId="034886A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递增前提：前端交互需求明确，后端可根据前端需求调整接口参数及返回格式。</w:t>
      </w:r>
    </w:p>
    <w:p w14:paraId="451514A4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阶段4：数据联动与高级功能开发（前后端深度联动，核心依赖：交互优化完成）</w:t>
      </w:r>
      <w:bookmarkEnd w:id="14"/>
    </w:p>
    <w:p w14:paraId="6F45FBFE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4.1 后端高级功能开发（参考蔚来+理想数据联动逻辑）</w:t>
      </w:r>
      <w:bookmarkEnd w:id="15"/>
    </w:p>
    <w:p w14:paraId="7939863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核心任务：开发配置对比、自选配置、实时差价计算接口，实现智能互斥逻辑（参考理想i8选装计价逻辑、蔚来配置数据联动），开发案例隐私迁移相关接口；</w:t>
      </w:r>
    </w:p>
    <w:p w14:paraId="44E0ECC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参考依据：理想i8选装实时计价、蔚来配置参数联动逻辑，结合家居互斥需求（如无主灯屏蔽主灯），实现细颗粒度的数据联动；</w:t>
      </w:r>
    </w:p>
    <w:p w14:paraId="7A0D7D3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交付物：4个高级接口（对比、自选、计价、隐私迁移），及智能互斥逻辑代码；</w:t>
      </w:r>
    </w:p>
    <w:p w14:paraId="216ADA6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递增前提：后端基础接口优化完成，前端交互框架搭建完成，可支撑高级功能的数据渲染。</w:t>
      </w:r>
    </w:p>
    <w:p w14:paraId="0FE416CD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4.2 前端高级功能开发（参考蔚来选装中心逻辑）</w:t>
      </w:r>
      <w:bookmarkEnd w:id="16"/>
    </w:p>
    <w:p w14:paraId="2F3E57C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核心任务：实现配置对比、客户自选配置、实时差价显示功能，开发智能互斥提示弹窗（参考蔚来选装中心、理想i8不兼容提示），完成PDF/PPT在线预览功能；</w:t>
      </w:r>
    </w:p>
    <w:p w14:paraId="2E126B2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参考依据：蔚来选装中心的物料替换、实时计价逻辑，理想i8不兼容提示样式，确保自选配置流畅、互斥提示清晰、文档预览便捷；</w:t>
      </w:r>
    </w:p>
    <w:p w14:paraId="273D758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交付物：可正常使用的高级功能（对比、自选、计价、文档预览）；</w:t>
      </w:r>
    </w:p>
    <w:p w14:paraId="417D981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递增前提：后端高级接口开发完成，可正常返回对比数据、差价数据、互斥逻辑结果。</w:t>
      </w:r>
    </w:p>
    <w:p w14:paraId="5D2EB72E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阶段5：测试与上线阶段（前后端同步，核心依赖：高级功能完成）</w:t>
      </w:r>
      <w:bookmarkEnd w:id="17"/>
    </w:p>
    <w:p w14:paraId="5169A75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核心任务：前后端联合测试，排查接口异常、交互bug、数据渲染问题，优化页面性能（参考蔚来官网性能标准），完成上线前的准备工作；</w:t>
      </w:r>
    </w:p>
    <w:p w14:paraId="111FAD55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参考依据：蔚来官网的页面加载速度、交互流畅度标准，确保家居案例页面加载快速、无卡顿、无bug；</w:t>
      </w:r>
    </w:p>
    <w:p w14:paraId="2E8C9064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交付物：测试报告、优化后的最终版本、上线文档；</w:t>
      </w:r>
    </w:p>
    <w:p w14:paraId="5AFA92CF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递增前提：所有功能开发完成，无重大bug，数据联动顺畅，三端适配正常。</w:t>
      </w:r>
    </w:p>
    <w:p w14:paraId="54BB28A5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三、前端开发详细指导（参考蔚来网页，明确技术规范）</w:t>
      </w:r>
      <w:bookmarkEnd w:id="18"/>
    </w:p>
    <w:p w14:paraId="70ECAA47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1. 页面结构规范（完全参考蔚来官网五段式结构，适配家居需求）</w:t>
      </w:r>
      <w:bookmarkEnd w:id="19"/>
    </w:p>
    <w:p w14:paraId="3AD5F31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顶部导航栏（固定吸顶，参考蔚来官网导航）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D8C6C69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左侧：品牌Logo（适配家居调性，简约高级）；</w:t>
      </w:r>
    </w:p>
    <w:p w14:paraId="033B8CD6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中间：6大风格筛选标签（温馨/清新/简约/浪漫/雅致/沉稳），参考蔚来车型分类导航的布局方式，支持点击切换、多标签组合筛选；</w:t>
      </w:r>
    </w:p>
    <w:p w14:paraId="0798E2FD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右侧：搜索框（支持案例名称、楼盘、户型搜索）、对比购物车（显示已加入对比的配置数量）、登录/留资入口；</w:t>
      </w:r>
    </w:p>
    <w:p w14:paraId="04909891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交互：滚动时背景变为毛玻璃质感，参考蔚来官网顶部导航的滚动效果，提升科技感。</w:t>
      </w:r>
    </w:p>
    <w:p w14:paraId="4692B20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首屏Banner（满屏，参考蔚来首屏视觉质感）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AB681BA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背景：全屋高清案例轮播+渐变遮罩，参考蔚来首屏车型轮播的视觉效果，突出家居场景感；</w:t>
      </w:r>
    </w:p>
    <w:p w14:paraId="526C207D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文案：主标题（全案落地·18套标杆案例）+副标题（6大风格·三档配置·自由对比），参考理想i8情感化文案风格，贴合家居松弛感；</w:t>
      </w:r>
    </w:p>
    <w:p w14:paraId="0D000C3D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功能：快捷筛选按钮（6大风格直达）、一键查看全部案例按钮，参考蔚来首屏CTA按钮布局；</w:t>
      </w:r>
    </w:p>
    <w:p w14:paraId="170D048E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动效：文字渐入、图片轻微视差，参考蔚来首屏动效，避免过于花哨，贴合家居高级感。</w:t>
      </w:r>
    </w:p>
    <w:p w14:paraId="04187E98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案例展示区（卡片矩阵，参考蔚来车型卡片展示）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E5A7F39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布局：栅格布局（PC 3列→平板 2列→手机 1列），参考蔚来车型卡片矩阵的响应式布局；</w:t>
      </w:r>
    </w:p>
    <w:p w14:paraId="0F070196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卡片内容：案例主图、风格标签、户型面积、楼盘名称、三档版本标识，参考蔚来车型卡片的信息展示逻辑，突出家居实景优势；</w:t>
      </w:r>
    </w:p>
    <w:p w14:paraId="0B56A351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卡片按钮：查看详情、加入对比、快速切换版本，参考蔚来车型卡片的功能按钮布局，位置统一、样式简洁；</w:t>
      </w:r>
    </w:p>
    <w:p w14:paraId="4180EDC8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交互：悬停上浮、阴影加深、图片轻微放大，参考蔚来车型卡片的悬停效果，提升交互质感。</w:t>
      </w:r>
    </w:p>
    <w:p w14:paraId="5AA54EB7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案例详情舒展区（页内展开，参考理想i8舒展动效，结合蔚来无跳转逻辑）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24541C4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触发：点击案例卡片→页面向下弹性舒展，加载详情，参考理想i8案例舒展效果，避免新页面跳转（参考蔚来无跳转交互原则）；</w:t>
      </w:r>
    </w:p>
    <w:p w14:paraId="2ECE5AA1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结构：案例概述→空间模块逐屏展示，参考理想i8座舱逐模块展示逻辑，按客厅/餐厅/主卧等空间拆分；</w:t>
      </w:r>
    </w:p>
    <w:p w14:paraId="167CB3ED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空间模块：每个空间占一屏，包含效果图、VR入口、设计理念、版本切换，参考蔚来车型部件详情的展示方式，模块化呈现；</w:t>
      </w:r>
    </w:p>
    <w:p w14:paraId="657AF5BE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动效：弹性舒展、逐空间懒加载、滚动渐入，参考理想i8座舱展开效果，优化加载速度。</w:t>
      </w:r>
    </w:p>
    <w:p w14:paraId="280EE6E3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配置对比区（侧滑面板，参考蔚来侧滑交互）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951AA9B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面板：侧滑呼出（从右侧呼出），不遮挡主内容，参考蔚来配置表侧滑面板的交互方式；</w:t>
      </w:r>
    </w:p>
    <w:p w14:paraId="328AB78B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规则：仅同案例+同空间+不同版本可对比，参考蔚来车型配置对比的约束逻辑；</w:t>
      </w:r>
    </w:p>
    <w:p w14:paraId="641E96B5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展示：物料名称、品牌、规格、工艺、价格；优势项红点高亮，相同参数可一键隐藏，参考理想i8对比细节；</w:t>
      </w:r>
    </w:p>
    <w:p w14:paraId="72924A55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功能：一键隐藏相同参数、清空对比、加入方案，参考蔚来配置对比的功能设计。</w:t>
      </w:r>
    </w:p>
    <w:p w14:paraId="6C018F2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自选配置区（页内内嵌，参考蔚来选装中心）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0EA19F6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布局：当前空间下，展示可替换物料列表，参考蔚来选装中心的物料展示方式；</w:t>
      </w:r>
    </w:p>
    <w:p w14:paraId="5349813A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互斥：不兼容项置灰、禁止点击，强行点击弹出居中轻提示（文案：该配置不适用），参考理想i8不兼容提示逻辑；</w:t>
      </w:r>
    </w:p>
    <w:p w14:paraId="18C818E5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计价：每替换一项，实时显示单项差价、空间差价、全屋总价，参考理想i8实时计价逻辑，结合蔚来选装报价展示方式。</w:t>
      </w:r>
    </w:p>
    <w:p w14:paraId="6C7B50FA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底部服务兜底区（参考蔚来服务保障展示）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2546EAF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内容：设计保障、施工标准、物料质保、售后承诺、隐私保护，参考蔚来质保、售后的展示逻辑，突出家居全案服务优势；</w:t>
      </w:r>
    </w:p>
    <w:p w14:paraId="6BB74A64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转化：预约设计、一键留资、电话咨询，参考蔚来CTA按钮布局，位置显眼、样式统一；</w:t>
      </w:r>
    </w:p>
    <w:p w14:paraId="29FB1A3F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样式：极简图标+短文案，强化信任，参考蔚来底部服务展示的简约风格。</w:t>
      </w:r>
    </w:p>
    <w:p w14:paraId="174AA7FB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2. 交互规范（参考蔚来交互范式，统一体验）</w:t>
      </w:r>
      <w:bookmarkEnd w:id="20"/>
    </w:p>
    <w:p w14:paraId="73FB0AAC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无跳转原则：所有详情、对比、配置均在当前页展开/侧滑/弹窗，不新开页面，保留筛选上下文，完全参考蔚来官网的无跳转交互逻辑；</w:t>
      </w:r>
    </w:p>
    <w:p w14:paraId="7F1781DD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滚动动效规范：模块进入（opacity 0→1 + translateY 20px→0，时长300ms）、图片展示（轻微视差、悬停放大1.05倍）、版本切换（淡入淡出，无缝刷新），参考蔚来滚动动效参数；</w:t>
      </w:r>
    </w:p>
    <w:p w14:paraId="7A5F915D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对比交互规范：最多同时对比3个配置，相同参数一键隐藏/显示，优势参数红点标记+文字高亮，参考蔚来配置对比细节；</w:t>
      </w:r>
    </w:p>
    <w:p w14:paraId="01EC23ED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自选互斥规范：不兼容物料置灰+禁止点击，强行点击弹出居中轻提示（2秒自动消失），参考理想i8不兼容提示样式，结合蔚来弹窗设计；</w:t>
      </w:r>
    </w:p>
    <w:p w14:paraId="6EF69FC4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舒展动画规范：案例展开（height 0→auto + overflow hidden，弹性缓动，时长500ms），参考理想i8舒展动效，优化流畅度。</w:t>
      </w:r>
    </w:p>
    <w:p w14:paraId="6E52653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 视觉规范（参考蔚来高级感，结合家居调性）</w:t>
      </w:r>
      <w:bookmarkEnd w:id="21"/>
    </w:p>
    <w:p w14:paraId="4966F34F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配色：主色（深空灰+珍珠白+浅金色），参考理想的高级简约；强调色（科技蓝），用于按钮、红点、高亮；背景（浅灰渐变），避免纯白，参考蔚来官网配色质感；</w:t>
      </w:r>
    </w:p>
    <w:p w14:paraId="0114032E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字体：标题（无衬线粗体，大字重，强识别）、正文（轻盈清晰，小间距，易阅读）、标签（小圆角、低饱和、半透明），参考蔚来官网字体规范；</w:t>
      </w:r>
    </w:p>
    <w:p w14:paraId="286C67A3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质感：卡片（小圆角、轻阴影、毛玻璃悬浮层）、面板（磨砂玻璃+渐变边框）、图片（全高清、无拉伸、暗角遮罩），参考蔚来官网质感设计，贴合家居高级感。</w:t>
      </w:r>
    </w:p>
    <w:p w14:paraId="25629829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4. 数据对接规范（前端→后端接口，参考蔚来接口逻辑）</w:t>
      </w:r>
      <w:bookmarkEnd w:id="22"/>
    </w:p>
    <w:p w14:paraId="3D678387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获取案例列表：</w:t>
      </w:r>
      <w:r>
        <w:rPr>
          <w:rFonts w:ascii="Consolas" w:hAnsi="Consolas" w:eastAsia="Consolas" w:cs="Consolas"/>
          <w:sz w:val="22"/>
          <w:shd w:val="clear" w:fill="EFF0F1"/>
        </w:rPr>
        <w:t>/api/case/list?style=温馨&amp;page=1&amp;pageSize=18</w:t>
      </w:r>
      <w:r>
        <w:rPr>
          <w:rFonts w:ascii="Arial" w:hAnsi="Arial" w:eastAsia="等线" w:cs="Arial"/>
          <w:sz w:val="22"/>
        </w:rPr>
        <w:t>（请求方式：GET，参考蔚来车型列表查询接口）；</w:t>
      </w:r>
    </w:p>
    <w:p w14:paraId="016B24CE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获取案例详情：</w:t>
      </w:r>
      <w:r>
        <w:rPr>
          <w:rFonts w:ascii="Consolas" w:hAnsi="Consolas" w:eastAsia="Consolas" w:cs="Consolas"/>
          <w:sz w:val="22"/>
          <w:shd w:val="clear" w:fill="EFF0F1"/>
        </w:rPr>
        <w:t>/api/case/detail?caseId=xxx</w:t>
      </w:r>
      <w:r>
        <w:rPr>
          <w:rFonts w:ascii="Arial" w:hAnsi="Arial" w:eastAsia="等线" w:cs="Arial"/>
          <w:sz w:val="22"/>
        </w:rPr>
        <w:t>（请求方式：GET，参考蔚来车型详情查询接口）；</w:t>
      </w:r>
    </w:p>
    <w:p w14:paraId="59EB31EF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获取空间配置：</w:t>
      </w:r>
      <w:r>
        <w:rPr>
          <w:rFonts w:ascii="Consolas" w:hAnsi="Consolas" w:eastAsia="Consolas" w:cs="Consolas"/>
          <w:sz w:val="22"/>
          <w:shd w:val="clear" w:fill="EFF0F1"/>
        </w:rPr>
        <w:t>/api/case/space?caseId=xxx&amp;spaceId=xxx</w:t>
      </w:r>
      <w:r>
        <w:rPr>
          <w:rFonts w:ascii="Arial" w:hAnsi="Arial" w:eastAsia="等线" w:cs="Arial"/>
          <w:sz w:val="22"/>
        </w:rPr>
        <w:t>（请求方式：GET，参考蔚来车型配置查询接口）；</w:t>
      </w:r>
    </w:p>
    <w:p w14:paraId="6200A39C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获取配置对比数据：</w:t>
      </w:r>
      <w:r>
        <w:rPr>
          <w:rFonts w:ascii="Consolas" w:hAnsi="Consolas" w:eastAsia="Consolas" w:cs="Consolas"/>
          <w:sz w:val="22"/>
          <w:shd w:val="clear" w:fill="EFF0F1"/>
        </w:rPr>
        <w:t>/api/case/compare?caseId=xxx&amp;spaceId=xxx&amp;versions=1,2,3</w:t>
      </w:r>
      <w:r>
        <w:rPr>
          <w:rFonts w:ascii="Arial" w:hAnsi="Arial" w:eastAsia="等线" w:cs="Arial"/>
          <w:sz w:val="22"/>
        </w:rPr>
        <w:t>（请求方式：POST，参考蔚来配置对比接口）；</w:t>
      </w:r>
    </w:p>
    <w:p w14:paraId="4FDE6788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获取自选物料列表：</w:t>
      </w:r>
      <w:r>
        <w:rPr>
          <w:rFonts w:ascii="Consolas" w:hAnsi="Consolas" w:eastAsia="Consolas" w:cs="Consolas"/>
          <w:sz w:val="22"/>
          <w:shd w:val="clear" w:fill="EFF0F1"/>
        </w:rPr>
        <w:t>/api/material/optional?spaceId=xxx&amp;configId=xxx</w:t>
      </w:r>
      <w:r>
        <w:rPr>
          <w:rFonts w:ascii="Arial" w:hAnsi="Arial" w:eastAsia="等线" w:cs="Arial"/>
          <w:sz w:val="22"/>
        </w:rPr>
        <w:t>（请求方式：GET，参考蔚来选装物料查询接口）；</w:t>
      </w:r>
    </w:p>
    <w:p w14:paraId="38E8872E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实时计算差价：</w:t>
      </w:r>
      <w:r>
        <w:rPr>
          <w:rFonts w:ascii="Consolas" w:hAnsi="Consolas" w:eastAsia="Consolas" w:cs="Consolas"/>
          <w:sz w:val="22"/>
          <w:shd w:val="clear" w:fill="EFF0F1"/>
        </w:rPr>
        <w:t>/api/quote/calc?caseId=xxx&amp;materialIds=xxx</w:t>
      </w:r>
      <w:r>
        <w:rPr>
          <w:rFonts w:ascii="Arial" w:hAnsi="Arial" w:eastAsia="等线" w:cs="Arial"/>
          <w:sz w:val="22"/>
        </w:rPr>
        <w:t>（请求方式：POST，参考理想i8选装计价接口）；</w:t>
      </w:r>
    </w:p>
    <w:p w14:paraId="4D39E7CF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案例隐私迁移：</w:t>
      </w:r>
      <w:r>
        <w:rPr>
          <w:rFonts w:ascii="Consolas" w:hAnsi="Consolas" w:eastAsia="Consolas" w:cs="Consolas"/>
          <w:sz w:val="22"/>
          <w:shd w:val="clear" w:fill="EFF0F1"/>
        </w:rPr>
        <w:t>/api/case/migrate?caseId=xxx</w:t>
      </w:r>
      <w:r>
        <w:rPr>
          <w:rFonts w:ascii="Arial" w:hAnsi="Arial" w:eastAsia="等线" w:cs="Arial"/>
          <w:sz w:val="22"/>
        </w:rPr>
        <w:t>（请求方式：POST，自定义接口，参考蔚来数据迁移逻辑）。</w:t>
      </w:r>
    </w:p>
    <w:p w14:paraId="3AC46753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5. 适配规范（参考蔚来响应式适配逻辑）</w:t>
      </w:r>
      <w:bookmarkEnd w:id="23"/>
    </w:p>
    <w:p w14:paraId="2C6DC602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PC端：1920px基准，满屏展示，参考蔚来PC端布局；</w:t>
      </w:r>
    </w:p>
    <w:p w14:paraId="514D384B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平板：1024px，卡片2列，侧面板改为底部弹出，参考蔚来平板端适配逻辑；</w:t>
      </w:r>
    </w:p>
    <w:p w14:paraId="775D687D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手机：750px，卡片1列，全部改为折叠/展开，简化动效，参考蔚来手机端适配逻辑。</w:t>
      </w:r>
    </w:p>
    <w:p w14:paraId="4F886C34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四、后端开发详细指导（参考蔚来网页，明确技术规范）</w:t>
      </w:r>
      <w:bookmarkEnd w:id="24"/>
    </w:p>
    <w:p w14:paraId="75C3BADC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1. 数据库设计（参考蔚来数据体系，核心5大库）</w:t>
      </w:r>
      <w:bookmarkEnd w:id="25"/>
    </w:p>
    <w:p w14:paraId="431AF744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1.1 数据库整体关联逻辑（参考蔚来「车型库→配置库→服务库」联动）</w:t>
      </w:r>
      <w:bookmarkEnd w:id="26"/>
    </w:p>
    <w:p w14:paraId="5B064D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核心关联：案例库→空间库→配置关联库→物料库，报价库关联案例库+配置关联库+物料库，楼盘库关联案例库，形成完整的数据联动体系，确保数据统一、查询高效，参考蔚来数据关联逻辑，避免数据脱节。</w:t>
      </w:r>
    </w:p>
    <w:p w14:paraId="6C8ED615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1.2 核心数据表结构（含字段说明，参考蔚来数据表设计）</w:t>
      </w:r>
      <w:bookmarkEnd w:id="27"/>
    </w:p>
    <w:p w14:paraId="14C631B2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案例库（case_table）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</w:t>
      </w:r>
    </w:p>
    <w:p w14:paraId="26970ACC">
      <w:pPr>
        <w:numPr>
          <w:ilvl w:val="0"/>
          <w:numId w:val="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核心字段：case_id（主键）、style_type（风格分类）、building_id（楼盘ID，外键关联楼盘库）、case_type（案例类型：虚拟/真实）、customer_desensitization（客户脱敏信息）、status（上下架状态）、create_time（创建时间）；</w:t>
      </w:r>
    </w:p>
    <w:p w14:paraId="018A156D">
      <w:pPr>
        <w:numPr>
          <w:ilvl w:val="0"/>
          <w:numId w:val="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参考依据：参考蔚来车型库的核心字段设计，结合家居案例的业务需求，增加客户脱敏、风格分类等字段。</w:t>
      </w:r>
    </w:p>
    <w:p w14:paraId="5EA85A25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空间库（space_table）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012BC9E">
      <w:pPr>
        <w:numPr>
          <w:ilvl w:val="0"/>
          <w:numId w:val="10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核心字段：space_id（主键）、case_id（外键关联案例库）、space_name（空间名称：客厅/餐厅等）、main_image（主图）、aux_image（辅图）、vr_link（VR链接）、design_document（设计文档路径）；</w:t>
      </w:r>
    </w:p>
    <w:p w14:paraId="68AA65C2">
      <w:pPr>
        <w:numPr>
          <w:ilvl w:val="0"/>
          <w:numId w:val="10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参考依据：参考蔚来车型部件库的设计逻辑，按空间拆分，存储每个空间的素材信息。</w:t>
      </w:r>
    </w:p>
    <w:p w14:paraId="4F51A758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物料库（material_table）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2BF7166">
      <w:pPr>
        <w:numPr>
          <w:ilvl w:val="0"/>
          <w:numId w:val="10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核心字段：material_id（主键）、material_type（物料分类）、brand（品牌）、specification（规格）、process（工艺）、price（单价）、exclusive_config（互斥配置列表）、warranty（质保年限）；</w:t>
      </w:r>
    </w:p>
    <w:p w14:paraId="536E85EC">
      <w:pPr>
        <w:numPr>
          <w:ilvl w:val="0"/>
          <w:numId w:val="10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参考依据：参考蔚来汽车零件库的设计逻辑，增加互斥配置、工艺等家居专属字段。</w:t>
      </w:r>
    </w:p>
    <w:p w14:paraId="2AEF17DD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配置关联库（config_relation_table）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3B73733C">
      <w:pPr>
        <w:numPr>
          <w:ilvl w:val="0"/>
          <w:numId w:val="1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核心字段：config_id（主键）、space_id（外键关联空间库）、version_level（版本档位：舒适/豪华/顶配）、material_ids（关联物料ID，多个用逗号分隔）；</w:t>
      </w:r>
    </w:p>
    <w:p w14:paraId="098C1E9E">
      <w:pPr>
        <w:numPr>
          <w:ilvl w:val="0"/>
          <w:numId w:val="10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参考依据：参考蔚来车型配置关联库的设计逻辑，实现空间与物料的关联，支持多版本配置。</w:t>
      </w:r>
    </w:p>
    <w:p w14:paraId="4ED3D81F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报价库（quote_table）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84EF3A4">
      <w:pPr>
        <w:numPr>
          <w:ilvl w:val="0"/>
          <w:numId w:val="1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核心字段：quote_id（主键）、case_id（外键关联案例库）、space_id（外键关联空间库）、config_id（外键关联配置关联库）、unit_price（单项单价）、total_price（空间总价）、full_house_price（全屋总价）；</w:t>
      </w:r>
    </w:p>
    <w:p w14:paraId="5AAB9DF0">
      <w:pPr>
        <w:numPr>
          <w:ilvl w:val="0"/>
          <w:numId w:val="1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参考依据：参考蔚来车型报价库的设计逻辑，按空间拆分报价，支持实时计算差价。</w:t>
      </w:r>
    </w:p>
    <w:p w14:paraId="522B0AAA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楼盘库（building_table）</w:t>
      </w:r>
      <w:r>
        <w:rPr>
          <w:rFonts w:ascii="Arial" w:hAnsi="Arial" w:eastAsia="等线" w:cs="Arial"/>
          <w:sz w:val="22"/>
        </w:rPr>
        <w:br w:type="textWrapping"/>
      </w:r>
    </w:p>
    <w:p w14:paraId="1681BAA0">
      <w:pPr>
        <w:numPr>
          <w:ilvl w:val="0"/>
          <w:numId w:val="1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核心字段：building_id（主键）、building_name（楼盘名称）、building_address（楼盘地址）、house_type（户型）、area（面积）；</w:t>
      </w:r>
    </w:p>
    <w:p w14:paraId="2B3DC031">
      <w:pPr>
        <w:numPr>
          <w:ilvl w:val="0"/>
          <w:numId w:val="1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参考依据：参考蔚来车型适配地区的设计逻辑，用于案例的精准筛选，提升获客效率。</w:t>
      </w:r>
    </w:p>
    <w:p w14:paraId="1C9821AD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2. 接口开发规范（参考蔚来接口设计，标准化、高可用）</w:t>
      </w:r>
      <w:bookmarkEnd w:id="28"/>
    </w:p>
    <w:p w14:paraId="564FD45D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2.1 接口通用规范</w:t>
      </w:r>
      <w:bookmarkEnd w:id="29"/>
    </w:p>
    <w:p w14:paraId="16C4D6E4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请求方式：查询类接口用GET，提交、计算类接口用POST，参考蔚来接口请求方式规范；</w:t>
      </w:r>
    </w:p>
    <w:p w14:paraId="32AF692B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返回格式：统一采用JSON格式，包含code（状态码）、message（提示信息）、data（返回数据），参考蔚来接口返回格式；</w:t>
      </w:r>
    </w:p>
    <w:p w14:paraId="62518A77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状态码：200（成功）、400（参数错误）、404（数据不存在）、500（服务器错误），参考蔚来接口状态码规范；</w:t>
      </w:r>
    </w:p>
    <w:p w14:paraId="27C56B1C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缓存配置：常用接口（案例列表、物料列表）增加Redis缓存，缓存时间30分钟，参考蔚来接口缓存逻辑，提升响应速度；</w:t>
      </w:r>
    </w:p>
    <w:p w14:paraId="49C54F4A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权限控制：敏感接口（隐私迁移、报价查询）增加权限校验，仅管理员/注册用户可访问，参考蔚来接口权限控制逻辑。</w:t>
      </w:r>
    </w:p>
    <w:p w14:paraId="46211A2D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2.2 核心接口详细说明（参考蔚来接口逻辑，补充家居专属需求）</w:t>
      </w:r>
      <w:bookmarkEnd w:id="30"/>
    </w:p>
    <w:p w14:paraId="58DD4CA7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案例列表查询接口（/api/case/list）</w:t>
      </w:r>
      <w:r>
        <w:rPr>
          <w:rFonts w:ascii="Arial" w:hAnsi="Arial" w:eastAsia="等线" w:cs="Arial"/>
          <w:sz w:val="22"/>
        </w:rPr>
        <w:br w:type="textWrapping"/>
      </w:r>
    </w:p>
    <w:p w14:paraId="1E354C6B">
      <w:pPr>
        <w:numPr>
          <w:ilvl w:val="0"/>
          <w:numId w:val="1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请求参数：style（风格，可选）、page（页码，必填）、pageSize（每页条数，必填）；</w:t>
      </w:r>
    </w:p>
    <w:p w14:paraId="6F8404D6">
      <w:pPr>
        <w:numPr>
          <w:ilvl w:val="0"/>
          <w:numId w:val="1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返回数据：案例列表（含case_id、style_type、building_name、house_area、main_image等核心字段）、总条数、总页码；</w:t>
      </w:r>
    </w:p>
    <w:p w14:paraId="19C51BA4">
      <w:pPr>
        <w:numPr>
          <w:ilvl w:val="0"/>
          <w:numId w:val="1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参考依据：参考蔚来车型列表查询接口，支持按风格筛选、分页查询，返回标准化数据。</w:t>
      </w:r>
    </w:p>
    <w:p w14:paraId="54571FE3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配置对比接口（/api/case/compare）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7A830C6">
      <w:pPr>
        <w:numPr>
          <w:ilvl w:val="0"/>
          <w:numId w:val="1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请求参数：caseId（案例ID，必填）、spaceId（空间ID，必填）、versions（版本ID，多个用逗号分隔，必填）；</w:t>
      </w:r>
    </w:p>
    <w:p w14:paraId="05620997">
      <w:pPr>
        <w:numPr>
          <w:ilvl w:val="0"/>
          <w:numId w:val="1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返回数据：对比参数列表（含物料名称、品牌、规格、工艺、价格）、优势项标记、相同参数标记；</w:t>
      </w:r>
    </w:p>
    <w:p w14:paraId="34F8374A">
      <w:pPr>
        <w:numPr>
          <w:ilvl w:val="0"/>
          <w:numId w:val="1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参考依据：参考蔚来车型配置对比接口，按参数逐项对比，返回差异化、优势化标记，适配家居同空间对比规则。</w:t>
      </w:r>
    </w:p>
    <w:p w14:paraId="16E8D3F4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实时差价计算接口（/api/quote/calc）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9F4CD7B">
      <w:pPr>
        <w:numPr>
          <w:ilvl w:val="0"/>
          <w:numId w:val="1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请求参数：caseId（案例ID，必填）、materialIds（替换物料ID，多个用逗号分隔，必填）、originalConfigId（原配置ID，必填）；</w:t>
      </w:r>
    </w:p>
    <w:p w14:paraId="7E4D60B0">
      <w:pPr>
        <w:numPr>
          <w:ilvl w:val="0"/>
          <w:numId w:val="1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返回数据：单项差价、空间差价、全屋总价、差价明细；</w:t>
      </w:r>
    </w:p>
    <w:p w14:paraId="22CC3991">
      <w:pPr>
        <w:numPr>
          <w:ilvl w:val="0"/>
          <w:numId w:val="1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参考依据：参考理想i8选装计价接口，结合蔚来报价逻辑，实时计算替换物料后的差价，确保数据准确。</w:t>
      </w:r>
    </w:p>
    <w:p w14:paraId="6A408EE0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案例隐私迁移接口（/api/case/migrate）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026671D8">
      <w:pPr>
        <w:numPr>
          <w:ilvl w:val="0"/>
          <w:numId w:val="1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请求参数：caseId（真实案例ID，必填）；</w:t>
      </w:r>
    </w:p>
    <w:p w14:paraId="655F34BE">
      <w:pPr>
        <w:numPr>
          <w:ilvl w:val="0"/>
          <w:numId w:val="1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返回数据：迁移状态、迁移后案例ID；</w:t>
      </w:r>
    </w:p>
    <w:p w14:paraId="465C9D5A">
      <w:pPr>
        <w:numPr>
          <w:ilvl w:val="0"/>
          <w:numId w:val="1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业务逻辑：自动脱敏客户信息、模糊人物照片、擦除敏感凭证，复制案例数据到案例展示库，参考蔚来数据迁移逻辑，确保隐私安全。</w:t>
      </w:r>
    </w:p>
    <w:p w14:paraId="2E2D8AA4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3. 业务逻辑规范（参考蔚来业务逻辑，适配家居需求）</w:t>
      </w:r>
      <w:bookmarkEnd w:id="31"/>
    </w:p>
    <w:p w14:paraId="01FE055C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智能互斥逻辑：后端存储物料互斥关系，前端请求自选物料时，后端自动校验，返回互斥提示，参考蔚来配置兼容性校验逻辑，实现细颗粒度互斥（如无主灯屏蔽主灯）；</w:t>
      </w:r>
    </w:p>
    <w:p w14:paraId="727875CB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报价计算逻辑：基于物料库单价、配置关联库的物料用量，自动计算空间总价、全屋总价，替换物料时实时更新差价，参考蔚来报价计算逻辑，确保价格透明、准确；</w:t>
      </w:r>
    </w:p>
    <w:p w14:paraId="36688FFF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隐私迁移逻辑：迁移真实案例时，自动执行脱敏、模糊、擦除操作，无需人工干预，参考蔚来数据隐私保护逻辑，规避隐私泄露风险；</w:t>
      </w:r>
    </w:p>
    <w:p w14:paraId="26E609F5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数据同步逻辑：物料库、配置关联库、报价库数据变更时，自动同步相关案例、空间的展示数据，参考蔚来数据同步逻辑，确保数据一致性。</w:t>
      </w:r>
    </w:p>
    <w:p w14:paraId="014901A9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4. 性能优化规范（参考蔚来后端性能优化逻辑）</w:t>
      </w:r>
      <w:bookmarkEnd w:id="32"/>
    </w:p>
    <w:p w14:paraId="1E083830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接口优化：对高频查询接口（案例列表、空间配置）增加缓存，减少数据库查询压力，参考蔚来接口缓存策略；</w:t>
      </w:r>
    </w:p>
    <w:p w14:paraId="63BC0943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数据库优化：对核心数据表（案例库、物料库）建立索引，优化查询语句，参考蔚来数据库优化逻辑，提升查询效率；</w:t>
      </w:r>
    </w:p>
    <w:p w14:paraId="060D111E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并发处理：支持多用户同时查询、对比、自选配置，增加并发控制，避免数据冲突，参考蔚来并发处理逻辑；</w:t>
      </w:r>
    </w:p>
    <w:p w14:paraId="7E28CCB0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文件处理：优化PDF/PPT上传、预览、转图功能，采用分片上传、异步处理，参考蔚来文件处理逻辑，提升用户体验。</w:t>
      </w:r>
    </w:p>
    <w:p w14:paraId="468196AE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五、前后端联动注意事项（参考蔚来前后端联动逻辑）</w:t>
      </w:r>
      <w:bookmarkEnd w:id="33"/>
    </w:p>
    <w:p w14:paraId="13E9A119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接口联调：前端开发完成基础布局后，与后端同步进行接口联调，确保数据渲染正常，参考蔚来前后端联调流程；</w:t>
      </w:r>
    </w:p>
    <w:p w14:paraId="09CD5B48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数据格式：前后端约定统一的数据格式，后端返回数据需严格遵循约定，避免前端渲染异常，参考蔚来数据格式约定；</w:t>
      </w:r>
    </w:p>
    <w:p w14:paraId="7C228AC6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交互联动：前端交互（如配置切换、对比、自选）需与后端接口联动，确保交互流畅，无卡顿、无数据延迟，参考蔚来前后端交互联动逻辑；</w:t>
      </w:r>
    </w:p>
    <w:p w14:paraId="5661B790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异常处理：前后端同步处理异常（如接口报错、数据不存在、互斥配置），前端给出清晰提示，后端记录异常日志，参考蔚来异常处理逻辑；</w:t>
      </w:r>
    </w:p>
    <w:p w14:paraId="4FA6C5F2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版本同步：前后端开发版本保持同步，后端接口更新后，及时通知前端调整，避免版本脱节，参考蔚来版本管理逻辑。</w:t>
      </w:r>
    </w:p>
    <w:p w14:paraId="072463A0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六、参考资料补充说明</w:t>
      </w:r>
      <w:bookmarkEnd w:id="34"/>
    </w:p>
    <w:p w14:paraId="658459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核心参考：蔚来汽车官网（https://www.nio.cn/），重点参考其页面结构、交互范式、数据联动、服务展示逻辑，是本次开发的核心模板；</w:t>
      </w:r>
    </w:p>
    <w:p w14:paraId="0041AE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辅助参考：理想i8官网（https://www.lixiang.com/i8），重点参考其场景化展示、动效设计、配置对比细节、实时计价逻辑，补充蔚来官网的不足；</w:t>
      </w:r>
    </w:p>
    <w:p w14:paraId="14138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适配调整：所有参考内容均结合梵木里家居全案的业务需求进行适配，避免生搬硬套汽车行业逻辑，重点突出家居「多空间、个性化、服务化」的核心差异，确保开发内容贴合实际业务。</w:t>
      </w:r>
      <w:bookmarkStart w:id="35" w:name="_GoBack"/>
      <w:bookmarkEnd w:id="3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8137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E879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95E682A1"/>
    <w:multiLevelType w:val="singleLevel"/>
    <w:tmpl w:val="95E682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ACF65A0"/>
    <w:multiLevelType w:val="singleLevel"/>
    <w:tmpl w:val="9ACF65A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9C11E984"/>
    <w:multiLevelType w:val="singleLevel"/>
    <w:tmpl w:val="9C11E9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9C7198AA"/>
    <w:multiLevelType w:val="singleLevel"/>
    <w:tmpl w:val="9C7198A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D5D7490"/>
    <w:multiLevelType w:val="singleLevel"/>
    <w:tmpl w:val="9D5D749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9D7EB8E6"/>
    <w:multiLevelType w:val="singleLevel"/>
    <w:tmpl w:val="9D7EB8E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9DFC6F65"/>
    <w:multiLevelType w:val="singleLevel"/>
    <w:tmpl w:val="9DFC6F6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9F81B9F9"/>
    <w:multiLevelType w:val="singleLevel"/>
    <w:tmpl w:val="9F81B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A0C93552"/>
    <w:multiLevelType w:val="singleLevel"/>
    <w:tmpl w:val="A0C935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A9AC3AA7"/>
    <w:multiLevelType w:val="singleLevel"/>
    <w:tmpl w:val="A9AC3A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AAF3F3FA"/>
    <w:multiLevelType w:val="singleLevel"/>
    <w:tmpl w:val="AAF3F3F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B0ED9BEA"/>
    <w:multiLevelType w:val="singleLevel"/>
    <w:tmpl w:val="B0ED9B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88D21A8"/>
    <w:multiLevelType w:val="singleLevel"/>
    <w:tmpl w:val="B88D21A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BE8A4F4C"/>
    <w:multiLevelType w:val="singleLevel"/>
    <w:tmpl w:val="BE8A4F4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BF50FE6B"/>
    <w:multiLevelType w:val="singleLevel"/>
    <w:tmpl w:val="BF50FE6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C4E0D24A"/>
    <w:multiLevelType w:val="singleLevel"/>
    <w:tmpl w:val="C4E0D2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C9412743"/>
    <w:multiLevelType w:val="singleLevel"/>
    <w:tmpl w:val="C941274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5">
    <w:nsid w:val="CD699D1D"/>
    <w:multiLevelType w:val="singleLevel"/>
    <w:tmpl w:val="CD699D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DAD3A854"/>
    <w:multiLevelType w:val="singleLevel"/>
    <w:tmpl w:val="DAD3A8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E0294EC7"/>
    <w:multiLevelType w:val="singleLevel"/>
    <w:tmpl w:val="E0294E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504947C"/>
    <w:multiLevelType w:val="singleLevel"/>
    <w:tmpl w:val="E504947C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7">
    <w:nsid w:val="E52D9448"/>
    <w:multiLevelType w:val="singleLevel"/>
    <w:tmpl w:val="E52D94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E7B27C5B"/>
    <w:multiLevelType w:val="singleLevel"/>
    <w:tmpl w:val="E7B27C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9">
    <w:nsid w:val="EA28CC15"/>
    <w:multiLevelType w:val="singleLevel"/>
    <w:tmpl w:val="EA28CC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F1FCDEFA"/>
    <w:multiLevelType w:val="singleLevel"/>
    <w:tmpl w:val="F1FCDEF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2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46CCC20"/>
    <w:multiLevelType w:val="singleLevel"/>
    <w:tmpl w:val="F46CCC2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F4A942FE"/>
    <w:multiLevelType w:val="singleLevel"/>
    <w:tmpl w:val="F4A942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585BF25"/>
    <w:multiLevelType w:val="singleLevel"/>
    <w:tmpl w:val="F585BF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01D7E1C7"/>
    <w:multiLevelType w:val="singleLevel"/>
    <w:tmpl w:val="01D7E1C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0DC629B0"/>
    <w:multiLevelType w:val="singleLevel"/>
    <w:tmpl w:val="0DC629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4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10F0DB0B"/>
    <w:multiLevelType w:val="singleLevel"/>
    <w:tmpl w:val="10F0DB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12EADF99"/>
    <w:multiLevelType w:val="singleLevel"/>
    <w:tmpl w:val="12EADF9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7">
    <w:nsid w:val="1450273B"/>
    <w:multiLevelType w:val="singleLevel"/>
    <w:tmpl w:val="1450273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8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0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1BCBBCF0"/>
    <w:multiLevelType w:val="singleLevel"/>
    <w:tmpl w:val="1BCBBCF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2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227C9188"/>
    <w:multiLevelType w:val="singleLevel"/>
    <w:tmpl w:val="227C918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6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7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251342A6"/>
    <w:multiLevelType w:val="singleLevel"/>
    <w:tmpl w:val="251342A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2B3F3F89"/>
    <w:multiLevelType w:val="singleLevel"/>
    <w:tmpl w:val="2B3F3F8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3">
    <w:nsid w:val="2F2D79CE"/>
    <w:multiLevelType w:val="singleLevel"/>
    <w:tmpl w:val="2F2D79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4">
    <w:nsid w:val="30A0AC00"/>
    <w:multiLevelType w:val="singleLevel"/>
    <w:tmpl w:val="30A0AC0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7">
    <w:nsid w:val="32A7AF2D"/>
    <w:multiLevelType w:val="singleLevel"/>
    <w:tmpl w:val="32A7AF2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8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3A7FBA26"/>
    <w:multiLevelType w:val="singleLevel"/>
    <w:tmpl w:val="3A7FBA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1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3FE315B6"/>
    <w:multiLevelType w:val="singleLevel"/>
    <w:tmpl w:val="3FE315B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40B249F9"/>
    <w:multiLevelType w:val="singleLevel"/>
    <w:tmpl w:val="40B24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4">
    <w:nsid w:val="40F245EA"/>
    <w:multiLevelType w:val="singleLevel"/>
    <w:tmpl w:val="40F245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5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4A51D704"/>
    <w:multiLevelType w:val="singleLevel"/>
    <w:tmpl w:val="4A51D70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0">
    <w:nsid w:val="4CD1E351"/>
    <w:multiLevelType w:val="singleLevel"/>
    <w:tmpl w:val="4CD1E35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4D63189B"/>
    <w:multiLevelType w:val="singleLevel"/>
    <w:tmpl w:val="4D63189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4FB438A5"/>
    <w:multiLevelType w:val="singleLevel"/>
    <w:tmpl w:val="4FB438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5">
    <w:nsid w:val="51C4BC33"/>
    <w:multiLevelType w:val="singleLevel"/>
    <w:tmpl w:val="51C4BC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6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5FCE4367"/>
    <w:multiLevelType w:val="singleLevel"/>
    <w:tmpl w:val="5FCE436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3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8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700FDCEF"/>
    <w:multiLevelType w:val="singleLevel"/>
    <w:tmpl w:val="700FDC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3">
    <w:nsid w:val="77633216"/>
    <w:multiLevelType w:val="singleLevel"/>
    <w:tmpl w:val="7763321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1"/>
  </w:num>
  <w:num w:numId="2">
    <w:abstractNumId w:val="46"/>
  </w:num>
  <w:num w:numId="3">
    <w:abstractNumId w:val="128"/>
  </w:num>
  <w:num w:numId="4">
    <w:abstractNumId w:val="38"/>
  </w:num>
  <w:num w:numId="5">
    <w:abstractNumId w:val="30"/>
  </w:num>
  <w:num w:numId="6">
    <w:abstractNumId w:val="77"/>
  </w:num>
  <w:num w:numId="7">
    <w:abstractNumId w:val="100"/>
  </w:num>
  <w:num w:numId="8">
    <w:abstractNumId w:val="141"/>
  </w:num>
  <w:num w:numId="9">
    <w:abstractNumId w:val="74"/>
  </w:num>
  <w:num w:numId="10">
    <w:abstractNumId w:val="9"/>
  </w:num>
  <w:num w:numId="11">
    <w:abstractNumId w:val="101"/>
  </w:num>
  <w:num w:numId="12">
    <w:abstractNumId w:val="130"/>
  </w:num>
  <w:num w:numId="13">
    <w:abstractNumId w:val="42"/>
  </w:num>
  <w:num w:numId="14">
    <w:abstractNumId w:val="121"/>
  </w:num>
  <w:num w:numId="15">
    <w:abstractNumId w:val="66"/>
  </w:num>
  <w:num w:numId="16">
    <w:abstractNumId w:val="98"/>
  </w:num>
  <w:num w:numId="17">
    <w:abstractNumId w:val="52"/>
  </w:num>
  <w:num w:numId="18">
    <w:abstractNumId w:val="50"/>
  </w:num>
  <w:num w:numId="19">
    <w:abstractNumId w:val="17"/>
  </w:num>
  <w:num w:numId="20">
    <w:abstractNumId w:val="118"/>
  </w:num>
  <w:num w:numId="21">
    <w:abstractNumId w:val="134"/>
  </w:num>
  <w:num w:numId="22">
    <w:abstractNumId w:val="82"/>
  </w:num>
  <w:num w:numId="23">
    <w:abstractNumId w:val="116"/>
  </w:num>
  <w:num w:numId="24">
    <w:abstractNumId w:val="27"/>
  </w:num>
  <w:num w:numId="25">
    <w:abstractNumId w:val="146"/>
  </w:num>
  <w:num w:numId="26">
    <w:abstractNumId w:val="144"/>
  </w:num>
  <w:num w:numId="27">
    <w:abstractNumId w:val="37"/>
  </w:num>
  <w:num w:numId="28">
    <w:abstractNumId w:val="136"/>
  </w:num>
  <w:num w:numId="29">
    <w:abstractNumId w:val="10"/>
  </w:num>
  <w:num w:numId="30">
    <w:abstractNumId w:val="109"/>
  </w:num>
  <w:num w:numId="31">
    <w:abstractNumId w:val="4"/>
  </w:num>
  <w:num w:numId="32">
    <w:abstractNumId w:val="127"/>
  </w:num>
  <w:num w:numId="33">
    <w:abstractNumId w:val="147"/>
  </w:num>
  <w:num w:numId="34">
    <w:abstractNumId w:val="1"/>
  </w:num>
  <w:num w:numId="35">
    <w:abstractNumId w:val="97"/>
  </w:num>
  <w:num w:numId="36">
    <w:abstractNumId w:val="123"/>
  </w:num>
  <w:num w:numId="37">
    <w:abstractNumId w:val="69"/>
  </w:num>
  <w:num w:numId="38">
    <w:abstractNumId w:val="54"/>
  </w:num>
  <w:num w:numId="39">
    <w:abstractNumId w:val="105"/>
  </w:num>
  <w:num w:numId="40">
    <w:abstractNumId w:val="145"/>
  </w:num>
  <w:num w:numId="41">
    <w:abstractNumId w:val="33"/>
  </w:num>
  <w:num w:numId="42">
    <w:abstractNumId w:val="7"/>
  </w:num>
  <w:num w:numId="43">
    <w:abstractNumId w:val="32"/>
  </w:num>
  <w:num w:numId="44">
    <w:abstractNumId w:val="131"/>
  </w:num>
  <w:num w:numId="45">
    <w:abstractNumId w:val="3"/>
  </w:num>
  <w:num w:numId="46">
    <w:abstractNumId w:val="89"/>
  </w:num>
  <w:num w:numId="47">
    <w:abstractNumId w:val="6"/>
  </w:num>
  <w:num w:numId="48">
    <w:abstractNumId w:val="133"/>
  </w:num>
  <w:num w:numId="49">
    <w:abstractNumId w:val="142"/>
  </w:num>
  <w:num w:numId="50">
    <w:abstractNumId w:val="119"/>
  </w:num>
  <w:num w:numId="51">
    <w:abstractNumId w:val="106"/>
  </w:num>
  <w:num w:numId="52">
    <w:abstractNumId w:val="137"/>
  </w:num>
  <w:num w:numId="53">
    <w:abstractNumId w:val="78"/>
  </w:num>
  <w:num w:numId="54">
    <w:abstractNumId w:val="80"/>
  </w:num>
  <w:num w:numId="55">
    <w:abstractNumId w:val="49"/>
  </w:num>
  <w:num w:numId="56">
    <w:abstractNumId w:val="107"/>
  </w:num>
  <w:num w:numId="57">
    <w:abstractNumId w:val="92"/>
  </w:num>
  <w:num w:numId="58">
    <w:abstractNumId w:val="60"/>
  </w:num>
  <w:num w:numId="59">
    <w:abstractNumId w:val="96"/>
  </w:num>
  <w:num w:numId="60">
    <w:abstractNumId w:val="29"/>
  </w:num>
  <w:num w:numId="61">
    <w:abstractNumId w:val="113"/>
  </w:num>
  <w:num w:numId="62">
    <w:abstractNumId w:val="83"/>
  </w:num>
  <w:num w:numId="63">
    <w:abstractNumId w:val="108"/>
  </w:num>
  <w:num w:numId="64">
    <w:abstractNumId w:val="75"/>
  </w:num>
  <w:num w:numId="65">
    <w:abstractNumId w:val="40"/>
  </w:num>
  <w:num w:numId="66">
    <w:abstractNumId w:val="86"/>
  </w:num>
  <w:num w:numId="67">
    <w:abstractNumId w:val="28"/>
  </w:num>
  <w:num w:numId="68">
    <w:abstractNumId w:val="111"/>
  </w:num>
  <w:num w:numId="69">
    <w:abstractNumId w:val="23"/>
  </w:num>
  <w:num w:numId="70">
    <w:abstractNumId w:val="68"/>
  </w:num>
  <w:num w:numId="71">
    <w:abstractNumId w:val="104"/>
  </w:num>
  <w:num w:numId="72">
    <w:abstractNumId w:val="70"/>
  </w:num>
  <w:num w:numId="73">
    <w:abstractNumId w:val="88"/>
  </w:num>
  <w:num w:numId="74">
    <w:abstractNumId w:val="140"/>
  </w:num>
  <w:num w:numId="75">
    <w:abstractNumId w:val="56"/>
  </w:num>
  <w:num w:numId="76">
    <w:abstractNumId w:val="41"/>
  </w:num>
  <w:num w:numId="77">
    <w:abstractNumId w:val="22"/>
  </w:num>
  <w:num w:numId="78">
    <w:abstractNumId w:val="143"/>
  </w:num>
  <w:num w:numId="79">
    <w:abstractNumId w:val="51"/>
  </w:num>
  <w:num w:numId="80">
    <w:abstractNumId w:val="31"/>
  </w:num>
  <w:num w:numId="81">
    <w:abstractNumId w:val="103"/>
  </w:num>
  <w:num w:numId="82">
    <w:abstractNumId w:val="58"/>
  </w:num>
  <w:num w:numId="83">
    <w:abstractNumId w:val="14"/>
  </w:num>
  <w:num w:numId="84">
    <w:abstractNumId w:val="129"/>
  </w:num>
  <w:num w:numId="85">
    <w:abstractNumId w:val="35"/>
  </w:num>
  <w:num w:numId="86">
    <w:abstractNumId w:val="26"/>
  </w:num>
  <w:num w:numId="87">
    <w:abstractNumId w:val="11"/>
  </w:num>
  <w:num w:numId="88">
    <w:abstractNumId w:val="18"/>
  </w:num>
  <w:num w:numId="89">
    <w:abstractNumId w:val="25"/>
  </w:num>
  <w:num w:numId="90">
    <w:abstractNumId w:val="8"/>
  </w:num>
  <w:num w:numId="91">
    <w:abstractNumId w:val="91"/>
  </w:num>
  <w:num w:numId="92">
    <w:abstractNumId w:val="36"/>
  </w:num>
  <w:num w:numId="93">
    <w:abstractNumId w:val="87"/>
  </w:num>
  <w:num w:numId="94">
    <w:abstractNumId w:val="47"/>
  </w:num>
  <w:num w:numId="95">
    <w:abstractNumId w:val="138"/>
  </w:num>
  <w:num w:numId="96">
    <w:abstractNumId w:val="0"/>
  </w:num>
  <w:num w:numId="97">
    <w:abstractNumId w:val="34"/>
  </w:num>
  <w:num w:numId="98">
    <w:abstractNumId w:val="67"/>
  </w:num>
  <w:num w:numId="99">
    <w:abstractNumId w:val="120"/>
  </w:num>
  <w:num w:numId="100">
    <w:abstractNumId w:val="84"/>
  </w:num>
  <w:num w:numId="101">
    <w:abstractNumId w:val="15"/>
  </w:num>
  <w:num w:numId="102">
    <w:abstractNumId w:val="53"/>
  </w:num>
  <w:num w:numId="103">
    <w:abstractNumId w:val="90"/>
  </w:num>
  <w:num w:numId="104">
    <w:abstractNumId w:val="117"/>
  </w:num>
  <w:num w:numId="105">
    <w:abstractNumId w:val="24"/>
  </w:num>
  <w:num w:numId="106">
    <w:abstractNumId w:val="135"/>
  </w:num>
  <w:num w:numId="107">
    <w:abstractNumId w:val="2"/>
  </w:num>
  <w:num w:numId="108">
    <w:abstractNumId w:val="5"/>
  </w:num>
  <w:num w:numId="109">
    <w:abstractNumId w:val="72"/>
  </w:num>
  <w:num w:numId="110">
    <w:abstractNumId w:val="21"/>
  </w:num>
  <w:num w:numId="111">
    <w:abstractNumId w:val="39"/>
  </w:num>
  <w:num w:numId="112">
    <w:abstractNumId w:val="43"/>
  </w:num>
  <w:num w:numId="113">
    <w:abstractNumId w:val="65"/>
  </w:num>
  <w:num w:numId="114">
    <w:abstractNumId w:val="132"/>
  </w:num>
  <w:num w:numId="115">
    <w:abstractNumId w:val="63"/>
  </w:num>
  <w:num w:numId="116">
    <w:abstractNumId w:val="126"/>
  </w:num>
  <w:num w:numId="117">
    <w:abstractNumId w:val="94"/>
  </w:num>
  <w:num w:numId="118">
    <w:abstractNumId w:val="13"/>
  </w:num>
  <w:num w:numId="119">
    <w:abstractNumId w:val="76"/>
  </w:num>
  <w:num w:numId="120">
    <w:abstractNumId w:val="20"/>
  </w:num>
  <w:num w:numId="121">
    <w:abstractNumId w:val="102"/>
  </w:num>
  <w:num w:numId="122">
    <w:abstractNumId w:val="125"/>
  </w:num>
  <w:num w:numId="123">
    <w:abstractNumId w:val="45"/>
  </w:num>
  <w:num w:numId="124">
    <w:abstractNumId w:val="16"/>
  </w:num>
  <w:num w:numId="125">
    <w:abstractNumId w:val="99"/>
  </w:num>
  <w:num w:numId="126">
    <w:abstractNumId w:val="114"/>
  </w:num>
  <w:num w:numId="127">
    <w:abstractNumId w:val="85"/>
  </w:num>
  <w:num w:numId="128">
    <w:abstractNumId w:val="122"/>
  </w:num>
  <w:num w:numId="129">
    <w:abstractNumId w:val="124"/>
  </w:num>
  <w:num w:numId="130">
    <w:abstractNumId w:val="95"/>
  </w:num>
  <w:num w:numId="131">
    <w:abstractNumId w:val="57"/>
  </w:num>
  <w:num w:numId="132">
    <w:abstractNumId w:val="19"/>
  </w:num>
  <w:num w:numId="133">
    <w:abstractNumId w:val="110"/>
  </w:num>
  <w:num w:numId="134">
    <w:abstractNumId w:val="112"/>
  </w:num>
  <w:num w:numId="135">
    <w:abstractNumId w:val="81"/>
  </w:num>
  <w:num w:numId="136">
    <w:abstractNumId w:val="139"/>
  </w:num>
  <w:num w:numId="137">
    <w:abstractNumId w:val="55"/>
  </w:num>
  <w:num w:numId="138">
    <w:abstractNumId w:val="93"/>
  </w:num>
  <w:num w:numId="139">
    <w:abstractNumId w:val="79"/>
  </w:num>
  <w:num w:numId="140">
    <w:abstractNumId w:val="59"/>
  </w:num>
  <w:num w:numId="141">
    <w:abstractNumId w:val="62"/>
  </w:num>
  <w:num w:numId="142">
    <w:abstractNumId w:val="48"/>
  </w:num>
  <w:num w:numId="143">
    <w:abstractNumId w:val="115"/>
  </w:num>
  <w:num w:numId="144">
    <w:abstractNumId w:val="64"/>
  </w:num>
  <w:num w:numId="145">
    <w:abstractNumId w:val="12"/>
  </w:num>
  <w:num w:numId="146">
    <w:abstractNumId w:val="61"/>
  </w:num>
  <w:num w:numId="147">
    <w:abstractNumId w:val="73"/>
  </w:num>
  <w:num w:numId="14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6732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7983</Words>
  <Characters>9223</Characters>
  <TotalTime>1</TotalTime>
  <ScaleCrop>false</ScaleCrop>
  <LinksUpToDate>false</LinksUpToDate>
  <CharactersWithSpaces>9383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2026-04-29T05:27:00Z</dcterms:created>
  <dc:creator>Apache POI</dc:creator>
  <cp:lastModifiedBy>王學明</cp:lastModifiedBy>
  <dcterms:modified xsi:type="dcterms:W3CDTF">2026-04-29T05:30:44Z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eyJoZGlkIjoiOTFhNmQzZGI1OTc5NDZiZWU4ZjU3ZGFlNGRmN2MyYmYiLCJ1c2VySWQiOiIyNjkzMDMzMDQifQ==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42CE4A58D7824747921A8A2DE8CCDB04_13</vt:lpwstr>
  </property>
</Properties>
</file>