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5B4" w:rsidRDefault="009A65B4" w:rsidP="009A65B4">
      <w:pPr>
        <w:spacing w:line="360" w:lineRule="auto"/>
        <w:jc w:val="center"/>
      </w:pPr>
      <w:r>
        <w:t xml:space="preserve">BIBLE READING REPORT # </w:t>
      </w:r>
      <w:r>
        <w:t>2</w:t>
      </w:r>
    </w:p>
    <w:p w:rsidR="009A65B4" w:rsidRDefault="009A65B4" w:rsidP="009A65B4">
      <w:pPr>
        <w:spacing w:line="360" w:lineRule="auto"/>
        <w:jc w:val="center"/>
        <w:rPr>
          <w:i/>
        </w:rPr>
      </w:pPr>
      <w:r w:rsidRPr="00D90156">
        <w:t>(</w:t>
      </w:r>
      <w:r w:rsidRPr="0048632E">
        <w:rPr>
          <w:i/>
        </w:rPr>
        <w:t xml:space="preserve">Based </w:t>
      </w:r>
      <w:r>
        <w:rPr>
          <w:i/>
        </w:rPr>
        <w:t>on Revelation</w:t>
      </w:r>
      <w:r w:rsidRPr="0048632E">
        <w:rPr>
          <w:i/>
          <w:spacing w:val="-13"/>
        </w:rPr>
        <w:t xml:space="preserve"> </w:t>
      </w:r>
      <w:r>
        <w:rPr>
          <w:i/>
          <w:spacing w:val="-13"/>
        </w:rPr>
        <w:t>Chapters</w:t>
      </w:r>
      <w:r>
        <w:rPr>
          <w:i/>
          <w:spacing w:val="-13"/>
        </w:rPr>
        <w:t xml:space="preserve"> 3–4</w:t>
      </w:r>
      <w:r>
        <w:rPr>
          <w:i/>
          <w:spacing w:val="-13"/>
        </w:rPr>
        <w:t>)</w:t>
      </w:r>
    </w:p>
    <w:p w:rsidR="009A65B4" w:rsidRDefault="009A65B4" w:rsidP="009A65B4">
      <w:pPr>
        <w:spacing w:line="360" w:lineRule="auto"/>
        <w:jc w:val="center"/>
        <w:rPr>
          <w:i/>
        </w:rPr>
      </w:pPr>
    </w:p>
    <w:p w:rsidR="009A65B4" w:rsidRDefault="009A65B4" w:rsidP="009A65B4">
      <w:pPr>
        <w:spacing w:line="360" w:lineRule="auto"/>
      </w:pPr>
      <w:r w:rsidRPr="00EE5BE3">
        <w:rPr>
          <w:i/>
          <w:u w:val="single"/>
        </w:rPr>
        <w:t>Name</w:t>
      </w:r>
      <w:r>
        <w:rPr>
          <w:i/>
        </w:rPr>
        <w:t xml:space="preserve">: </w:t>
      </w:r>
      <w:r>
        <w:rPr>
          <w:iCs/>
          <w:u w:val="single"/>
        </w:rPr>
        <w:t>John Calvert A. Famorcan</w:t>
      </w:r>
    </w:p>
    <w:p w:rsidR="009A65B4" w:rsidRDefault="009A65B4" w:rsidP="009A65B4">
      <w:pPr>
        <w:pStyle w:val="ListParagraph"/>
        <w:numPr>
          <w:ilvl w:val="0"/>
          <w:numId w:val="1"/>
        </w:numPr>
        <w:tabs>
          <w:tab w:val="left" w:pos="1934"/>
          <w:tab w:val="left" w:pos="1935"/>
        </w:tabs>
        <w:spacing w:after="120"/>
        <w:ind w:left="363" w:hanging="363"/>
        <w:rPr>
          <w:bCs/>
          <w:sz w:val="24"/>
          <w:szCs w:val="24"/>
        </w:rPr>
      </w:pPr>
      <w:r w:rsidRPr="006663B3">
        <w:rPr>
          <w:bCs/>
          <w:sz w:val="24"/>
          <w:szCs w:val="24"/>
        </w:rPr>
        <w:t>What is the line of the author’s</w:t>
      </w:r>
      <w:r w:rsidRPr="006663B3">
        <w:rPr>
          <w:bCs/>
          <w:spacing w:val="-11"/>
          <w:sz w:val="24"/>
          <w:szCs w:val="24"/>
        </w:rPr>
        <w:t xml:space="preserve"> </w:t>
      </w:r>
      <w:r w:rsidRPr="006663B3">
        <w:rPr>
          <w:bCs/>
          <w:sz w:val="24"/>
          <w:szCs w:val="24"/>
        </w:rPr>
        <w:t>argument?</w:t>
      </w:r>
    </w:p>
    <w:p w:rsidR="009A65B4" w:rsidRPr="009A65B4" w:rsidRDefault="009A65B4" w:rsidP="009A65B4">
      <w:pPr>
        <w:tabs>
          <w:tab w:val="left" w:pos="1934"/>
          <w:tab w:val="left" w:pos="1935"/>
        </w:tabs>
        <w:spacing w:line="360" w:lineRule="auto"/>
        <w:ind w:firstLine="567"/>
        <w:rPr>
          <w:bCs/>
        </w:rPr>
      </w:pPr>
      <w:r w:rsidRPr="009A65B4">
        <w:rPr>
          <w:bCs/>
        </w:rPr>
        <w:t xml:space="preserve">The primary argument in Revelation Chapters 3 and 4 focused on the necessity for spiritual formation and authenticity among believers. In Chapter 3, the messages to the churches of Sardis, Philadelphia, and Laodicea serve as an example of broader Christian challenges. The church at Sardis is admonished for its superficial faith having a reputation of life but being spiritually dead. In contrast, Philadelphia receives commendation for its perseverance under persecution, while Laodicea faces severe rebuke for its </w:t>
      </w:r>
      <w:proofErr w:type="spellStart"/>
      <w:r w:rsidRPr="009A65B4">
        <w:rPr>
          <w:bCs/>
        </w:rPr>
        <w:t>lukewarmness</w:t>
      </w:r>
      <w:proofErr w:type="spellEnd"/>
      <w:r w:rsidRPr="009A65B4">
        <w:rPr>
          <w:bCs/>
        </w:rPr>
        <w:t xml:space="preserve">. The </w:t>
      </w:r>
      <w:r>
        <w:rPr>
          <w:bCs/>
        </w:rPr>
        <w:t>overall</w:t>
      </w:r>
      <w:r w:rsidRPr="009A65B4">
        <w:rPr>
          <w:bCs/>
        </w:rPr>
        <w:t xml:space="preserve"> message is clear </w:t>
      </w:r>
      <w:r>
        <w:rPr>
          <w:bCs/>
        </w:rPr>
        <w:t xml:space="preserve">that </w:t>
      </w:r>
      <w:r w:rsidRPr="009A65B4">
        <w:rPr>
          <w:bCs/>
        </w:rPr>
        <w:t>true faith must manifest in genuine works and steadfastness in Christ. Moreover, God's sovereignty and glory were emphasized in Chapter 4 as John's vision of the heavenly kingdom revealed the majesty of God.</w:t>
      </w:r>
    </w:p>
    <w:p w:rsidR="009A65B4" w:rsidRPr="009A65B4" w:rsidRDefault="009A65B4" w:rsidP="009A65B4">
      <w:pPr>
        <w:pStyle w:val="ListParagraph"/>
        <w:numPr>
          <w:ilvl w:val="0"/>
          <w:numId w:val="1"/>
        </w:numPr>
        <w:tabs>
          <w:tab w:val="left" w:pos="1934"/>
          <w:tab w:val="left" w:pos="1935"/>
        </w:tabs>
        <w:spacing w:after="120"/>
        <w:ind w:left="363" w:hanging="363"/>
        <w:rPr>
          <w:sz w:val="24"/>
          <w:szCs w:val="24"/>
        </w:rPr>
      </w:pPr>
      <w:r w:rsidRPr="006663B3">
        <w:rPr>
          <w:bCs/>
          <w:sz w:val="24"/>
          <w:szCs w:val="24"/>
        </w:rPr>
        <w:t>What is the issue the author is</w:t>
      </w:r>
      <w:r w:rsidRPr="006663B3">
        <w:rPr>
          <w:bCs/>
          <w:spacing w:val="-9"/>
          <w:sz w:val="24"/>
          <w:szCs w:val="24"/>
        </w:rPr>
        <w:t xml:space="preserve"> </w:t>
      </w:r>
      <w:r w:rsidRPr="006663B3">
        <w:rPr>
          <w:bCs/>
          <w:sz w:val="24"/>
          <w:szCs w:val="24"/>
        </w:rPr>
        <w:t xml:space="preserve">addressing? </w:t>
      </w:r>
    </w:p>
    <w:p w:rsidR="009A65B4" w:rsidRPr="009A65B4" w:rsidRDefault="009A65B4" w:rsidP="009A65B4">
      <w:pPr>
        <w:tabs>
          <w:tab w:val="left" w:pos="1934"/>
          <w:tab w:val="left" w:pos="1935"/>
        </w:tabs>
        <w:spacing w:line="360" w:lineRule="auto"/>
        <w:ind w:firstLine="567"/>
      </w:pPr>
      <w:r>
        <w:t>The author addresses several issues faced by early Christians, particularly the dangers of complacency and hypocrisy. The church in Sardis exemplifies this issue it appears flourishing yet lacks of true spiritual life. Jesus calls them to "wake up" and strengthen what remains (Revelation 3:2). This call highlights a broader concern regarding spiritual insensibility within the church a reality that resonates with cont</w:t>
      </w:r>
      <w:r>
        <w:t xml:space="preserve">emporary congregations as well. </w:t>
      </w:r>
      <w:proofErr w:type="gramStart"/>
      <w:r>
        <w:t>Moreover</w:t>
      </w:r>
      <w:proofErr w:type="gramEnd"/>
      <w:r>
        <w:t xml:space="preserve">, the </w:t>
      </w:r>
      <w:proofErr w:type="spellStart"/>
      <w:r>
        <w:t>Laodicean</w:t>
      </w:r>
      <w:proofErr w:type="spellEnd"/>
      <w:r>
        <w:t xml:space="preserve"> church represents a more alarming condition, spiritual arrogance and self-sufficiency. Their lukewarm state evokes disgust from Christ, who warns that they will be "spit out" unless they repent (Revelation 3:16). This stark warning emphasizes the importance of recognizing one's spiritual condition and responding appropriately.</w:t>
      </w:r>
    </w:p>
    <w:p w:rsidR="009A65B4" w:rsidRPr="006663B3" w:rsidRDefault="009A65B4" w:rsidP="009A65B4">
      <w:pPr>
        <w:pStyle w:val="ListParagraph"/>
        <w:numPr>
          <w:ilvl w:val="0"/>
          <w:numId w:val="1"/>
        </w:numPr>
        <w:tabs>
          <w:tab w:val="left" w:pos="1934"/>
          <w:tab w:val="left" w:pos="1935"/>
        </w:tabs>
        <w:spacing w:after="120"/>
        <w:ind w:left="363" w:hanging="363"/>
        <w:rPr>
          <w:bCs/>
          <w:sz w:val="24"/>
          <w:szCs w:val="24"/>
        </w:rPr>
      </w:pPr>
      <w:r w:rsidRPr="006663B3">
        <w:rPr>
          <w:bCs/>
          <w:sz w:val="24"/>
          <w:szCs w:val="24"/>
        </w:rPr>
        <w:t>What is new to</w:t>
      </w:r>
      <w:r w:rsidRPr="006663B3">
        <w:rPr>
          <w:bCs/>
          <w:spacing w:val="-1"/>
          <w:sz w:val="24"/>
          <w:szCs w:val="24"/>
        </w:rPr>
        <w:t xml:space="preserve"> </w:t>
      </w:r>
      <w:r w:rsidRPr="006663B3">
        <w:rPr>
          <w:bCs/>
          <w:sz w:val="24"/>
          <w:szCs w:val="24"/>
        </w:rPr>
        <w:t>me?</w:t>
      </w:r>
    </w:p>
    <w:p w:rsidR="009A65B4" w:rsidRDefault="009A65B4" w:rsidP="009A65B4">
      <w:pPr>
        <w:tabs>
          <w:tab w:val="left" w:pos="1934"/>
          <w:tab w:val="left" w:pos="1935"/>
        </w:tabs>
        <w:spacing w:line="360" w:lineRule="auto"/>
        <w:ind w:firstLine="567"/>
        <w:rPr>
          <w:bCs/>
        </w:rPr>
      </w:pPr>
      <w:r w:rsidRPr="009A65B4">
        <w:rPr>
          <w:bCs/>
        </w:rPr>
        <w:t xml:space="preserve">In Revelation Chapters 3 and 4, the descriptive imagery of divine judgment and grace particularly captivates me. The message to the church in Laodicea stands out, where Christ rebukes their </w:t>
      </w:r>
      <w:proofErr w:type="spellStart"/>
      <w:r w:rsidRPr="009A65B4">
        <w:rPr>
          <w:bCs/>
        </w:rPr>
        <w:t>lukewarmness</w:t>
      </w:r>
      <w:proofErr w:type="spellEnd"/>
      <w:r w:rsidRPr="009A65B4">
        <w:rPr>
          <w:bCs/>
        </w:rPr>
        <w:t xml:space="preserve"> and invites them to repentance (Revelation 3:16-20). This call for self-examination highlights the importance of authenticity in faith. The promise of the reward highlights the depth of divine grace extended to those who respond.</w:t>
      </w:r>
      <w:r>
        <w:rPr>
          <w:bCs/>
        </w:rPr>
        <w:t xml:space="preserve"> </w:t>
      </w:r>
      <w:r w:rsidRPr="009A65B4">
        <w:rPr>
          <w:bCs/>
        </w:rPr>
        <w:t xml:space="preserve">Additionally, Chapter 4’s portrayal of God’s throne surrounded by twenty-four elders </w:t>
      </w:r>
      <w:r>
        <w:rPr>
          <w:bCs/>
        </w:rPr>
        <w:t>and four living creatures encourage</w:t>
      </w:r>
      <w:r w:rsidRPr="009A65B4">
        <w:rPr>
          <w:bCs/>
        </w:rPr>
        <w:t xml:space="preserve"> a </w:t>
      </w:r>
      <w:r>
        <w:rPr>
          <w:bCs/>
        </w:rPr>
        <w:lastRenderedPageBreak/>
        <w:t>deep</w:t>
      </w:r>
      <w:r w:rsidRPr="009A65B4">
        <w:rPr>
          <w:bCs/>
        </w:rPr>
        <w:t xml:space="preserve"> sense of awe and reverence. The proclamation, “Holy, holy, holy is the Lord God Almighty,” serves as a reminder of God's eternal sovereignty and majesty. </w:t>
      </w:r>
    </w:p>
    <w:p w:rsidR="009A65B4" w:rsidRPr="006663B3" w:rsidRDefault="009A65B4" w:rsidP="009A65B4">
      <w:pPr>
        <w:pStyle w:val="ListParagraph"/>
        <w:numPr>
          <w:ilvl w:val="0"/>
          <w:numId w:val="1"/>
        </w:numPr>
        <w:tabs>
          <w:tab w:val="left" w:pos="1934"/>
          <w:tab w:val="left" w:pos="1935"/>
        </w:tabs>
        <w:spacing w:after="120"/>
        <w:ind w:left="363" w:hanging="363"/>
        <w:rPr>
          <w:b/>
          <w:sz w:val="24"/>
          <w:szCs w:val="24"/>
        </w:rPr>
      </w:pPr>
      <w:r w:rsidRPr="006663B3">
        <w:rPr>
          <w:bCs/>
          <w:sz w:val="24"/>
          <w:szCs w:val="24"/>
        </w:rPr>
        <w:t>What are some popular/repetitive themes or keywords that</w:t>
      </w:r>
      <w:r w:rsidRPr="006663B3">
        <w:rPr>
          <w:bCs/>
          <w:spacing w:val="-7"/>
          <w:sz w:val="24"/>
          <w:szCs w:val="24"/>
        </w:rPr>
        <w:t xml:space="preserve"> </w:t>
      </w:r>
      <w:r w:rsidRPr="006663B3">
        <w:rPr>
          <w:bCs/>
          <w:sz w:val="24"/>
          <w:szCs w:val="24"/>
        </w:rPr>
        <w:t>appear?</w:t>
      </w:r>
    </w:p>
    <w:p w:rsidR="00387AA5" w:rsidRPr="00CF214B" w:rsidRDefault="00387AA5" w:rsidP="00387AA5">
      <w:pPr>
        <w:pStyle w:val="ListParagraph"/>
        <w:spacing w:line="360" w:lineRule="auto"/>
        <w:ind w:left="720"/>
        <w:rPr>
          <w:b/>
        </w:rPr>
      </w:pPr>
      <w:r w:rsidRPr="00CF214B">
        <w:rPr>
          <w:b/>
        </w:rPr>
        <w:t xml:space="preserve">Authenticity vs. Superficiality </w:t>
      </w:r>
    </w:p>
    <w:p w:rsidR="00387AA5" w:rsidRDefault="00387AA5" w:rsidP="00387AA5">
      <w:pPr>
        <w:pStyle w:val="ListParagraph"/>
        <w:numPr>
          <w:ilvl w:val="0"/>
          <w:numId w:val="4"/>
        </w:numPr>
        <w:spacing w:line="360" w:lineRule="auto"/>
      </w:pPr>
      <w:r>
        <w:t>The contrast between genuine faith and mere appearance is starkly illustrated through Sardis and Laodicea. This theme challenges readers to examine their own lives for signs of superficiality.</w:t>
      </w:r>
      <w:bookmarkStart w:id="0" w:name="_GoBack"/>
      <w:bookmarkEnd w:id="0"/>
    </w:p>
    <w:p w:rsidR="00387AA5" w:rsidRPr="00CF214B" w:rsidRDefault="00387AA5" w:rsidP="00387AA5">
      <w:pPr>
        <w:pStyle w:val="ListParagraph"/>
        <w:spacing w:line="360" w:lineRule="auto"/>
        <w:ind w:left="720"/>
        <w:rPr>
          <w:b/>
        </w:rPr>
      </w:pPr>
      <w:r w:rsidRPr="00CF214B">
        <w:rPr>
          <w:b/>
        </w:rPr>
        <w:t xml:space="preserve">Perseverance Under Difficulties </w:t>
      </w:r>
    </w:p>
    <w:p w:rsidR="00387AA5" w:rsidRDefault="00387AA5" w:rsidP="00387AA5">
      <w:pPr>
        <w:pStyle w:val="ListParagraph"/>
        <w:numPr>
          <w:ilvl w:val="0"/>
          <w:numId w:val="4"/>
        </w:numPr>
        <w:spacing w:line="360" w:lineRule="auto"/>
      </w:pPr>
      <w:r>
        <w:t>The commendation of Philadelphia highlights the virtue of steadfastness in suffering. This theme encourages believers to endure hardships with faith.</w:t>
      </w:r>
    </w:p>
    <w:p w:rsidR="00387AA5" w:rsidRPr="00CF214B" w:rsidRDefault="00387AA5" w:rsidP="00387AA5">
      <w:pPr>
        <w:pStyle w:val="ListParagraph"/>
        <w:spacing w:line="360" w:lineRule="auto"/>
        <w:ind w:left="720"/>
        <w:rPr>
          <w:b/>
        </w:rPr>
      </w:pPr>
      <w:r w:rsidRPr="00CF214B">
        <w:rPr>
          <w:b/>
        </w:rPr>
        <w:t>Divine Sovereignty</w:t>
      </w:r>
    </w:p>
    <w:p w:rsidR="00387AA5" w:rsidRDefault="00387AA5" w:rsidP="00387AA5">
      <w:pPr>
        <w:pStyle w:val="ListParagraph"/>
        <w:numPr>
          <w:ilvl w:val="0"/>
          <w:numId w:val="4"/>
        </w:numPr>
        <w:spacing w:line="360" w:lineRule="auto"/>
      </w:pPr>
      <w:r>
        <w:t>Chapter 4 shifts focus to the heavenly realm, showcasing God's majesty and authority over creation. The imagery of God on His throne emphasizes His sovereignty amid human affairs.</w:t>
      </w:r>
    </w:p>
    <w:p w:rsidR="00387AA5" w:rsidRDefault="00387AA5" w:rsidP="00387AA5">
      <w:pPr>
        <w:pStyle w:val="ListParagraph"/>
        <w:spacing w:line="360" w:lineRule="auto"/>
        <w:ind w:left="720"/>
      </w:pPr>
      <w:r>
        <w:rPr>
          <w:b/>
        </w:rPr>
        <w:t>Judgment and Redemption</w:t>
      </w:r>
    </w:p>
    <w:p w:rsidR="00387AA5" w:rsidRDefault="00387AA5" w:rsidP="00387AA5">
      <w:pPr>
        <w:pStyle w:val="ListParagraph"/>
        <w:numPr>
          <w:ilvl w:val="0"/>
          <w:numId w:val="4"/>
        </w:numPr>
        <w:spacing w:line="360" w:lineRule="auto"/>
      </w:pPr>
      <w:r>
        <w:t>Each message contains elements of judgment for unfaithfulness but also offers hope for redemption through repentance. This duality reflects God's justice coupled with His grace.</w:t>
      </w:r>
    </w:p>
    <w:p w:rsidR="00387AA5" w:rsidRPr="00CF214B" w:rsidRDefault="00387AA5" w:rsidP="00387AA5">
      <w:pPr>
        <w:pStyle w:val="ListParagraph"/>
        <w:spacing w:line="360" w:lineRule="auto"/>
        <w:ind w:left="720"/>
        <w:rPr>
          <w:b/>
        </w:rPr>
      </w:pPr>
      <w:r w:rsidRPr="00CF214B">
        <w:rPr>
          <w:b/>
        </w:rPr>
        <w:t>Promise of Reward</w:t>
      </w:r>
    </w:p>
    <w:p w:rsidR="00387AA5" w:rsidRDefault="00387AA5" w:rsidP="00387AA5">
      <w:pPr>
        <w:pStyle w:val="ListParagraph"/>
        <w:numPr>
          <w:ilvl w:val="0"/>
          <w:numId w:val="4"/>
        </w:numPr>
        <w:spacing w:line="360" w:lineRule="auto"/>
      </w:pPr>
      <w:r>
        <w:t>The promises made to overcomers such as being clothed in white garments or becoming pillars in God's temple serve as incentives for faithful living (Revelation 3:5; 3:12).</w:t>
      </w:r>
    </w:p>
    <w:p w:rsidR="000B606F" w:rsidRDefault="000B606F"/>
    <w:sectPr w:rsidR="000B606F" w:rsidSect="006058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6F72"/>
    <w:multiLevelType w:val="hybridMultilevel"/>
    <w:tmpl w:val="937A52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E591FC9"/>
    <w:multiLevelType w:val="hybridMultilevel"/>
    <w:tmpl w:val="75B05748"/>
    <w:lvl w:ilvl="0" w:tplc="D05CEA54">
      <w:start w:val="1"/>
      <w:numFmt w:val="decimal"/>
      <w:lvlText w:val="%1."/>
      <w:lvlJc w:val="left"/>
      <w:pPr>
        <w:ind w:left="362" w:hanging="362"/>
      </w:pPr>
      <w:rPr>
        <w:rFonts w:ascii="Times New Roman" w:eastAsia="Times New Roman" w:hAnsi="Times New Roman" w:cs="Times New Roman" w:hint="default"/>
        <w:b w:val="0"/>
        <w:i w:val="0"/>
        <w:spacing w:val="-1"/>
        <w:w w:val="100"/>
        <w:sz w:val="24"/>
        <w:szCs w:val="24"/>
        <w:lang w:val="en-US" w:eastAsia="en-US" w:bidi="ar-SA"/>
      </w:rPr>
    </w:lvl>
    <w:lvl w:ilvl="1" w:tplc="2C9230B6">
      <w:start w:val="1"/>
      <w:numFmt w:val="lowerLetter"/>
      <w:lvlText w:val="%2."/>
      <w:lvlJc w:val="left"/>
      <w:pPr>
        <w:ind w:left="1082" w:hanging="360"/>
      </w:pPr>
      <w:rPr>
        <w:rFonts w:ascii="Times New Roman" w:eastAsia="Times New Roman" w:hAnsi="Times New Roman" w:cs="Times New Roman" w:hint="default"/>
        <w:spacing w:val="-1"/>
        <w:w w:val="100"/>
        <w:sz w:val="24"/>
        <w:szCs w:val="24"/>
        <w:lang w:val="en-US" w:eastAsia="en-US" w:bidi="ar-SA"/>
      </w:rPr>
    </w:lvl>
    <w:lvl w:ilvl="2" w:tplc="FDE4A5D4">
      <w:numFmt w:val="bullet"/>
      <w:lvlText w:val="•"/>
      <w:lvlJc w:val="left"/>
      <w:pPr>
        <w:ind w:left="1802" w:hanging="360"/>
      </w:pPr>
      <w:rPr>
        <w:rFonts w:ascii="Arial" w:eastAsia="Arial" w:hAnsi="Arial" w:cs="Arial" w:hint="default"/>
        <w:spacing w:val="-1"/>
        <w:w w:val="100"/>
        <w:sz w:val="24"/>
        <w:szCs w:val="24"/>
        <w:lang w:val="en-US" w:eastAsia="en-US" w:bidi="ar-SA"/>
      </w:rPr>
    </w:lvl>
    <w:lvl w:ilvl="3" w:tplc="533A5DA6">
      <w:numFmt w:val="bullet"/>
      <w:lvlText w:val="•"/>
      <w:lvlJc w:val="left"/>
      <w:pPr>
        <w:ind w:left="2845" w:hanging="360"/>
      </w:pPr>
      <w:rPr>
        <w:rFonts w:hint="default"/>
        <w:lang w:val="en-US" w:eastAsia="en-US" w:bidi="ar-SA"/>
      </w:rPr>
    </w:lvl>
    <w:lvl w:ilvl="4" w:tplc="106AEF20">
      <w:numFmt w:val="bullet"/>
      <w:lvlText w:val="•"/>
      <w:lvlJc w:val="left"/>
      <w:pPr>
        <w:ind w:left="3883" w:hanging="360"/>
      </w:pPr>
      <w:rPr>
        <w:rFonts w:hint="default"/>
        <w:lang w:val="en-US" w:eastAsia="en-US" w:bidi="ar-SA"/>
      </w:rPr>
    </w:lvl>
    <w:lvl w:ilvl="5" w:tplc="4B74F116">
      <w:numFmt w:val="bullet"/>
      <w:lvlText w:val="•"/>
      <w:lvlJc w:val="left"/>
      <w:pPr>
        <w:ind w:left="4920" w:hanging="360"/>
      </w:pPr>
      <w:rPr>
        <w:rFonts w:hint="default"/>
        <w:lang w:val="en-US" w:eastAsia="en-US" w:bidi="ar-SA"/>
      </w:rPr>
    </w:lvl>
    <w:lvl w:ilvl="6" w:tplc="62049BCC">
      <w:numFmt w:val="bullet"/>
      <w:lvlText w:val="•"/>
      <w:lvlJc w:val="left"/>
      <w:pPr>
        <w:ind w:left="5958" w:hanging="360"/>
      </w:pPr>
      <w:rPr>
        <w:rFonts w:hint="default"/>
        <w:lang w:val="en-US" w:eastAsia="en-US" w:bidi="ar-SA"/>
      </w:rPr>
    </w:lvl>
    <w:lvl w:ilvl="7" w:tplc="5BC89962">
      <w:numFmt w:val="bullet"/>
      <w:lvlText w:val="•"/>
      <w:lvlJc w:val="left"/>
      <w:pPr>
        <w:ind w:left="6995" w:hanging="360"/>
      </w:pPr>
      <w:rPr>
        <w:rFonts w:hint="default"/>
        <w:lang w:val="en-US" w:eastAsia="en-US" w:bidi="ar-SA"/>
      </w:rPr>
    </w:lvl>
    <w:lvl w:ilvl="8" w:tplc="D04C73AE">
      <w:numFmt w:val="bullet"/>
      <w:lvlText w:val="•"/>
      <w:lvlJc w:val="left"/>
      <w:pPr>
        <w:ind w:left="8033" w:hanging="360"/>
      </w:pPr>
      <w:rPr>
        <w:rFonts w:hint="default"/>
        <w:lang w:val="en-US" w:eastAsia="en-US" w:bidi="ar-SA"/>
      </w:rPr>
    </w:lvl>
  </w:abstractNum>
  <w:abstractNum w:abstractNumId="2" w15:restartNumberingAfterBreak="0">
    <w:nsid w:val="25C36781"/>
    <w:multiLevelType w:val="hybridMultilevel"/>
    <w:tmpl w:val="11C4CB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A700C92"/>
    <w:multiLevelType w:val="hybridMultilevel"/>
    <w:tmpl w:val="4C62CBB6"/>
    <w:lvl w:ilvl="0" w:tplc="34090001">
      <w:start w:val="1"/>
      <w:numFmt w:val="bullet"/>
      <w:lvlText w:val=""/>
      <w:lvlJc w:val="left"/>
      <w:pPr>
        <w:ind w:left="1079" w:hanging="360"/>
      </w:pPr>
      <w:rPr>
        <w:rFonts w:ascii="Symbol" w:hAnsi="Symbol" w:hint="default"/>
      </w:rPr>
    </w:lvl>
    <w:lvl w:ilvl="1" w:tplc="34090003" w:tentative="1">
      <w:start w:val="1"/>
      <w:numFmt w:val="bullet"/>
      <w:lvlText w:val="o"/>
      <w:lvlJc w:val="left"/>
      <w:pPr>
        <w:ind w:left="1799" w:hanging="360"/>
      </w:pPr>
      <w:rPr>
        <w:rFonts w:ascii="Courier New" w:hAnsi="Courier New" w:cs="Courier New" w:hint="default"/>
      </w:rPr>
    </w:lvl>
    <w:lvl w:ilvl="2" w:tplc="34090005" w:tentative="1">
      <w:start w:val="1"/>
      <w:numFmt w:val="bullet"/>
      <w:lvlText w:val=""/>
      <w:lvlJc w:val="left"/>
      <w:pPr>
        <w:ind w:left="2519" w:hanging="360"/>
      </w:pPr>
      <w:rPr>
        <w:rFonts w:ascii="Wingdings" w:hAnsi="Wingdings" w:hint="default"/>
      </w:rPr>
    </w:lvl>
    <w:lvl w:ilvl="3" w:tplc="34090001" w:tentative="1">
      <w:start w:val="1"/>
      <w:numFmt w:val="bullet"/>
      <w:lvlText w:val=""/>
      <w:lvlJc w:val="left"/>
      <w:pPr>
        <w:ind w:left="3239" w:hanging="360"/>
      </w:pPr>
      <w:rPr>
        <w:rFonts w:ascii="Symbol" w:hAnsi="Symbol" w:hint="default"/>
      </w:rPr>
    </w:lvl>
    <w:lvl w:ilvl="4" w:tplc="34090003" w:tentative="1">
      <w:start w:val="1"/>
      <w:numFmt w:val="bullet"/>
      <w:lvlText w:val="o"/>
      <w:lvlJc w:val="left"/>
      <w:pPr>
        <w:ind w:left="3959" w:hanging="360"/>
      </w:pPr>
      <w:rPr>
        <w:rFonts w:ascii="Courier New" w:hAnsi="Courier New" w:cs="Courier New" w:hint="default"/>
      </w:rPr>
    </w:lvl>
    <w:lvl w:ilvl="5" w:tplc="34090005" w:tentative="1">
      <w:start w:val="1"/>
      <w:numFmt w:val="bullet"/>
      <w:lvlText w:val=""/>
      <w:lvlJc w:val="left"/>
      <w:pPr>
        <w:ind w:left="4679" w:hanging="360"/>
      </w:pPr>
      <w:rPr>
        <w:rFonts w:ascii="Wingdings" w:hAnsi="Wingdings" w:hint="default"/>
      </w:rPr>
    </w:lvl>
    <w:lvl w:ilvl="6" w:tplc="34090001" w:tentative="1">
      <w:start w:val="1"/>
      <w:numFmt w:val="bullet"/>
      <w:lvlText w:val=""/>
      <w:lvlJc w:val="left"/>
      <w:pPr>
        <w:ind w:left="5399" w:hanging="360"/>
      </w:pPr>
      <w:rPr>
        <w:rFonts w:ascii="Symbol" w:hAnsi="Symbol" w:hint="default"/>
      </w:rPr>
    </w:lvl>
    <w:lvl w:ilvl="7" w:tplc="34090003" w:tentative="1">
      <w:start w:val="1"/>
      <w:numFmt w:val="bullet"/>
      <w:lvlText w:val="o"/>
      <w:lvlJc w:val="left"/>
      <w:pPr>
        <w:ind w:left="6119" w:hanging="360"/>
      </w:pPr>
      <w:rPr>
        <w:rFonts w:ascii="Courier New" w:hAnsi="Courier New" w:cs="Courier New" w:hint="default"/>
      </w:rPr>
    </w:lvl>
    <w:lvl w:ilvl="8" w:tplc="34090005" w:tentative="1">
      <w:start w:val="1"/>
      <w:numFmt w:val="bullet"/>
      <w:lvlText w:val=""/>
      <w:lvlJc w:val="left"/>
      <w:pPr>
        <w:ind w:left="6839"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5B4"/>
    <w:rsid w:val="00036CA1"/>
    <w:rsid w:val="000B606F"/>
    <w:rsid w:val="00387AA5"/>
    <w:rsid w:val="00402EC8"/>
    <w:rsid w:val="00765215"/>
    <w:rsid w:val="009A65B4"/>
    <w:rsid w:val="00BD22E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8D83CE"/>
  <w15:chartTrackingRefBased/>
  <w15:docId w15:val="{79E67145-D032-4199-8BB0-68F8E1AFE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5B4"/>
    <w:pPr>
      <w:spacing w:after="0" w:line="240" w:lineRule="auto"/>
    </w:pPr>
    <w:rPr>
      <w:rFonts w:ascii="Times New Roman" w:hAnsi="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A65B4"/>
    <w:pPr>
      <w:widowControl w:val="0"/>
      <w:autoSpaceDE w:val="0"/>
      <w:autoSpaceDN w:val="0"/>
      <w:ind w:left="492" w:hanging="361"/>
    </w:pPr>
    <w:rPr>
      <w:rFonts w:eastAsia="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556</Words>
  <Characters>3003</Characters>
  <Application>Microsoft Office Word</Application>
  <DocSecurity>0</DocSecurity>
  <Lines>48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Calvert</dc:creator>
  <cp:keywords/>
  <dc:description/>
  <cp:lastModifiedBy>John Calvert</cp:lastModifiedBy>
  <cp:revision>1</cp:revision>
  <dcterms:created xsi:type="dcterms:W3CDTF">2024-10-24T09:44:00Z</dcterms:created>
  <dcterms:modified xsi:type="dcterms:W3CDTF">2024-10-24T10:27:00Z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f7855fcf-5c90-4f1b-ad92-d6d64e7cc3d6</vt:lpwstr>
  </property>
</Properties>
</file>