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26F35" w14:textId="12D6002D" w:rsidR="0098567D" w:rsidRPr="00754CD5" w:rsidRDefault="006D73A3" w:rsidP="00122DA9">
      <w:pPr>
        <w:spacing w:after="200" w:line="300" w:lineRule="auto"/>
        <w:jc w:val="center"/>
        <w:rPr>
          <w:rFonts w:ascii="Segoe UI" w:hAnsi="Segoe UI" w:cs="Segoe UI"/>
          <w:b/>
          <w:bCs/>
          <w:color w:val="0070C0"/>
        </w:rPr>
      </w:pPr>
      <w:r w:rsidRPr="006D73A3">
        <w:rPr>
          <w:rFonts w:ascii="Segoe UI" w:hAnsi="Segoe UI" w:cs="Segoe UI"/>
          <w:b/>
          <w:bCs/>
          <w:color w:val="0070C0"/>
        </w:rPr>
        <w:t>Nigeria’s 2026 Fiscal Policy Measures: What the New Import Restrictions Mean for Trade and Supply Chains</w:t>
      </w:r>
    </w:p>
    <w:p w14:paraId="6480E510" w14:textId="33F2DD25" w:rsidR="004731B4" w:rsidRPr="004731B4" w:rsidRDefault="0098567D" w:rsidP="00A82FE7">
      <w:pPr>
        <w:spacing w:after="200" w:line="300" w:lineRule="auto"/>
        <w:jc w:val="both"/>
        <w:rPr>
          <w:rFonts w:ascii="Segoe UI" w:hAnsi="Segoe UI" w:cs="Segoe UI"/>
          <w:b/>
          <w:bCs/>
          <w:color w:val="auto"/>
        </w:rPr>
      </w:pPr>
      <w:r w:rsidRPr="0098567D">
        <w:rPr>
          <w:rFonts w:ascii="Segoe UI" w:hAnsi="Segoe UI" w:cs="Segoe UI"/>
          <w:b/>
          <w:bCs/>
          <w:color w:val="auto"/>
        </w:rPr>
        <w:t>Introduction</w:t>
      </w:r>
    </w:p>
    <w:p w14:paraId="12736F3B" w14:textId="77777777" w:rsidR="004731B4" w:rsidRPr="00F819C0" w:rsidRDefault="004731B4" w:rsidP="00A82FE7">
      <w:pPr>
        <w:spacing w:after="200" w:line="300" w:lineRule="auto"/>
        <w:jc w:val="both"/>
        <w:rPr>
          <w:rFonts w:ascii="Segoe UI" w:hAnsi="Segoe UI" w:cs="Segoe UI"/>
          <w:color w:val="auto"/>
        </w:rPr>
      </w:pPr>
      <w:r w:rsidRPr="004731B4">
        <w:rPr>
          <w:rFonts w:ascii="Segoe UI" w:hAnsi="Segoe UI" w:cs="Segoe UI"/>
          <w:color w:val="auto"/>
        </w:rPr>
        <w:t xml:space="preserve">With effect from </w:t>
      </w:r>
      <w:r w:rsidRPr="00F819C0">
        <w:rPr>
          <w:rFonts w:ascii="Segoe UI" w:hAnsi="Segoe UI" w:cs="Segoe UI"/>
          <w:color w:val="auto"/>
        </w:rPr>
        <w:t>1 April 2026, the Federal Government of Nigeria has implemented revised import restrictions under the 2026 Fiscal Policy Measures and Tariff Amendments. The circular, issued by the Minister of Finance and Coordinating Minister of the Economy, introduces an updated import prohibition list covering 17 categories of goods from countries outside the Economic Community of West African States (ECOWAS), alongside a green tax surcharge on certain motor vehicles, effective 1 July 2026.</w:t>
      </w:r>
    </w:p>
    <w:p w14:paraId="254DAECB" w14:textId="6087A895" w:rsidR="004731B4" w:rsidRPr="0098567D" w:rsidRDefault="004731B4" w:rsidP="000F4E99">
      <w:pPr>
        <w:spacing w:line="300" w:lineRule="auto"/>
        <w:jc w:val="both"/>
        <w:rPr>
          <w:rFonts w:ascii="Segoe UI" w:hAnsi="Segoe UI" w:cs="Segoe UI"/>
          <w:color w:val="auto"/>
        </w:rPr>
      </w:pPr>
      <w:r w:rsidRPr="00F819C0">
        <w:rPr>
          <w:rFonts w:ascii="Segoe UI" w:hAnsi="Segoe UI" w:cs="Segoe UI"/>
          <w:color w:val="auto"/>
        </w:rPr>
        <w:t>The measures supersede the 2023 fiscal policy framework and signal a policy shift toward import substitution, regional trade alignment, and industrial protection, with immediate implications for supply chains, pricing, and trade structuring.</w:t>
      </w:r>
    </w:p>
    <w:p w14:paraId="182AEDDA" w14:textId="4683804C" w:rsidR="0098567D" w:rsidRPr="0098567D" w:rsidRDefault="0098567D" w:rsidP="00A82FE7">
      <w:pPr>
        <w:spacing w:line="300" w:lineRule="auto"/>
        <w:jc w:val="both"/>
        <w:rPr>
          <w:rFonts w:ascii="Segoe UI" w:hAnsi="Segoe UI" w:cs="Segoe UI"/>
          <w:color w:val="auto"/>
        </w:rPr>
      </w:pPr>
    </w:p>
    <w:p w14:paraId="26C88564" w14:textId="52583743" w:rsidR="003C1832" w:rsidRPr="003C1832" w:rsidRDefault="0098567D" w:rsidP="00A82FE7">
      <w:pPr>
        <w:spacing w:after="200" w:line="300" w:lineRule="auto"/>
        <w:jc w:val="both"/>
        <w:rPr>
          <w:rFonts w:ascii="Segoe UI" w:hAnsi="Segoe UI" w:cs="Segoe UI"/>
          <w:b/>
          <w:bCs/>
          <w:color w:val="auto"/>
        </w:rPr>
      </w:pPr>
      <w:r w:rsidRPr="0098567D">
        <w:rPr>
          <w:rFonts w:ascii="Segoe UI" w:hAnsi="Segoe UI" w:cs="Segoe UI"/>
          <w:b/>
          <w:bCs/>
          <w:color w:val="auto"/>
        </w:rPr>
        <w:t>Scope of the Import Restrictions</w:t>
      </w:r>
    </w:p>
    <w:p w14:paraId="7D3C0F72" w14:textId="2A654A83" w:rsidR="003C1832" w:rsidRPr="003C1832" w:rsidRDefault="003C1832" w:rsidP="00A82FE7">
      <w:pPr>
        <w:spacing w:after="200" w:line="300" w:lineRule="auto"/>
        <w:jc w:val="both"/>
        <w:rPr>
          <w:rFonts w:ascii="Segoe UI" w:hAnsi="Segoe UI" w:cs="Segoe UI"/>
          <w:color w:val="auto"/>
        </w:rPr>
      </w:pPr>
      <w:r w:rsidRPr="003C1832">
        <w:rPr>
          <w:rFonts w:ascii="Segoe UI" w:hAnsi="Segoe UI" w:cs="Segoe UI"/>
          <w:color w:val="auto"/>
        </w:rPr>
        <w:t>The revised prohibition list restricts imports from outside ECOWAS across key sectors, including:</w:t>
      </w:r>
    </w:p>
    <w:p w14:paraId="042973CA" w14:textId="77777777" w:rsidR="003C1832" w:rsidRPr="003C1832" w:rsidRDefault="003C1832" w:rsidP="00A82FE7">
      <w:pPr>
        <w:numPr>
          <w:ilvl w:val="0"/>
          <w:numId w:val="2"/>
        </w:numPr>
        <w:spacing w:after="200" w:line="300" w:lineRule="auto"/>
        <w:jc w:val="both"/>
        <w:rPr>
          <w:rFonts w:ascii="Segoe UI" w:hAnsi="Segoe UI" w:cs="Segoe UI"/>
          <w:color w:val="auto"/>
        </w:rPr>
      </w:pPr>
      <w:r w:rsidRPr="003C1832">
        <w:rPr>
          <w:rFonts w:ascii="Segoe UI" w:hAnsi="Segoe UI" w:cs="Segoe UI"/>
          <w:b/>
          <w:bCs/>
          <w:color w:val="auto"/>
        </w:rPr>
        <w:t>Food and Agriculture:</w:t>
      </w:r>
      <w:r w:rsidRPr="003C1832">
        <w:rPr>
          <w:rFonts w:ascii="Segoe UI" w:hAnsi="Segoe UI" w:cs="Segoe UI"/>
          <w:color w:val="auto"/>
        </w:rPr>
        <w:t xml:space="preserve"> poultry and livestock products, pork and beef cuts, non-breeding eggs, refined vegetable oils, cane and beet sugar, cocoa products, and processed tomato products. </w:t>
      </w:r>
    </w:p>
    <w:p w14:paraId="454BCB19" w14:textId="1B15437B" w:rsidR="003C1832" w:rsidRPr="003C1832" w:rsidRDefault="003C1832" w:rsidP="00A82FE7">
      <w:pPr>
        <w:numPr>
          <w:ilvl w:val="0"/>
          <w:numId w:val="2"/>
        </w:numPr>
        <w:spacing w:after="200" w:line="300" w:lineRule="auto"/>
        <w:jc w:val="both"/>
        <w:rPr>
          <w:rFonts w:ascii="Segoe UI" w:hAnsi="Segoe UI" w:cs="Segoe UI"/>
          <w:color w:val="auto"/>
        </w:rPr>
      </w:pPr>
      <w:r w:rsidRPr="003C1832">
        <w:rPr>
          <w:rFonts w:ascii="Segoe UI" w:hAnsi="Segoe UI" w:cs="Segoe UI"/>
          <w:b/>
          <w:bCs/>
          <w:color w:val="auto"/>
        </w:rPr>
        <w:t xml:space="preserve">Pharmaceuticals and </w:t>
      </w:r>
      <w:r w:rsidR="00465B62" w:rsidRPr="003C1832">
        <w:rPr>
          <w:rFonts w:ascii="Segoe UI" w:hAnsi="Segoe UI" w:cs="Segoe UI"/>
          <w:b/>
          <w:bCs/>
          <w:color w:val="auto"/>
        </w:rPr>
        <w:t>Fertilizers</w:t>
      </w:r>
      <w:r w:rsidRPr="003C1832">
        <w:rPr>
          <w:rFonts w:ascii="Segoe UI" w:hAnsi="Segoe UI" w:cs="Segoe UI"/>
          <w:b/>
          <w:bCs/>
          <w:color w:val="auto"/>
        </w:rPr>
        <w:t>:</w:t>
      </w:r>
      <w:r w:rsidRPr="003C1832">
        <w:rPr>
          <w:rFonts w:ascii="Segoe UI" w:hAnsi="Segoe UI" w:cs="Segoe UI"/>
          <w:color w:val="auto"/>
        </w:rPr>
        <w:t xml:space="preserve"> medicaments, waste pharmaceuticals, and NPK </w:t>
      </w:r>
      <w:r w:rsidR="00465B62" w:rsidRPr="003C1832">
        <w:rPr>
          <w:rFonts w:ascii="Segoe UI" w:hAnsi="Segoe UI" w:cs="Segoe UI"/>
          <w:color w:val="auto"/>
        </w:rPr>
        <w:t>fertilizers</w:t>
      </w:r>
      <w:r w:rsidRPr="003C1832">
        <w:rPr>
          <w:rFonts w:ascii="Segoe UI" w:hAnsi="Segoe UI" w:cs="Segoe UI"/>
          <w:color w:val="auto"/>
        </w:rPr>
        <w:t xml:space="preserve">. </w:t>
      </w:r>
    </w:p>
    <w:p w14:paraId="07BB5933" w14:textId="77777777" w:rsidR="003C1832" w:rsidRPr="003C1832" w:rsidRDefault="003C1832" w:rsidP="00A82FE7">
      <w:pPr>
        <w:numPr>
          <w:ilvl w:val="0"/>
          <w:numId w:val="2"/>
        </w:numPr>
        <w:spacing w:after="200" w:line="300" w:lineRule="auto"/>
        <w:jc w:val="both"/>
        <w:rPr>
          <w:rFonts w:ascii="Segoe UI" w:hAnsi="Segoe UI" w:cs="Segoe UI"/>
          <w:color w:val="auto"/>
        </w:rPr>
      </w:pPr>
      <w:r w:rsidRPr="003C1832">
        <w:rPr>
          <w:rFonts w:ascii="Segoe UI" w:hAnsi="Segoe UI" w:cs="Segoe UI"/>
          <w:b/>
          <w:bCs/>
          <w:color w:val="auto"/>
        </w:rPr>
        <w:t>Construction and Manufacturing Inputs:</w:t>
      </w:r>
      <w:r w:rsidRPr="003C1832">
        <w:rPr>
          <w:rFonts w:ascii="Segoe UI" w:hAnsi="Segoe UI" w:cs="Segoe UI"/>
          <w:color w:val="auto"/>
        </w:rPr>
        <w:t xml:space="preserve"> bagged cement, selected steel products, corrugated paper, cartons, and large-capacity glass bottles. </w:t>
      </w:r>
    </w:p>
    <w:p w14:paraId="3959A835" w14:textId="77777777" w:rsidR="003C1832" w:rsidRPr="003C1832" w:rsidRDefault="003C1832" w:rsidP="00A82FE7">
      <w:pPr>
        <w:numPr>
          <w:ilvl w:val="0"/>
          <w:numId w:val="2"/>
        </w:numPr>
        <w:spacing w:after="200" w:line="300" w:lineRule="auto"/>
        <w:jc w:val="both"/>
        <w:rPr>
          <w:rFonts w:ascii="Segoe UI" w:hAnsi="Segoe UI" w:cs="Segoe UI"/>
          <w:color w:val="auto"/>
        </w:rPr>
      </w:pPr>
      <w:r w:rsidRPr="003C1832">
        <w:rPr>
          <w:rFonts w:ascii="Segoe UI" w:hAnsi="Segoe UI" w:cs="Segoe UI"/>
          <w:b/>
          <w:bCs/>
          <w:color w:val="auto"/>
        </w:rPr>
        <w:t>Consumer Goods:</w:t>
      </w:r>
      <w:r w:rsidRPr="003C1832">
        <w:rPr>
          <w:rFonts w:ascii="Segoe UI" w:hAnsi="Segoe UI" w:cs="Segoe UI"/>
          <w:color w:val="auto"/>
        </w:rPr>
        <w:t xml:space="preserve"> soaps and detergents, sweetened beverages, and ballpoint pens and components. </w:t>
      </w:r>
    </w:p>
    <w:p w14:paraId="3F96D950" w14:textId="77777777" w:rsidR="003C1832" w:rsidRPr="003C1832" w:rsidRDefault="003C1832" w:rsidP="000F4E99">
      <w:pPr>
        <w:spacing w:line="300" w:lineRule="auto"/>
        <w:jc w:val="both"/>
        <w:rPr>
          <w:rFonts w:ascii="Segoe UI" w:hAnsi="Segoe UI" w:cs="Segoe UI"/>
          <w:color w:val="auto"/>
        </w:rPr>
      </w:pPr>
      <w:r w:rsidRPr="003C1832">
        <w:rPr>
          <w:rFonts w:ascii="Segoe UI" w:hAnsi="Segoe UI" w:cs="Segoe UI"/>
          <w:color w:val="auto"/>
        </w:rPr>
        <w:t>A 90-day transition window applies to transactions supported by valid Form ‘M’ documentation and irrevocable trade commitments entered into before 1 April 2026. All new transactions from that date fall under the revised regime.</w:t>
      </w:r>
    </w:p>
    <w:p w14:paraId="43E8AA0D" w14:textId="3DDDC444" w:rsidR="0098567D" w:rsidRPr="0098567D" w:rsidRDefault="0098567D" w:rsidP="00A82FE7">
      <w:pPr>
        <w:spacing w:line="300" w:lineRule="auto"/>
        <w:jc w:val="both"/>
        <w:rPr>
          <w:rFonts w:ascii="Segoe UI" w:hAnsi="Segoe UI" w:cs="Segoe UI"/>
          <w:color w:val="auto"/>
        </w:rPr>
      </w:pPr>
    </w:p>
    <w:p w14:paraId="4FD08A37" w14:textId="77777777" w:rsidR="0098567D" w:rsidRPr="0098567D" w:rsidRDefault="0098567D" w:rsidP="00A82FE7">
      <w:pPr>
        <w:spacing w:after="200" w:line="300" w:lineRule="auto"/>
        <w:jc w:val="both"/>
        <w:rPr>
          <w:rFonts w:ascii="Segoe UI" w:hAnsi="Segoe UI" w:cs="Segoe UI"/>
          <w:b/>
          <w:bCs/>
          <w:color w:val="auto"/>
        </w:rPr>
      </w:pPr>
      <w:r w:rsidRPr="0098567D">
        <w:rPr>
          <w:rFonts w:ascii="Segoe UI" w:hAnsi="Segoe UI" w:cs="Segoe UI"/>
          <w:b/>
          <w:bCs/>
          <w:color w:val="auto"/>
        </w:rPr>
        <w:t>Policy Direction and Trade Positioning</w:t>
      </w:r>
    </w:p>
    <w:p w14:paraId="0E53437D" w14:textId="77777777" w:rsidR="0098567D" w:rsidRPr="0098567D" w:rsidRDefault="0098567D" w:rsidP="0029192B">
      <w:pPr>
        <w:spacing w:line="300" w:lineRule="auto"/>
        <w:jc w:val="both"/>
        <w:rPr>
          <w:rFonts w:ascii="Segoe UI" w:hAnsi="Segoe UI" w:cs="Segoe UI"/>
          <w:color w:val="auto"/>
        </w:rPr>
      </w:pPr>
      <w:r w:rsidRPr="0098567D">
        <w:rPr>
          <w:rFonts w:ascii="Segoe UI" w:hAnsi="Segoe UI" w:cs="Segoe UI"/>
          <w:color w:val="auto"/>
        </w:rPr>
        <w:t>The measures reflect a coordinated policy objective to:</w:t>
      </w:r>
    </w:p>
    <w:p w14:paraId="2B50CE48" w14:textId="77777777" w:rsidR="0098567D" w:rsidRPr="0098567D" w:rsidRDefault="0098567D" w:rsidP="0029192B">
      <w:pPr>
        <w:numPr>
          <w:ilvl w:val="0"/>
          <w:numId w:val="4"/>
        </w:numPr>
        <w:spacing w:line="300" w:lineRule="auto"/>
        <w:jc w:val="both"/>
        <w:rPr>
          <w:rFonts w:ascii="Segoe UI" w:hAnsi="Segoe UI" w:cs="Segoe UI"/>
          <w:color w:val="auto"/>
        </w:rPr>
      </w:pPr>
      <w:r w:rsidRPr="0098567D">
        <w:rPr>
          <w:rFonts w:ascii="Segoe UI" w:hAnsi="Segoe UI" w:cs="Segoe UI"/>
          <w:color w:val="auto"/>
        </w:rPr>
        <w:t xml:space="preserve">reduce dependence on non-ECOWAS imports; </w:t>
      </w:r>
    </w:p>
    <w:p w14:paraId="560658A7" w14:textId="77777777" w:rsidR="0098567D" w:rsidRPr="0098567D" w:rsidRDefault="0098567D" w:rsidP="0029192B">
      <w:pPr>
        <w:numPr>
          <w:ilvl w:val="0"/>
          <w:numId w:val="4"/>
        </w:numPr>
        <w:spacing w:line="300" w:lineRule="auto"/>
        <w:jc w:val="both"/>
        <w:rPr>
          <w:rFonts w:ascii="Segoe UI" w:hAnsi="Segoe UI" w:cs="Segoe UI"/>
          <w:color w:val="auto"/>
        </w:rPr>
      </w:pPr>
      <w:r w:rsidRPr="0098567D">
        <w:rPr>
          <w:rFonts w:ascii="Segoe UI" w:hAnsi="Segoe UI" w:cs="Segoe UI"/>
          <w:color w:val="auto"/>
        </w:rPr>
        <w:t xml:space="preserve">stimulate domestic production capacity; and </w:t>
      </w:r>
    </w:p>
    <w:p w14:paraId="4C83D6DC" w14:textId="77777777" w:rsidR="0098567D" w:rsidRPr="0098567D" w:rsidRDefault="0098567D" w:rsidP="00A82FE7">
      <w:pPr>
        <w:numPr>
          <w:ilvl w:val="0"/>
          <w:numId w:val="4"/>
        </w:numPr>
        <w:spacing w:after="200" w:line="300" w:lineRule="auto"/>
        <w:jc w:val="both"/>
        <w:rPr>
          <w:rFonts w:ascii="Segoe UI" w:hAnsi="Segoe UI" w:cs="Segoe UI"/>
          <w:color w:val="auto"/>
        </w:rPr>
      </w:pPr>
      <w:r w:rsidRPr="0098567D">
        <w:rPr>
          <w:rFonts w:ascii="Segoe UI" w:hAnsi="Segoe UI" w:cs="Segoe UI"/>
          <w:color w:val="auto"/>
        </w:rPr>
        <w:t xml:space="preserve">strengthen regional trade within ECOWAS. </w:t>
      </w:r>
    </w:p>
    <w:p w14:paraId="78D687BE" w14:textId="19CA847A" w:rsidR="0098567D" w:rsidRPr="0098567D" w:rsidRDefault="001A458E" w:rsidP="000F4E99">
      <w:pPr>
        <w:spacing w:line="300" w:lineRule="auto"/>
        <w:jc w:val="both"/>
        <w:rPr>
          <w:rFonts w:ascii="Segoe UI" w:hAnsi="Segoe UI" w:cs="Segoe UI"/>
          <w:color w:val="auto"/>
        </w:rPr>
      </w:pPr>
      <w:r w:rsidRPr="001A458E">
        <w:rPr>
          <w:rFonts w:ascii="Segoe UI" w:hAnsi="Segoe UI" w:cs="Segoe UI"/>
          <w:color w:val="auto"/>
        </w:rPr>
        <w:t>These are familiar objectives, and the direction is defensible.</w:t>
      </w:r>
      <w:r>
        <w:rPr>
          <w:rFonts w:ascii="Segoe UI" w:hAnsi="Segoe UI" w:cs="Segoe UI"/>
          <w:color w:val="auto"/>
        </w:rPr>
        <w:t xml:space="preserve"> </w:t>
      </w:r>
      <w:r w:rsidR="0098567D" w:rsidRPr="0098567D">
        <w:rPr>
          <w:rFonts w:ascii="Segoe UI" w:hAnsi="Segoe UI" w:cs="Segoe UI"/>
          <w:color w:val="auto"/>
        </w:rPr>
        <w:t xml:space="preserve">However, they raise broader </w:t>
      </w:r>
      <w:r w:rsidR="0098567D" w:rsidRPr="0046539F">
        <w:rPr>
          <w:rFonts w:ascii="Segoe UI" w:hAnsi="Segoe UI" w:cs="Segoe UI"/>
          <w:color w:val="auto"/>
        </w:rPr>
        <w:t>questions around market access, supply constraints, and alignment with Nigeria’s international trade commitments, particularly under the World Trade Organization (WTO) and the African Continental Free Trade Area (AfCFTA).</w:t>
      </w:r>
      <w:r w:rsidR="0022574D">
        <w:rPr>
          <w:rFonts w:ascii="Segoe UI" w:hAnsi="Segoe UI" w:cs="Segoe UI"/>
          <w:color w:val="auto"/>
        </w:rPr>
        <w:t xml:space="preserve"> </w:t>
      </w:r>
      <w:r w:rsidR="0022574D" w:rsidRPr="0022574D">
        <w:rPr>
          <w:rFonts w:ascii="Segoe UI" w:hAnsi="Segoe UI" w:cs="Segoe UI"/>
          <w:color w:val="auto"/>
        </w:rPr>
        <w:t>The tension between protectionist instinct and treaty obligation is one this framework will have to navigate carefully.</w:t>
      </w:r>
    </w:p>
    <w:p w14:paraId="59226B59" w14:textId="465534F6" w:rsidR="0098567D" w:rsidRPr="0098567D" w:rsidRDefault="0098567D" w:rsidP="0029192B">
      <w:pPr>
        <w:spacing w:line="300" w:lineRule="auto"/>
        <w:jc w:val="both"/>
        <w:rPr>
          <w:rFonts w:ascii="Segoe UI" w:hAnsi="Segoe UI" w:cs="Segoe UI"/>
          <w:color w:val="auto"/>
        </w:rPr>
      </w:pPr>
    </w:p>
    <w:p w14:paraId="187D21C2" w14:textId="77777777" w:rsidR="0098567D" w:rsidRPr="0098567D" w:rsidRDefault="0098567D" w:rsidP="00A82FE7">
      <w:pPr>
        <w:spacing w:after="200" w:line="300" w:lineRule="auto"/>
        <w:jc w:val="both"/>
        <w:rPr>
          <w:rFonts w:ascii="Segoe UI" w:hAnsi="Segoe UI" w:cs="Segoe UI"/>
          <w:b/>
          <w:bCs/>
          <w:color w:val="auto"/>
        </w:rPr>
      </w:pPr>
      <w:r w:rsidRPr="0098567D">
        <w:rPr>
          <w:rFonts w:ascii="Segoe UI" w:hAnsi="Segoe UI" w:cs="Segoe UI"/>
          <w:b/>
          <w:bCs/>
          <w:color w:val="auto"/>
        </w:rPr>
        <w:t>Legal and Regulatory Implications</w:t>
      </w:r>
    </w:p>
    <w:p w14:paraId="11E6E6CE" w14:textId="0948F80B" w:rsidR="0046539F" w:rsidRPr="0046539F" w:rsidRDefault="0098567D" w:rsidP="00A82FE7">
      <w:pPr>
        <w:pStyle w:val="ListParagraph"/>
        <w:numPr>
          <w:ilvl w:val="0"/>
          <w:numId w:val="5"/>
        </w:numPr>
        <w:spacing w:after="200" w:line="300" w:lineRule="auto"/>
        <w:jc w:val="both"/>
        <w:rPr>
          <w:rFonts w:ascii="Segoe UI" w:hAnsi="Segoe UI" w:cs="Segoe UI"/>
          <w:b/>
          <w:bCs/>
          <w:color w:val="auto"/>
        </w:rPr>
      </w:pPr>
      <w:r w:rsidRPr="0046539F">
        <w:rPr>
          <w:rFonts w:ascii="Segoe UI" w:hAnsi="Segoe UI" w:cs="Segoe UI"/>
          <w:b/>
          <w:bCs/>
          <w:color w:val="auto"/>
        </w:rPr>
        <w:t>For manufacturers and agribusinesses</w:t>
      </w:r>
      <w:r w:rsidR="0046539F">
        <w:rPr>
          <w:rFonts w:ascii="Segoe UI" w:hAnsi="Segoe UI" w:cs="Segoe UI"/>
          <w:b/>
          <w:bCs/>
          <w:color w:val="auto"/>
        </w:rPr>
        <w:t xml:space="preserve">: </w:t>
      </w:r>
      <w:r w:rsidRPr="0046539F">
        <w:rPr>
          <w:rFonts w:ascii="Segoe UI" w:hAnsi="Segoe UI" w:cs="Segoe UI"/>
          <w:color w:val="auto"/>
        </w:rPr>
        <w:t xml:space="preserve">Businesses reliant on imported inputs—particularly </w:t>
      </w:r>
      <w:r w:rsidR="0022574D" w:rsidRPr="0046539F">
        <w:rPr>
          <w:rFonts w:ascii="Segoe UI" w:hAnsi="Segoe UI" w:cs="Segoe UI"/>
          <w:color w:val="auto"/>
        </w:rPr>
        <w:t>fertilizers</w:t>
      </w:r>
      <w:r w:rsidRPr="0046539F">
        <w:rPr>
          <w:rFonts w:ascii="Segoe UI" w:hAnsi="Segoe UI" w:cs="Segoe UI"/>
          <w:color w:val="auto"/>
        </w:rPr>
        <w:t>, vegetable oils, packaging materials, and intermediate goods—may face immediate supply adjustments and cost pressures. Existing supply contracts should be reviewed for country-of-origin clauses, termination rights, and price adjustment mechanisms, while alternative sourcing within ECOWAS should be assessed.</w:t>
      </w:r>
    </w:p>
    <w:p w14:paraId="293B2C6C" w14:textId="444C37FD" w:rsidR="0046539F" w:rsidRPr="0046539F" w:rsidRDefault="0098567D" w:rsidP="00A82FE7">
      <w:pPr>
        <w:pStyle w:val="ListParagraph"/>
        <w:numPr>
          <w:ilvl w:val="0"/>
          <w:numId w:val="5"/>
        </w:numPr>
        <w:spacing w:after="200" w:line="300" w:lineRule="auto"/>
        <w:jc w:val="both"/>
        <w:rPr>
          <w:rFonts w:ascii="Segoe UI" w:hAnsi="Segoe UI" w:cs="Segoe UI"/>
          <w:b/>
          <w:bCs/>
          <w:color w:val="auto"/>
        </w:rPr>
      </w:pPr>
      <w:r w:rsidRPr="0046539F">
        <w:rPr>
          <w:rFonts w:ascii="Segoe UI" w:hAnsi="Segoe UI" w:cs="Segoe UI"/>
          <w:b/>
          <w:bCs/>
          <w:color w:val="auto"/>
        </w:rPr>
        <w:t>For pharmaceutical companies</w:t>
      </w:r>
      <w:r w:rsidR="0046539F">
        <w:rPr>
          <w:rFonts w:ascii="Segoe UI" w:hAnsi="Segoe UI" w:cs="Segoe UI"/>
          <w:b/>
          <w:bCs/>
          <w:color w:val="auto"/>
        </w:rPr>
        <w:t xml:space="preserve">: </w:t>
      </w:r>
      <w:r w:rsidRPr="0046539F">
        <w:rPr>
          <w:rFonts w:ascii="Segoe UI" w:hAnsi="Segoe UI" w:cs="Segoe UI"/>
          <w:color w:val="auto"/>
        </w:rPr>
        <w:t xml:space="preserve">The inclusion of medicaments and waste pharmaceuticals raises potential concerns around availability, pricing, and regulatory compliance. Operators should review contractual protections (including force majeure and regulatory change clauses) and ensure alignment with </w:t>
      </w:r>
      <w:r w:rsidR="00041422" w:rsidRPr="00041422">
        <w:rPr>
          <w:rFonts w:ascii="Segoe UI" w:hAnsi="Segoe UI" w:cs="Segoe UI"/>
          <w:color w:val="auto"/>
        </w:rPr>
        <w:t>National Agency for Food and Drug Administration and Control</w:t>
      </w:r>
      <w:r w:rsidR="00041422">
        <w:rPr>
          <w:rFonts w:ascii="Segoe UI" w:hAnsi="Segoe UI" w:cs="Segoe UI"/>
          <w:color w:val="auto"/>
        </w:rPr>
        <w:t xml:space="preserve"> (</w:t>
      </w:r>
      <w:r w:rsidRPr="0046539F">
        <w:rPr>
          <w:rFonts w:ascii="Segoe UI" w:hAnsi="Segoe UI" w:cs="Segoe UI"/>
          <w:color w:val="auto"/>
        </w:rPr>
        <w:t>NAFDAC</w:t>
      </w:r>
      <w:r w:rsidR="00041422">
        <w:rPr>
          <w:rFonts w:ascii="Segoe UI" w:hAnsi="Segoe UI" w:cs="Segoe UI"/>
          <w:color w:val="auto"/>
        </w:rPr>
        <w:t>)</w:t>
      </w:r>
      <w:r w:rsidRPr="0046539F">
        <w:rPr>
          <w:rFonts w:ascii="Segoe UI" w:hAnsi="Segoe UI" w:cs="Segoe UI"/>
          <w:color w:val="auto"/>
        </w:rPr>
        <w:t xml:space="preserve"> requirements.</w:t>
      </w:r>
    </w:p>
    <w:p w14:paraId="76EDBC14" w14:textId="77777777" w:rsidR="00AE35F5" w:rsidRPr="00AE35F5" w:rsidRDefault="0098567D" w:rsidP="00A82FE7">
      <w:pPr>
        <w:pStyle w:val="ListParagraph"/>
        <w:numPr>
          <w:ilvl w:val="0"/>
          <w:numId w:val="5"/>
        </w:numPr>
        <w:spacing w:after="200" w:line="300" w:lineRule="auto"/>
        <w:jc w:val="both"/>
        <w:rPr>
          <w:rFonts w:ascii="Segoe UI" w:hAnsi="Segoe UI" w:cs="Segoe UI"/>
          <w:b/>
          <w:bCs/>
          <w:color w:val="auto"/>
        </w:rPr>
      </w:pPr>
      <w:r w:rsidRPr="0046539F">
        <w:rPr>
          <w:rFonts w:ascii="Segoe UI" w:hAnsi="Segoe UI" w:cs="Segoe UI"/>
          <w:b/>
          <w:bCs/>
          <w:color w:val="auto"/>
        </w:rPr>
        <w:t>For traders and importers</w:t>
      </w:r>
      <w:r w:rsidR="0046539F">
        <w:rPr>
          <w:rFonts w:ascii="Segoe UI" w:hAnsi="Segoe UI" w:cs="Segoe UI"/>
          <w:b/>
          <w:bCs/>
          <w:color w:val="auto"/>
        </w:rPr>
        <w:t>:</w:t>
      </w:r>
      <w:r w:rsidR="0046539F">
        <w:rPr>
          <w:rFonts w:ascii="Segoe UI" w:hAnsi="Segoe UI" w:cs="Segoe UI"/>
          <w:color w:val="auto"/>
        </w:rPr>
        <w:t xml:space="preserve"> </w:t>
      </w:r>
      <w:r w:rsidRPr="0046539F">
        <w:rPr>
          <w:rFonts w:ascii="Segoe UI" w:hAnsi="Segoe UI" w:cs="Segoe UI"/>
          <w:color w:val="auto"/>
        </w:rPr>
        <w:t>The transition window is limited. Importers should confirm that all qualifying transactions are properly documented and capable of clearance within the 90-day period. Delays may result in goods becoming subject to the new prohibition regime.</w:t>
      </w:r>
    </w:p>
    <w:p w14:paraId="2365AC94" w14:textId="4F244EF8" w:rsidR="0098567D" w:rsidRPr="00AE35F5" w:rsidRDefault="0098567D" w:rsidP="000F4E99">
      <w:pPr>
        <w:pStyle w:val="ListParagraph"/>
        <w:numPr>
          <w:ilvl w:val="0"/>
          <w:numId w:val="5"/>
        </w:numPr>
        <w:spacing w:line="300" w:lineRule="auto"/>
        <w:jc w:val="both"/>
        <w:rPr>
          <w:rFonts w:ascii="Segoe UI" w:hAnsi="Segoe UI" w:cs="Segoe UI"/>
          <w:b/>
          <w:bCs/>
          <w:color w:val="auto"/>
        </w:rPr>
      </w:pPr>
      <w:r w:rsidRPr="00AE35F5">
        <w:rPr>
          <w:rFonts w:ascii="Segoe UI" w:hAnsi="Segoe UI" w:cs="Segoe UI"/>
          <w:b/>
          <w:bCs/>
          <w:color w:val="auto"/>
        </w:rPr>
        <w:t>For international trade and investment stakeholders</w:t>
      </w:r>
      <w:r w:rsidR="00AE35F5">
        <w:rPr>
          <w:rFonts w:ascii="Segoe UI" w:hAnsi="Segoe UI" w:cs="Segoe UI"/>
          <w:b/>
          <w:bCs/>
          <w:color w:val="auto"/>
        </w:rPr>
        <w:t>:</w:t>
      </w:r>
      <w:r w:rsidR="00AE35F5">
        <w:rPr>
          <w:rFonts w:ascii="Segoe UI" w:hAnsi="Segoe UI" w:cs="Segoe UI"/>
          <w:color w:val="auto"/>
        </w:rPr>
        <w:t xml:space="preserve"> </w:t>
      </w:r>
      <w:r w:rsidRPr="00AE35F5">
        <w:rPr>
          <w:rFonts w:ascii="Segoe UI" w:hAnsi="Segoe UI" w:cs="Segoe UI"/>
          <w:color w:val="auto"/>
        </w:rPr>
        <w:t>The breadth of the restrictions introduces potential tension with Nigeria’s obligations under WTO agreements and AfCFTA protocols, particularly around non-discrimination and trade liberalisation commitments. Affected businesses may need to consider dispute resolution mechanisms, exemptions, or restructuring of trade routes within compliant frameworks.</w:t>
      </w:r>
    </w:p>
    <w:p w14:paraId="0E9A5FDE" w14:textId="00E1556D" w:rsidR="0098567D" w:rsidRPr="0098567D" w:rsidRDefault="0098567D" w:rsidP="0029192B">
      <w:pPr>
        <w:spacing w:line="300" w:lineRule="auto"/>
        <w:jc w:val="both"/>
        <w:rPr>
          <w:rFonts w:ascii="Segoe UI" w:hAnsi="Segoe UI" w:cs="Segoe UI"/>
          <w:color w:val="auto"/>
        </w:rPr>
      </w:pPr>
    </w:p>
    <w:p w14:paraId="535C80AB" w14:textId="77777777" w:rsidR="0098567D" w:rsidRPr="0098567D" w:rsidRDefault="0098567D" w:rsidP="00A82FE7">
      <w:pPr>
        <w:spacing w:after="200" w:line="300" w:lineRule="auto"/>
        <w:jc w:val="both"/>
        <w:rPr>
          <w:rFonts w:ascii="Segoe UI" w:hAnsi="Segoe UI" w:cs="Segoe UI"/>
          <w:b/>
          <w:bCs/>
          <w:color w:val="auto"/>
        </w:rPr>
      </w:pPr>
      <w:r w:rsidRPr="0098567D">
        <w:rPr>
          <w:rFonts w:ascii="Segoe UI" w:hAnsi="Segoe UI" w:cs="Segoe UI"/>
          <w:b/>
          <w:bCs/>
          <w:color w:val="auto"/>
        </w:rPr>
        <w:t>The Road Ahead</w:t>
      </w:r>
    </w:p>
    <w:p w14:paraId="1EC102BB" w14:textId="77777777" w:rsidR="0098567D" w:rsidRPr="009B3BEA" w:rsidRDefault="0098567D" w:rsidP="00A82FE7">
      <w:pPr>
        <w:spacing w:after="200" w:line="300" w:lineRule="auto"/>
        <w:jc w:val="both"/>
        <w:rPr>
          <w:rFonts w:ascii="Segoe UI" w:hAnsi="Segoe UI" w:cs="Segoe UI"/>
          <w:color w:val="auto"/>
        </w:rPr>
      </w:pPr>
      <w:r w:rsidRPr="0098567D">
        <w:rPr>
          <w:rFonts w:ascii="Segoe UI" w:hAnsi="Segoe UI" w:cs="Segoe UI"/>
          <w:color w:val="auto"/>
        </w:rPr>
        <w:t xml:space="preserve">Nigeria’s </w:t>
      </w:r>
      <w:r w:rsidRPr="009B3BEA">
        <w:rPr>
          <w:rFonts w:ascii="Segoe UI" w:hAnsi="Segoe UI" w:cs="Segoe UI"/>
          <w:color w:val="auto"/>
        </w:rPr>
        <w:t>2026 Fiscal Policy Measures mark a clear recalibration of trade policy toward domestic protection and regional integration. For businesses, the focus now shifts to adaptation—restructuring supply chains, revisiting contractual arrangements, and aligning with the evolving regulatory landscape.</w:t>
      </w:r>
    </w:p>
    <w:p w14:paraId="62CCE874" w14:textId="49409174" w:rsidR="00C76D06" w:rsidRPr="0098567D" w:rsidRDefault="0098567D" w:rsidP="00A82FE7">
      <w:pPr>
        <w:spacing w:after="200" w:line="300" w:lineRule="auto"/>
        <w:jc w:val="both"/>
        <w:rPr>
          <w:rFonts w:ascii="Segoe UI" w:hAnsi="Segoe UI" w:cs="Segoe UI"/>
          <w:color w:val="auto"/>
        </w:rPr>
      </w:pPr>
      <w:r w:rsidRPr="009B3BEA">
        <w:rPr>
          <w:rFonts w:ascii="Segoe UI" w:hAnsi="Segoe UI" w:cs="Segoe UI"/>
          <w:color w:val="auto"/>
        </w:rPr>
        <w:t>Early engagement with these changes will be critical to managing disruption and identifying new opportunities within the ECOWAS market.</w:t>
      </w:r>
      <w:r w:rsidR="00A82FE7">
        <w:rPr>
          <w:rFonts w:ascii="Segoe UI" w:hAnsi="Segoe UI" w:cs="Segoe UI"/>
          <w:color w:val="auto"/>
        </w:rPr>
        <w:t xml:space="preserve"> </w:t>
      </w:r>
      <w:r w:rsidRPr="0098567D">
        <w:rPr>
          <w:rFonts w:ascii="Segoe UI" w:hAnsi="Segoe UI" w:cs="Segoe UI"/>
          <w:color w:val="auto"/>
        </w:rPr>
        <w:t>For further guidance</w:t>
      </w:r>
      <w:r w:rsidR="009B3BEA">
        <w:rPr>
          <w:rFonts w:ascii="Segoe UI" w:hAnsi="Segoe UI" w:cs="Segoe UI"/>
          <w:color w:val="auto"/>
        </w:rPr>
        <w:t xml:space="preserve"> on </w:t>
      </w:r>
      <w:r w:rsidR="009B3BEA" w:rsidRPr="0098567D">
        <w:rPr>
          <w:rFonts w:ascii="Segoe UI" w:hAnsi="Segoe UI" w:cs="Segoe UI"/>
          <w:color w:val="auto"/>
        </w:rPr>
        <w:t>trade regulation, fiscal policy developments, and cross-border compliance.</w:t>
      </w:r>
      <w:r w:rsidRPr="0098567D">
        <w:rPr>
          <w:rFonts w:ascii="Segoe UI" w:hAnsi="Segoe UI" w:cs="Segoe UI"/>
          <w:color w:val="auto"/>
        </w:rPr>
        <w:t xml:space="preserve">, contact </w:t>
      </w:r>
      <w:hyperlink r:id="rId5" w:history="1">
        <w:r w:rsidR="004D0D21" w:rsidRPr="004D78C7">
          <w:rPr>
            <w:rStyle w:val="Hyperlink"/>
            <w:rFonts w:ascii="Segoe UI" w:hAnsi="Segoe UI" w:cs="Segoe UI"/>
            <w:b/>
            <w:bCs/>
          </w:rPr>
          <w:t>info@scp-law.com</w:t>
        </w:r>
      </w:hyperlink>
      <w:r w:rsidR="004D0D21">
        <w:rPr>
          <w:rFonts w:ascii="Segoe UI" w:hAnsi="Segoe UI" w:cs="Segoe UI"/>
          <w:b/>
          <w:bCs/>
          <w:color w:val="auto"/>
        </w:rPr>
        <w:t xml:space="preserve"> </w:t>
      </w:r>
      <w:r w:rsidRPr="0098567D">
        <w:rPr>
          <w:rFonts w:ascii="Segoe UI" w:hAnsi="Segoe UI" w:cs="Segoe UI"/>
          <w:color w:val="auto"/>
        </w:rPr>
        <w:t xml:space="preserve">or visit </w:t>
      </w:r>
      <w:hyperlink r:id="rId6" w:tgtFrame="_new" w:history="1">
        <w:r w:rsidRPr="0098567D">
          <w:rPr>
            <w:rStyle w:val="Hyperlink"/>
            <w:rFonts w:ascii="Segoe UI" w:hAnsi="Segoe UI" w:cs="Segoe UI"/>
            <w:b/>
            <w:bCs/>
          </w:rPr>
          <w:t>www.scp-law.com</w:t>
        </w:r>
      </w:hyperlink>
      <w:r w:rsidRPr="0098567D">
        <w:rPr>
          <w:rFonts w:ascii="Segoe UI" w:hAnsi="Segoe UI" w:cs="Segoe UI"/>
          <w:color w:val="auto"/>
        </w:rPr>
        <w:t>.</w:t>
      </w:r>
    </w:p>
    <w:sectPr w:rsidR="00C76D06" w:rsidRPr="0098567D">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venir Next Condensed">
    <w:altName w:val="Calibri"/>
    <w:charset w:val="00"/>
    <w:family w:val="swiss"/>
    <w:pitch w:val="variable"/>
    <w:sig w:usb0="8000002F" w:usb1="5000204A" w:usb2="00000000" w:usb3="00000000" w:csb0="0000009B"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F073B"/>
    <w:multiLevelType w:val="hybridMultilevel"/>
    <w:tmpl w:val="0F7C8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7E1296"/>
    <w:multiLevelType w:val="multilevel"/>
    <w:tmpl w:val="8622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5D62DC"/>
    <w:multiLevelType w:val="multilevel"/>
    <w:tmpl w:val="AF04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893D43"/>
    <w:multiLevelType w:val="multilevel"/>
    <w:tmpl w:val="C372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E160CE"/>
    <w:multiLevelType w:val="hybridMultilevel"/>
    <w:tmpl w:val="2BC80F42"/>
    <w:lvl w:ilvl="0" w:tplc="96B075FE">
      <w:start w:val="1"/>
      <w:numFmt w:val="bullet"/>
      <w:lvlText w:val="•"/>
      <w:lvlJc w:val="left"/>
      <w:pPr>
        <w:ind w:left="720" w:hanging="360"/>
      </w:pPr>
    </w:lvl>
    <w:lvl w:ilvl="1" w:tplc="224AC6B2">
      <w:numFmt w:val="decimal"/>
      <w:lvlText w:val=""/>
      <w:lvlJc w:val="left"/>
    </w:lvl>
    <w:lvl w:ilvl="2" w:tplc="1CDEB6EC">
      <w:numFmt w:val="decimal"/>
      <w:lvlText w:val=""/>
      <w:lvlJc w:val="left"/>
    </w:lvl>
    <w:lvl w:ilvl="3" w:tplc="2AF0B86A">
      <w:numFmt w:val="decimal"/>
      <w:lvlText w:val=""/>
      <w:lvlJc w:val="left"/>
    </w:lvl>
    <w:lvl w:ilvl="4" w:tplc="55725EA2">
      <w:numFmt w:val="decimal"/>
      <w:lvlText w:val=""/>
      <w:lvlJc w:val="left"/>
    </w:lvl>
    <w:lvl w:ilvl="5" w:tplc="E162083C">
      <w:numFmt w:val="decimal"/>
      <w:lvlText w:val=""/>
      <w:lvlJc w:val="left"/>
    </w:lvl>
    <w:lvl w:ilvl="6" w:tplc="3A9AA9BA">
      <w:numFmt w:val="decimal"/>
      <w:lvlText w:val=""/>
      <w:lvlJc w:val="left"/>
    </w:lvl>
    <w:lvl w:ilvl="7" w:tplc="B0A8C284">
      <w:numFmt w:val="decimal"/>
      <w:lvlText w:val=""/>
      <w:lvlJc w:val="left"/>
    </w:lvl>
    <w:lvl w:ilvl="8" w:tplc="D660BE9A">
      <w:numFmt w:val="decimal"/>
      <w:lvlText w:val=""/>
      <w:lvlJc w:val="left"/>
    </w:lvl>
  </w:abstractNum>
  <w:abstractNum w:abstractNumId="5" w15:restartNumberingAfterBreak="0">
    <w:nsid w:val="7E5B49F5"/>
    <w:multiLevelType w:val="hybridMultilevel"/>
    <w:tmpl w:val="19AC31E6"/>
    <w:lvl w:ilvl="0" w:tplc="AB2C213C">
      <w:start w:val="1"/>
      <w:numFmt w:val="bullet"/>
      <w:lvlText w:val="●"/>
      <w:lvlJc w:val="left"/>
      <w:pPr>
        <w:ind w:left="720" w:hanging="360"/>
      </w:pPr>
    </w:lvl>
    <w:lvl w:ilvl="1" w:tplc="7E4837AA">
      <w:start w:val="1"/>
      <w:numFmt w:val="bullet"/>
      <w:lvlText w:val="○"/>
      <w:lvlJc w:val="left"/>
      <w:pPr>
        <w:ind w:left="1440" w:hanging="360"/>
      </w:pPr>
    </w:lvl>
    <w:lvl w:ilvl="2" w:tplc="EA623540">
      <w:start w:val="1"/>
      <w:numFmt w:val="bullet"/>
      <w:lvlText w:val="■"/>
      <w:lvlJc w:val="left"/>
      <w:pPr>
        <w:ind w:left="2160" w:hanging="360"/>
      </w:pPr>
    </w:lvl>
    <w:lvl w:ilvl="3" w:tplc="25663C22">
      <w:start w:val="1"/>
      <w:numFmt w:val="bullet"/>
      <w:lvlText w:val="●"/>
      <w:lvlJc w:val="left"/>
      <w:pPr>
        <w:ind w:left="2880" w:hanging="360"/>
      </w:pPr>
    </w:lvl>
    <w:lvl w:ilvl="4" w:tplc="77DA5C26">
      <w:start w:val="1"/>
      <w:numFmt w:val="bullet"/>
      <w:lvlText w:val="○"/>
      <w:lvlJc w:val="left"/>
      <w:pPr>
        <w:ind w:left="3600" w:hanging="360"/>
      </w:pPr>
    </w:lvl>
    <w:lvl w:ilvl="5" w:tplc="85F47BA4">
      <w:start w:val="1"/>
      <w:numFmt w:val="bullet"/>
      <w:lvlText w:val="■"/>
      <w:lvlJc w:val="left"/>
      <w:pPr>
        <w:ind w:left="4320" w:hanging="360"/>
      </w:pPr>
    </w:lvl>
    <w:lvl w:ilvl="6" w:tplc="D018CF88">
      <w:start w:val="1"/>
      <w:numFmt w:val="bullet"/>
      <w:lvlText w:val="●"/>
      <w:lvlJc w:val="left"/>
      <w:pPr>
        <w:ind w:left="5040" w:hanging="360"/>
      </w:pPr>
    </w:lvl>
    <w:lvl w:ilvl="7" w:tplc="23F00DD8">
      <w:start w:val="1"/>
      <w:numFmt w:val="bullet"/>
      <w:lvlText w:val="●"/>
      <w:lvlJc w:val="left"/>
      <w:pPr>
        <w:ind w:left="5760" w:hanging="360"/>
      </w:pPr>
    </w:lvl>
    <w:lvl w:ilvl="8" w:tplc="5DA643AC">
      <w:start w:val="1"/>
      <w:numFmt w:val="bullet"/>
      <w:lvlText w:val="●"/>
      <w:lvlJc w:val="left"/>
      <w:pPr>
        <w:ind w:left="6480" w:hanging="360"/>
      </w:pPr>
    </w:lvl>
  </w:abstractNum>
  <w:num w:numId="1" w16cid:durableId="1290548952">
    <w:abstractNumId w:val="5"/>
    <w:lvlOverride w:ilvl="0">
      <w:startOverride w:val="1"/>
    </w:lvlOverride>
  </w:num>
  <w:num w:numId="2" w16cid:durableId="1364331321">
    <w:abstractNumId w:val="2"/>
  </w:num>
  <w:num w:numId="3" w16cid:durableId="2012371588">
    <w:abstractNumId w:val="1"/>
  </w:num>
  <w:num w:numId="4" w16cid:durableId="54742192">
    <w:abstractNumId w:val="3"/>
  </w:num>
  <w:num w:numId="5" w16cid:durableId="862479884">
    <w:abstractNumId w:val="0"/>
  </w:num>
  <w:num w:numId="6" w16cid:durableId="96458455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D06"/>
    <w:rsid w:val="00041422"/>
    <w:rsid w:val="000B4C8E"/>
    <w:rsid w:val="000F4E99"/>
    <w:rsid w:val="00102CBC"/>
    <w:rsid w:val="00122DA9"/>
    <w:rsid w:val="001A458E"/>
    <w:rsid w:val="0022574D"/>
    <w:rsid w:val="0027699F"/>
    <w:rsid w:val="0029192B"/>
    <w:rsid w:val="003C1832"/>
    <w:rsid w:val="003F5FC6"/>
    <w:rsid w:val="0046539F"/>
    <w:rsid w:val="00465B62"/>
    <w:rsid w:val="004731B4"/>
    <w:rsid w:val="004D0D21"/>
    <w:rsid w:val="005F4097"/>
    <w:rsid w:val="006D73A3"/>
    <w:rsid w:val="00754CD5"/>
    <w:rsid w:val="00755ABB"/>
    <w:rsid w:val="00806A8F"/>
    <w:rsid w:val="00826CF5"/>
    <w:rsid w:val="008D3C5A"/>
    <w:rsid w:val="0095260B"/>
    <w:rsid w:val="0098567D"/>
    <w:rsid w:val="009B3BEA"/>
    <w:rsid w:val="00A04339"/>
    <w:rsid w:val="00A82FE7"/>
    <w:rsid w:val="00A84148"/>
    <w:rsid w:val="00AE35F5"/>
    <w:rsid w:val="00AF5709"/>
    <w:rsid w:val="00B8771C"/>
    <w:rsid w:val="00BC6CA2"/>
    <w:rsid w:val="00C527EF"/>
    <w:rsid w:val="00C5348D"/>
    <w:rsid w:val="00C76D06"/>
    <w:rsid w:val="00D65799"/>
    <w:rsid w:val="00D944A1"/>
    <w:rsid w:val="00E90306"/>
    <w:rsid w:val="00EF43A4"/>
    <w:rsid w:val="00F819C0"/>
    <w:rsid w:val="00F9111A"/>
    <w:rsid w:val="00FC44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F14C2E5"/>
  <w15:docId w15:val="{D4AC7963-93D3-4AE8-80A0-7EE4902F1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GeneralInfo">
    <w:name w:val="General Info"/>
    <w:rsid w:val="00755ABB"/>
    <w:pPr>
      <w:pBdr>
        <w:top w:val="nil"/>
        <w:left w:val="nil"/>
        <w:bottom w:val="nil"/>
        <w:right w:val="nil"/>
        <w:between w:val="nil"/>
        <w:bar w:val="nil"/>
      </w:pBdr>
      <w:suppressAutoHyphens/>
      <w:spacing w:line="288" w:lineRule="auto"/>
      <w:ind w:firstLine="210"/>
    </w:pPr>
    <w:rPr>
      <w:rFonts w:ascii="Avenir Next Condensed" w:eastAsia="Arial Unicode MS" w:hAnsi="Arial Unicode MS" w:cs="Arial Unicode MS"/>
      <w:color w:val="67707B"/>
      <w:sz w:val="20"/>
      <w:szCs w:val="20"/>
      <w:bdr w:val="nil"/>
      <w:lang w:val="en-GB"/>
    </w:rPr>
  </w:style>
  <w:style w:type="character" w:customStyle="1" w:styleId="AllCaps">
    <w:name w:val="All Caps"/>
    <w:rsid w:val="00755ABB"/>
    <w:rPr>
      <w:caps/>
    </w:rPr>
  </w:style>
  <w:style w:type="character" w:styleId="UnresolvedMention">
    <w:name w:val="Unresolved Mention"/>
    <w:basedOn w:val="DefaultParagraphFont"/>
    <w:uiPriority w:val="99"/>
    <w:semiHidden/>
    <w:unhideWhenUsed/>
    <w:rsid w:val="00BC6CA2"/>
    <w:rPr>
      <w:color w:val="605E5C"/>
      <w:shd w:val="clear" w:color="auto" w:fill="E1DFDD"/>
    </w:rPr>
  </w:style>
  <w:style w:type="paragraph" w:styleId="Revision">
    <w:name w:val="Revision"/>
    <w:hidden/>
    <w:uiPriority w:val="99"/>
    <w:semiHidden/>
    <w:rsid w:val="00465B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cp-law.com" TargetMode="External"/><Relationship Id="rId5" Type="http://schemas.openxmlformats.org/officeDocument/2006/relationships/hyperlink" Target="mailto:info@scp-law.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Adegoke Adedoyin</cp:lastModifiedBy>
  <cp:revision>35</cp:revision>
  <dcterms:created xsi:type="dcterms:W3CDTF">2026-04-22T06:09:00Z</dcterms:created>
  <dcterms:modified xsi:type="dcterms:W3CDTF">2026-05-04T15:46:00Z</dcterms:modified>
</cp:coreProperties>
</file>