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题目：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</w:rPr>
        <w:t>建议 1 (强调特征保留):</w:t>
      </w:r>
      <w:r>
        <w:t xml:space="preserve"> </w:t>
      </w:r>
      <w:r>
        <w:rPr>
          <w:i/>
        </w:rPr>
        <w:t>Lossless Feature Propagation and Multi-Scale Enhancement for Efficient Object Detection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</w:rPr>
        <w:t>建议 2 (强调机制):</w:t>
      </w:r>
      <w:r>
        <w:t xml:space="preserve"> </w:t>
      </w:r>
      <w:r>
        <w:rPr>
          <w:i/>
        </w:rPr>
        <w:t>re-YOLO: Rethinking Downsampling and Feature Integration in One-Stage Detectors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</w:rPr>
        <w:t>建议 3 (如果针对特定场景，如航拍/小目标):</w:t>
      </w:r>
      <w:r>
        <w:t xml:space="preserve"> </w:t>
      </w:r>
      <w:r>
        <w:rPr>
          <w:i/>
        </w:rPr>
        <w:t>Context-Aware Feature Preservation Network for Challenging Object Detection Scenarios</w:t>
      </w:r>
    </w:p>
    <w:p/>
    <w:p/>
    <w:p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  <w:sz w:val="40"/>
          <w:szCs w:val="40"/>
        </w:rPr>
      </w:pPr>
      <w:r>
        <w:rPr>
          <w:rFonts w:hint="default" w:ascii="sans-serif" w:hAnsi="sans-serif" w:eastAsia="sans-serif" w:cs="sans-serif"/>
          <w:sz w:val="40"/>
          <w:szCs w:val="40"/>
        </w:rPr>
        <w:t>第一章：引言 (Introduction)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研究背景与挑战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firstLine="480" w:firstLineChars="20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在过去的十年中，卷积神经网络（CNN）彻底改变了计算机视觉领域，并在自动驾驶、智能交通及航拍监控等工业应用中确立了主导地位 [1, 2]。以 YOLO 系列为代表的一阶段检测器 [3, 4]，通过在推理速度和检测精度之间取得卓越的平衡，已成为实时目标检测任务的首选架构。然而，尽管这些架构在 COCO 等通用数据集上表现优异，但在面对具有剧烈尺度变化（Scale Variation）的复杂场景——特别是涉及无人机航拍图像（如 VisDrone 数据集）或密集人群监控时，其性能往往面临严峻挑战。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当前主流检测器面临的一个根本性矛盾在于**“特征表示能力与计算效率之间的权衡（Representation-Efficiency Trade-off）”</w:t>
      </w:r>
      <w:r>
        <w:rPr>
          <w:rFonts w:hint="default" w:ascii="sans-serif" w:hAnsi="sans-serif" w:eastAsia="sans-serif" w:cs="sans-serif"/>
          <w:b/>
        </w:rPr>
        <w:t>。现代检测器的核心构建模块主要是针对中大尺度目标设计的，当应用于</w:t>
      </w:r>
      <w:r>
        <w:rPr>
          <w:rFonts w:hint="default" w:ascii="sans-serif" w:hAnsi="sans-serif" w:eastAsia="sans-serif" w:cs="sans-serif"/>
        </w:rPr>
        <w:t>像素匮乏（Pixel-poor）**的细粒度感知任务时，往往显得力不从心。对于在图像中仅占据极少像素的小目标而言，其固有的低分辨率特征极易被复杂的背景噪声淹没，导致漏检率居高不下。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科学问题分析：特征侵蚀与信号衰减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当前最先进（SOTA）模型（如 YOLOv11）在小目标检测上的性能瓶颈，主要源于特征提取和传播过程中的内在缺陷。尽管特征金字塔网络（FPN）[5] 和路径聚合网络（PANet）[6] 等技术试图通过在骨干网络（Backbone）末端进行多尺度特征融合来缓解这一问题，但它们建立在一个理想化的假设之上：即输入特征金字塔的浅层特征已经具备了完备的空间信</w:t>
      </w:r>
      <w:bookmarkStart w:id="0" w:name="_GoBack"/>
      <w:bookmarkEnd w:id="0"/>
      <w:r>
        <w:rPr>
          <w:rFonts w:hint="default" w:ascii="sans-serif" w:hAnsi="sans-serif" w:eastAsia="sans-serif" w:cs="sans-serif"/>
        </w:rPr>
        <w:t>息和语义表达。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我们认为这一假设在小目标检测中是不成立的。</w:t>
      </w:r>
      <w:r>
        <w:rPr>
          <w:rFonts w:hint="default" w:ascii="sans-serif" w:hAnsi="sans-serif" w:eastAsia="sans-serif" w:cs="sans-serif"/>
          <w:b/>
        </w:rPr>
        <w:t>特征侵蚀（Feature Erosion）往往发生在网络的前中期阶段：激进的下采样操作和固定的卷积核会不可逆地破坏高频细节，导致小目标在到达深层网络之前就已经发生了“信号衰减（Signal Attenuation）”</w:t>
      </w:r>
      <w:r>
        <w:rPr>
          <w:rFonts w:hint="default" w:ascii="sans-serif" w:hAnsi="sans-serif" w:eastAsia="sans-serif" w:cs="sans-serif"/>
        </w:rPr>
        <w:t>。一旦这些微弱的细粒度信息在特征提取的早期阶段丢失，后续任何形式的特征融合机制都无法将其有效恢复。这种现象构成了特征金字塔中典型的“垃圾进，垃圾出（Garbage-In, Garbage-Out）”效应。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1.3 本文解决方案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为了解决上述问题，本文从特征传播、上下文增强及检测头设计三个维度出发，提出了一种改进的目标检测架构。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</w:rPr>
        <w:t>首先，针对下采样引起的信息瓶颈问题，我们引入了无损频率-深度变换器（Lossless Frequency-to-Depth Transformer, LFD）。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传统的步长卷积或池化层为了扩大感受野，往往以降低空间分辨率为代价。根据奈奎斯特-香农采样定理（Nyquist-Shannon Sampling Theorem），对于高频信息丰富但空间支撑有限的小目标，这种降采样不可避免地会导致混叠效应（Aliasing）和空间结构的破坏 [7]。受 Space-to-Depth 理论的启发，本文提出的 LFD 单元通过将空间维度的像素块重塑映射到通道维度，替代了传统的步长卷积。该机制在降低显存占用的同时，实现了 100% 的输入信息流保留，从理论上消除了下采样阶段的信息瓶颈。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</w:rPr>
        <w:t>其次，针对浅层特征上下文缺失的问题，我们设计了非对称空洞上下文调制模块（Asymmetric Dilated Context Modulation, ADCM）。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小目标通常缺乏足够的内部纹理信息进行独立分类，因此极度依赖环境上下文（Contextual Cues）进行辅助推断。然而，标准的 $3 \times 3$ 卷积具有各向同性且感受野固定，难以捕捉长距离依赖或细长物体的几何特征。ADCM 模块创新性地集成了非对称卷积（$1 \times 3$ 和 $3 \times 1$）与空洞卷积机制，能够显式地建模**各向异性（Anisotropic）**的上下文信息，并在不显著增加参数量的前提下有效扩大感受野。该模块作为一个主动的特征校正器（Proactive Feature Rectifier），能够显著增强浅层特征对背景噪声的鲁棒性。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</w:rPr>
        <w:t>最后，针对检测头中的空间错位问题，我们提出了坐标引导解耦头（Coordinate-Guided Decoupled Head, CGD）。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目标检测任务包含分类和回归两个子任务，前者需要平移不变性（Translation Invariance），而后者则依赖平移同变性（Translation Equivariance）。传统的共享检测头在处理这两个冲突任务时存在特征干扰 [8]。此外，全局池化操作往往会丢失对小目标定位至关重要的位置信息。CGD 头通过将坐标注意力机制（Coordinate Attention）[9] 嵌入解耦架构，不仅实现了分类与回归任务的特征解耦，还显式地沿着空间坐标方向编码长距离依赖，从而显著提升了对微小目标的定位精度。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1.4 主要贡献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综上所述，本文的主要贡献概括如下：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提出了一种</w:t>
      </w:r>
      <w:r>
        <w:rPr>
          <w:rFonts w:hint="default" w:ascii="sans-serif" w:hAnsi="sans-serif" w:eastAsia="sans-serif" w:cs="sans-serif"/>
          <w:b/>
        </w:rPr>
        <w:t>LFD 变换单元</w:t>
      </w:r>
      <w:r>
        <w:rPr>
          <w:rFonts w:hint="default" w:ascii="sans-serif" w:hAnsi="sans-serif" w:eastAsia="sans-serif" w:cs="sans-serif"/>
        </w:rPr>
        <w:t>，利用切片重组机制替代步长卷积，从理论上保证了特征下采样过程中的无损传播，有效解决了小目标的信息丢失问题。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设计了</w:t>
      </w:r>
      <w:r>
        <w:rPr>
          <w:rFonts w:hint="default" w:ascii="sans-serif" w:hAnsi="sans-serif" w:eastAsia="sans-serif" w:cs="sans-serif"/>
          <w:b/>
        </w:rPr>
        <w:t>ADCM 上下文调制模块</w:t>
      </w:r>
      <w:r>
        <w:rPr>
          <w:rFonts w:hint="default" w:ascii="sans-serif" w:hAnsi="sans-serif" w:eastAsia="sans-serif" w:cs="sans-serif"/>
        </w:rPr>
        <w:t>，通过非对称与空洞卷积的协同作用，在网络早期阶段增强了特征的各向异性表达与上下文感知能力。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开发了</w:t>
      </w:r>
      <w:r>
        <w:rPr>
          <w:rFonts w:hint="default" w:ascii="sans-serif" w:hAnsi="sans-serif" w:eastAsia="sans-serif" w:cs="sans-serif"/>
          <w:b/>
        </w:rPr>
        <w:t>CGD 坐标引导解耦头</w:t>
      </w:r>
      <w:r>
        <w:rPr>
          <w:rFonts w:hint="default" w:ascii="sans-serif" w:hAnsi="sans-serif" w:eastAsia="sans-serif" w:cs="sans-serif"/>
        </w:rPr>
        <w:t>，解决了分类与回归任务的特征冲突，并通过引入坐标注意力机制提升了对密集小目标的定位敏感度。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 MS COCO 和 VisDrone 等基准数据集上的广泛实验表明，本文提出的方法在保持实时推理速度的同时，显著提升了检测精度（mAP），优于现有的 YOLOv11 及其他 SOTA 检测器。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参考文献 (References)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[1] Z. Zou, K. Chen, Z. Shi, Y. Guo, and J. Ye, "Object detection in 20 years: A survey," </w:t>
      </w:r>
      <w:r>
        <w:rPr>
          <w:rFonts w:hint="default" w:ascii="sans-serif" w:hAnsi="sans-serif" w:eastAsia="sans-serif" w:cs="sans-serif"/>
          <w:i/>
        </w:rPr>
        <w:t>Proceedings of the IEEE</w:t>
      </w:r>
      <w:r>
        <w:rPr>
          <w:rFonts w:hint="default" w:ascii="sans-serif" w:hAnsi="sans-serif" w:eastAsia="sans-serif" w:cs="sans-serif"/>
        </w:rPr>
        <w:t>, vol. 111, no. 3, pp. 257-276, 2023.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[2] A. Voulodimos, N. Doulamis, A. Doulamis, and E. Protopapadakis, "Deep learning for computer vision: A brief review," </w:t>
      </w:r>
      <w:r>
        <w:rPr>
          <w:rFonts w:hint="default" w:ascii="sans-serif" w:hAnsi="sans-serif" w:eastAsia="sans-serif" w:cs="sans-serif"/>
          <w:i/>
        </w:rPr>
        <w:t>Computational Intelligence and Neuroscience</w:t>
      </w:r>
      <w:r>
        <w:rPr>
          <w:rFonts w:hint="default" w:ascii="sans-serif" w:hAnsi="sans-serif" w:eastAsia="sans-serif" w:cs="sans-serif"/>
        </w:rPr>
        <w:t>, vol. 2018, 2018.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[3] J. Redmon, S. Divvala, R. Girshick, and A. Farhadi, "You only look once: Unified, real-time object detection," in </w:t>
      </w:r>
      <w:r>
        <w:rPr>
          <w:rFonts w:hint="default" w:ascii="sans-serif" w:hAnsi="sans-serif" w:eastAsia="sans-serif" w:cs="sans-serif"/>
          <w:i/>
        </w:rPr>
        <w:t>Proceedings of the IEEE Conference on Computer Vision and Pattern Recognition (CVPR)</w:t>
      </w:r>
      <w:r>
        <w:rPr>
          <w:rFonts w:hint="default" w:ascii="sans-serif" w:hAnsi="sans-serif" w:eastAsia="sans-serif" w:cs="sans-serif"/>
        </w:rPr>
        <w:t>, 2016, pp. 779-788.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[4] G. Jocher </w:t>
      </w:r>
      <w:r>
        <w:rPr>
          <w:rFonts w:hint="default" w:ascii="sans-serif" w:hAnsi="sans-serif" w:eastAsia="sans-serif" w:cs="sans-serif"/>
          <w:i/>
        </w:rPr>
        <w:t>et al.</w:t>
      </w:r>
      <w:r>
        <w:rPr>
          <w:rFonts w:hint="default" w:ascii="sans-serif" w:hAnsi="sans-serif" w:eastAsia="sans-serif" w:cs="sans-serif"/>
        </w:rPr>
        <w:t xml:space="preserve">, "Ultralytics YOLO," version 8.0.0, [Online]. Available: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"https://github.com/ultralytics/ultralytics" \t "/home/jack/文档\\x/_blank"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https://github.com/ultralytics/ultralytics</w:t>
      </w:r>
      <w:r>
        <w:rPr>
          <w:rFonts w:hint="default" w:ascii="sans-serif" w:hAnsi="sans-serif" w:eastAsia="sans-serif" w:cs="sans-serif"/>
        </w:rPr>
        <w:fldChar w:fldCharType="end"/>
      </w:r>
      <w:r>
        <w:rPr>
          <w:rFonts w:hint="default" w:ascii="sans-serif" w:hAnsi="sans-serif" w:eastAsia="sans-serif" w:cs="sans-serif"/>
        </w:rPr>
        <w:t>, 2023.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[5] T.-Y. Lin, P. Dollár, R. Girshick, K. He, B. Hariharan, and S. Belongie, "Feature pyramid networks for object detection," in </w:t>
      </w:r>
      <w:r>
        <w:rPr>
          <w:rFonts w:hint="default" w:ascii="sans-serif" w:hAnsi="sans-serif" w:eastAsia="sans-serif" w:cs="sans-serif"/>
          <w:i/>
        </w:rPr>
        <w:t>Proceedings of the IEEE Conference on Computer Vision and Pattern Recognition (CVPR)</w:t>
      </w:r>
      <w:r>
        <w:rPr>
          <w:rFonts w:hint="default" w:ascii="sans-serif" w:hAnsi="sans-serif" w:eastAsia="sans-serif" w:cs="sans-serif"/>
        </w:rPr>
        <w:t>, 2017, pp. 2117-2125.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[6] S. Liu, L. Qi, H. Qin, J. Shi, and J. Jia, "Path aggregation network for instance segmentation," in </w:t>
      </w:r>
      <w:r>
        <w:rPr>
          <w:rFonts w:hint="default" w:ascii="sans-serif" w:hAnsi="sans-serif" w:eastAsia="sans-serif" w:cs="sans-serif"/>
          <w:i/>
        </w:rPr>
        <w:t>Proceedings of the IEEE Conference on Computer Vision and Pattern Recognition (CVPR)</w:t>
      </w:r>
      <w:r>
        <w:rPr>
          <w:rFonts w:hint="default" w:ascii="sans-serif" w:hAnsi="sans-serif" w:eastAsia="sans-serif" w:cs="sans-serif"/>
        </w:rPr>
        <w:t>, 2018, pp. 8759-8768.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[7] R. Sunkara and T. Luo, "No more strided convolutions? Representation learning for face and object detection," </w:t>
      </w:r>
      <w:r>
        <w:rPr>
          <w:rFonts w:hint="default" w:ascii="sans-serif" w:hAnsi="sans-serif" w:eastAsia="sans-serif" w:cs="sans-serif"/>
          <w:i/>
        </w:rPr>
        <w:t>arXiv preprint arXiv:2208.03689</w:t>
      </w:r>
      <w:r>
        <w:rPr>
          <w:rFonts w:hint="default" w:ascii="sans-serif" w:hAnsi="sans-serif" w:eastAsia="sans-serif" w:cs="sans-serif"/>
        </w:rPr>
        <w:t>, 2022.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[8] Z. Ge, S. Liu, F. Wang, Z. Li, and J. Sun, "Yolox: Exceeding yolo series in 2021," </w:t>
      </w:r>
      <w:r>
        <w:rPr>
          <w:rFonts w:hint="default" w:ascii="sans-serif" w:hAnsi="sans-serif" w:eastAsia="sans-serif" w:cs="sans-serif"/>
          <w:i/>
        </w:rPr>
        <w:t>arXiv preprint arXiv:2107.08430</w:t>
      </w:r>
      <w:r>
        <w:rPr>
          <w:rFonts w:hint="default" w:ascii="sans-serif" w:hAnsi="sans-serif" w:eastAsia="sans-serif" w:cs="sans-serif"/>
        </w:rPr>
        <w:t>, 2021.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[9] Q. Hou, D. Zhou, and J. Feng, "Coordinate attention for efficient mobile network design," in </w:t>
      </w:r>
      <w:r>
        <w:rPr>
          <w:rFonts w:hint="default" w:ascii="sans-serif" w:hAnsi="sans-serif" w:eastAsia="sans-serif" w:cs="sans-serif"/>
          <w:i/>
        </w:rPr>
        <w:t>Proceedings of the IEEE/CVF Conference on Computer Vision and Pattern Recognition (CVPR)</w:t>
      </w:r>
      <w:r>
        <w:rPr>
          <w:rFonts w:hint="default" w:ascii="sans-serif" w:hAnsi="sans-serif" w:eastAsia="sans-serif" w:cs="sans-serif"/>
        </w:rPr>
        <w:t>, 2021, pp. 13713-13722.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[10] X. Ding, Y. Guo, G. Ding, and J. Han, "ACNet: Strengthening the kernel skeletons for powerful cnn via asymmetric convolution blocks," in </w:t>
      </w:r>
      <w:r>
        <w:rPr>
          <w:rFonts w:hint="default" w:ascii="sans-serif" w:hAnsi="sans-serif" w:eastAsia="sans-serif" w:cs="sans-serif"/>
          <w:i/>
        </w:rPr>
        <w:t>Proceedings of the IEEE/CVF International Conference on Computer Vision (ICCV)</w:t>
      </w:r>
      <w:r>
        <w:rPr>
          <w:rFonts w:hint="default" w:ascii="sans-serif" w:hAnsi="sans-serif" w:eastAsia="sans-serif" w:cs="sans-serif"/>
        </w:rPr>
        <w:t>, 2019, pp. 1911-1920.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BFE8653"/>
    <w:multiLevelType w:val="multilevel"/>
    <w:tmpl w:val="FBFE86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D3521"/>
    <w:rsid w:val="7EEF7FAB"/>
    <w:rsid w:val="F7B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2026-02-06T22:04:00Z</dcterms:created>
  <dc:creator>jack</dc:creator>
  <cp:lastModifiedBy>jack</cp:lastModifiedBy>
  <dcterms:modified xsi:type="dcterms:W3CDTF">2026-02-06T23:50:11Z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