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9AF78F">
      <w:pPr>
        <w:spacing w:before="480" w:after="480" w:line="288" w:lineRule="auto"/>
        <w:ind w:left="0"/>
      </w:pPr>
      <w:r>
        <w:rPr>
          <w:rFonts w:ascii="Arial" w:hAnsi="Arial" w:eastAsia="等线" w:cs="Arial"/>
          <w:b/>
          <w:sz w:val="52"/>
        </w:rPr>
        <w:t>租户与订阅</w:t>
      </w:r>
    </w:p>
    <w:p w14:paraId="684FB5FC">
      <w:pPr>
        <w:spacing w:before="380" w:after="140" w:line="288" w:lineRule="auto"/>
        <w:ind w:left="0"/>
        <w:jc w:val="left"/>
        <w:outlineLvl w:val="0"/>
      </w:pPr>
      <w:bookmarkStart w:id="0" w:name="heading_0"/>
      <w:r>
        <w:rPr>
          <w:rFonts w:ascii="Arial" w:hAnsi="Arial" w:eastAsia="等线" w:cs="Arial"/>
          <w:b/>
          <w:sz w:val="36"/>
        </w:rPr>
        <w:t>文档概述</w:t>
      </w:r>
      <w:bookmarkEnd w:id="0"/>
    </w:p>
    <w:tbl>
      <w:tblPr>
        <w:tblStyle w:val="2"/>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500"/>
        <w:gridCol w:w="6600"/>
      </w:tblGrid>
      <w:tr w14:paraId="4295A11E">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00" w:type="dxa"/>
            <w:tcMar>
              <w:top w:w="60" w:type="dxa"/>
              <w:left w:w="120" w:type="dxa"/>
              <w:bottom w:w="30" w:type="dxa"/>
              <w:right w:w="120" w:type="dxa"/>
            </w:tcMar>
          </w:tcPr>
          <w:p w14:paraId="02F1C3B9">
            <w:pPr>
              <w:spacing w:before="120" w:after="120" w:line="288" w:lineRule="auto"/>
              <w:ind w:left="0"/>
              <w:jc w:val="left"/>
            </w:pPr>
            <w:r>
              <w:rPr>
                <w:rFonts w:ascii="Arial" w:hAnsi="Arial" w:eastAsia="等线" w:cs="Arial"/>
                <w:sz w:val="22"/>
              </w:rPr>
              <w:t>版本历史</w:t>
            </w:r>
          </w:p>
        </w:tc>
        <w:tc>
          <w:tcPr>
            <w:tcW w:w="6600" w:type="dxa"/>
            <w:tcMar>
              <w:top w:w="60" w:type="dxa"/>
              <w:left w:w="120" w:type="dxa"/>
              <w:bottom w:w="30" w:type="dxa"/>
              <w:right w:w="120" w:type="dxa"/>
            </w:tcMar>
          </w:tcPr>
          <w:p w14:paraId="74327567">
            <w:pPr>
              <w:spacing w:before="120" w:after="120" w:line="288" w:lineRule="auto"/>
              <w:ind w:left="0"/>
              <w:jc w:val="left"/>
            </w:pPr>
            <w:r>
              <w:rPr>
                <w:rFonts w:ascii="Arial" w:hAnsi="Arial" w:eastAsia="等线" w:cs="Arial"/>
                <w:sz w:val="22"/>
              </w:rPr>
              <w:t>1.0</w:t>
            </w:r>
            <w:bookmarkStart w:id="56" w:name="_GoBack"/>
            <w:bookmarkEnd w:id="56"/>
          </w:p>
        </w:tc>
      </w:tr>
      <w:tr w14:paraId="6591FA29">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00" w:type="dxa"/>
            <w:tcMar>
              <w:top w:w="60" w:type="dxa"/>
              <w:left w:w="120" w:type="dxa"/>
              <w:bottom w:w="30" w:type="dxa"/>
              <w:right w:w="120" w:type="dxa"/>
            </w:tcMar>
          </w:tcPr>
          <w:p w14:paraId="6B3DC54B">
            <w:pPr>
              <w:spacing w:before="120" w:after="120" w:line="288" w:lineRule="auto"/>
              <w:ind w:left="0"/>
              <w:jc w:val="left"/>
            </w:pPr>
            <w:r>
              <w:rPr>
                <w:rFonts w:ascii="Arial" w:hAnsi="Arial" w:eastAsia="等线" w:cs="Arial"/>
                <w:sz w:val="22"/>
              </w:rPr>
              <w:t>参与人员</w:t>
            </w:r>
          </w:p>
        </w:tc>
        <w:tc>
          <w:tcPr>
            <w:tcW w:w="6600" w:type="dxa"/>
            <w:tcMar>
              <w:top w:w="60" w:type="dxa"/>
              <w:left w:w="120" w:type="dxa"/>
              <w:bottom w:w="30" w:type="dxa"/>
              <w:right w:w="120" w:type="dxa"/>
            </w:tcMar>
          </w:tcPr>
          <w:p w14:paraId="07B694C9">
            <w:pPr>
              <w:spacing w:before="120" w:after="120" w:line="288" w:lineRule="auto"/>
              <w:ind w:left="0"/>
              <w:jc w:val="left"/>
            </w:pPr>
            <w:r>
              <w:rPr>
                <w:rFonts w:hint="eastAsia"/>
                <w:lang w:val="en-US" w:eastAsia="zh-CN"/>
              </w:rPr>
              <w:t>fansea</w:t>
            </w:r>
          </w:p>
        </w:tc>
      </w:tr>
      <w:tr w14:paraId="49CCB1D4">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00" w:type="dxa"/>
            <w:tcMar>
              <w:top w:w="60" w:type="dxa"/>
              <w:left w:w="120" w:type="dxa"/>
              <w:bottom w:w="30" w:type="dxa"/>
              <w:right w:w="120" w:type="dxa"/>
            </w:tcMar>
          </w:tcPr>
          <w:p w14:paraId="310D9E3B">
            <w:pPr>
              <w:spacing w:before="120" w:after="120" w:line="288" w:lineRule="auto"/>
              <w:ind w:left="0"/>
              <w:jc w:val="left"/>
            </w:pPr>
            <w:r>
              <w:rPr>
                <w:rFonts w:ascii="Arial" w:hAnsi="Arial" w:eastAsia="等线" w:cs="Arial"/>
                <w:sz w:val="22"/>
              </w:rPr>
              <w:t>目标读者</w:t>
            </w:r>
          </w:p>
        </w:tc>
        <w:tc>
          <w:tcPr>
            <w:tcW w:w="6600" w:type="dxa"/>
            <w:tcMar>
              <w:top w:w="60" w:type="dxa"/>
              <w:left w:w="120" w:type="dxa"/>
              <w:bottom w:w="30" w:type="dxa"/>
              <w:right w:w="120" w:type="dxa"/>
            </w:tcMar>
          </w:tcPr>
          <w:p w14:paraId="50A79C75">
            <w:pPr>
              <w:spacing w:before="120" w:after="120" w:line="288" w:lineRule="auto"/>
              <w:ind w:left="0"/>
              <w:jc w:val="left"/>
            </w:pPr>
            <w:r>
              <w:rPr>
                <w:rFonts w:ascii="Arial" w:hAnsi="Arial" w:eastAsia="等线" w:cs="Arial"/>
                <w:sz w:val="22"/>
              </w:rPr>
              <w:t>产品经理，产品研发，产品运营</w:t>
            </w:r>
          </w:p>
        </w:tc>
      </w:tr>
    </w:tbl>
    <w:p w14:paraId="5E1F219E">
      <w:pPr>
        <w:spacing w:before="380" w:after="140" w:line="288" w:lineRule="auto"/>
        <w:ind w:left="0"/>
        <w:jc w:val="left"/>
        <w:outlineLvl w:val="0"/>
      </w:pPr>
      <w:bookmarkStart w:id="1" w:name="heading_1"/>
      <w:r>
        <w:rPr>
          <w:rFonts w:ascii="Arial" w:hAnsi="Arial" w:eastAsia="等线" w:cs="Arial"/>
          <w:b/>
          <w:sz w:val="36"/>
        </w:rPr>
        <w:t>背景与业务需求</w:t>
      </w:r>
      <w:bookmarkEnd w:id="1"/>
    </w:p>
    <w:p w14:paraId="431FF7E4">
      <w:pPr>
        <w:spacing w:before="320" w:after="120" w:line="288" w:lineRule="auto"/>
        <w:ind w:left="0"/>
        <w:jc w:val="left"/>
        <w:outlineLvl w:val="1"/>
      </w:pPr>
      <w:bookmarkStart w:id="2" w:name="heading_2"/>
      <w:r>
        <w:rPr>
          <w:rFonts w:ascii="Arial" w:hAnsi="Arial" w:eastAsia="等线" w:cs="Arial"/>
          <w:b/>
          <w:sz w:val="32"/>
        </w:rPr>
        <w:t>概述</w:t>
      </w:r>
      <w:bookmarkEnd w:id="2"/>
    </w:p>
    <w:p w14:paraId="7B519A2D">
      <w:pPr>
        <w:spacing w:before="120" w:after="120" w:line="288" w:lineRule="auto"/>
        <w:ind w:left="0"/>
        <w:jc w:val="left"/>
      </w:pPr>
      <w:r>
        <w:rPr>
          <w:rFonts w:ascii="Arial" w:hAnsi="Arial" w:eastAsia="等线" w:cs="Arial"/>
          <w:sz w:val="22"/>
        </w:rPr>
        <w:t>在设计“租户与订阅”模块时，我们面临着一项独特且复杂的挑战：如何在SaaS系统架构中有效地支持多种用户类型（个人免费版、个人收费版、企业版），同时保证数据隔离和服务的个性化。这一挑战不仅涉及技术层面的实现，还关系到用户体验的优化和商业模型的可持续性。</w:t>
      </w:r>
    </w:p>
    <w:p w14:paraId="1CD06305">
      <w:pPr>
        <w:spacing w:before="120" w:after="120" w:line="288" w:lineRule="auto"/>
        <w:ind w:left="0"/>
        <w:jc w:val="left"/>
      </w:pPr>
      <w:r>
        <w:rPr>
          <w:rFonts w:ascii="Arial" w:hAnsi="Arial" w:eastAsia="等线" w:cs="Arial"/>
          <w:sz w:val="22"/>
        </w:rPr>
        <w:br w:type="textWrapping"/>
      </w:r>
      <w:r>
        <w:rPr>
          <w:rFonts w:ascii="Arial" w:hAnsi="Arial" w:eastAsia="等线" w:cs="Arial"/>
          <w:sz w:val="22"/>
        </w:rPr>
        <w:t>此模块的核心目标是构建一个灵活且健壮的架构，能够适应不同用户群体的特定需求，同时保持代码的一致性和维护的简便性。个人免费版用户将接触到基础功能和有限的用量，这不仅满足了他们的基本需求，同时也为升级到付费版本创造潜在机会。对于企业版用户，我们的策略是提供更高级的功能和按席位收费的灵活性，以满足他们更为复杂的需求。</w:t>
      </w:r>
    </w:p>
    <w:p w14:paraId="1E73F9E1">
      <w:pPr>
        <w:spacing w:before="120" w:after="120" w:line="288" w:lineRule="auto"/>
        <w:ind w:left="0"/>
        <w:jc w:val="left"/>
      </w:pPr>
      <w:r>
        <w:rPr>
          <w:rFonts w:ascii="Arial" w:hAnsi="Arial" w:eastAsia="等线" w:cs="Arial"/>
          <w:sz w:val="22"/>
        </w:rPr>
        <w:br w:type="textWrapping"/>
      </w:r>
      <w:r>
        <w:rPr>
          <w:rFonts w:ascii="Arial" w:hAnsi="Arial" w:eastAsia="等线" w:cs="Arial"/>
          <w:sz w:val="22"/>
        </w:rPr>
        <w:t>在技术层面，关键在于设计一个高效的用户管理和订阅管理系统，同时集成灵活的计费机制。这意味着系统需要能够处理各种不同的订阅方案，支持动态的功能访问控制，并确保每个租户的数据隔离和安全。此外，鉴于目标用户群体的多样性，从学生到企业，我们的系统设计还需要考虑易用性和可访问性，确保所有用户都能高效地利用我们的服务。</w:t>
      </w:r>
    </w:p>
    <w:p w14:paraId="3CAD8D1C">
      <w:pPr>
        <w:spacing w:before="120" w:after="120" w:line="288" w:lineRule="auto"/>
        <w:ind w:left="0"/>
        <w:jc w:val="left"/>
      </w:pPr>
    </w:p>
    <w:tbl>
      <w:tblPr>
        <w:tblStyle w:val="2"/>
        <w:tblW w:w="0" w:type="auto"/>
        <w:tblInd w:w="0" w:type="dxa"/>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Layout w:type="fixed"/>
        <w:tblCellMar>
          <w:top w:w="0" w:type="dxa"/>
          <w:left w:w="10" w:type="dxa"/>
          <w:bottom w:w="0" w:type="dxa"/>
          <w:right w:w="10" w:type="dxa"/>
        </w:tblCellMar>
      </w:tblPr>
      <w:tblGrid>
        <w:gridCol w:w="8280"/>
      </w:tblGrid>
      <w:tr w14:paraId="54D28949">
        <w:tblPrEx>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CellMar>
            <w:top w:w="0" w:type="dxa"/>
            <w:left w:w="10" w:type="dxa"/>
            <w:bottom w:w="0" w:type="dxa"/>
            <w:right w:w="10" w:type="dxa"/>
          </w:tblCellMar>
        </w:tblPrEx>
        <w:tc>
          <w:tcPr>
            <w:tcW w:w="8280" w:type="dxa"/>
            <w:shd w:val="clear" w:color="auto" w:fill="FFF5EB"/>
            <w:tcMar>
              <w:top w:w="60" w:type="dxa"/>
              <w:left w:w="120" w:type="dxa"/>
              <w:bottom w:w="30" w:type="dxa"/>
              <w:right w:w="120" w:type="dxa"/>
            </w:tcMar>
          </w:tcPr>
          <w:p w14:paraId="3422CA8E">
            <w:pPr>
              <w:spacing w:before="120" w:after="120" w:line="288" w:lineRule="auto"/>
              <w:ind w:left="0"/>
              <w:jc w:val="left"/>
            </w:pPr>
            <w:r>
              <w:rPr>
                <w:rFonts w:ascii="Arial" w:hAnsi="Arial" w:eastAsia="等线" w:cs="Arial"/>
                <w:sz w:val="22"/>
              </w:rPr>
              <w:t>因此，需要进行一次架构设计，决定后面产品的基本架构形态。</w:t>
            </w:r>
          </w:p>
        </w:tc>
      </w:tr>
    </w:tbl>
    <w:p w14:paraId="48C0B5DD">
      <w:pPr>
        <w:spacing w:before="120" w:after="120" w:line="288" w:lineRule="auto"/>
        <w:ind w:left="0"/>
        <w:jc w:val="left"/>
      </w:pPr>
    </w:p>
    <w:p w14:paraId="4087104D">
      <w:pPr>
        <w:spacing w:before="320" w:after="120" w:line="288" w:lineRule="auto"/>
        <w:ind w:left="0"/>
        <w:jc w:val="left"/>
        <w:outlineLvl w:val="1"/>
      </w:pPr>
      <w:bookmarkStart w:id="3" w:name="heading_3"/>
      <w:r>
        <w:rPr>
          <w:rFonts w:ascii="Arial" w:hAnsi="Arial" w:eastAsia="等线" w:cs="Arial"/>
          <w:b/>
          <w:sz w:val="32"/>
        </w:rPr>
        <w:t>业务背景</w:t>
      </w:r>
      <w:bookmarkEnd w:id="3"/>
    </w:p>
    <w:p w14:paraId="0014641C">
      <w:pPr>
        <w:spacing w:before="260" w:after="120" w:line="288" w:lineRule="auto"/>
        <w:ind w:left="0"/>
        <w:jc w:val="left"/>
        <w:outlineLvl w:val="3"/>
      </w:pPr>
      <w:bookmarkStart w:id="4" w:name="heading_4"/>
      <w:r>
        <w:rPr>
          <w:rFonts w:ascii="Arial" w:hAnsi="Arial" w:eastAsia="等线" w:cs="Arial"/>
          <w:b/>
          <w:sz w:val="28"/>
        </w:rPr>
        <w:t>市场与用户需求</w:t>
      </w:r>
      <w:bookmarkEnd w:id="4"/>
    </w:p>
    <w:p w14:paraId="70546B1B">
      <w:pPr>
        <w:spacing w:before="120" w:after="120" w:line="288" w:lineRule="auto"/>
        <w:ind w:left="0"/>
        <w:jc w:val="left"/>
      </w:pPr>
      <w:r>
        <w:rPr>
          <w:rFonts w:ascii="Arial" w:hAnsi="Arial" w:eastAsia="等线" w:cs="Arial"/>
          <w:sz w:val="22"/>
        </w:rPr>
        <w:t>在分子生物学领域，我们面临着多元化的用户群体，包括个人用户（学生、科研人员）和企业用户（公司、科学机构）。个人用户强调工具的便捷性和易用性，而企业用户则更重视项目管理和团队协作。这一多样化需求推动了我们对租户与订阅管理模块的架构设计，旨在通过单一的系统平衡这些不同的用户需求。</w:t>
      </w:r>
    </w:p>
    <w:p w14:paraId="5F69DFEB">
      <w:pPr>
        <w:spacing w:before="260" w:after="120" w:line="288" w:lineRule="auto"/>
        <w:ind w:left="0"/>
        <w:jc w:val="left"/>
        <w:outlineLvl w:val="3"/>
      </w:pPr>
      <w:bookmarkStart w:id="5" w:name="heading_5"/>
      <w:r>
        <w:rPr>
          <w:rFonts w:ascii="Arial" w:hAnsi="Arial" w:eastAsia="等线" w:cs="Arial"/>
          <w:b/>
          <w:sz w:val="28"/>
        </w:rPr>
        <w:t>架构设计驱动因素</w:t>
      </w:r>
      <w:bookmarkEnd w:id="5"/>
    </w:p>
    <w:p w14:paraId="60CEB5CE">
      <w:pPr>
        <w:spacing w:before="120" w:after="120" w:line="288" w:lineRule="auto"/>
        <w:ind w:left="0"/>
        <w:jc w:val="left"/>
      </w:pPr>
      <w:r>
        <w:rPr>
          <w:rFonts w:ascii="Arial" w:hAnsi="Arial" w:eastAsia="等线" w:cs="Arial"/>
          <w:sz w:val="22"/>
        </w:rPr>
        <w:t>为满足这些复杂且多变的需求，我们采用了统一的代码基础来服务所有用户类型。这种策略要求我们的架构设计必须具备高度的灵活性和可扩展性，以支持不同用户之间的无缝切换和个性化服务。模块的设计重点在于实现有效的租户隔离和灵活的订阅管理机制，同时保持系统的整体性能和稳定性。</w:t>
      </w:r>
    </w:p>
    <w:p w14:paraId="6AC455C3">
      <w:pPr>
        <w:spacing w:before="260" w:after="120" w:line="288" w:lineRule="auto"/>
        <w:ind w:left="0"/>
        <w:jc w:val="left"/>
        <w:outlineLvl w:val="3"/>
      </w:pPr>
      <w:bookmarkStart w:id="6" w:name="heading_6"/>
      <w:r>
        <w:rPr>
          <w:rFonts w:ascii="Arial" w:hAnsi="Arial" w:eastAsia="等线" w:cs="Arial"/>
          <w:b/>
          <w:sz w:val="28"/>
        </w:rPr>
        <w:t>长期业务视角</w:t>
      </w:r>
      <w:bookmarkEnd w:id="6"/>
    </w:p>
    <w:p w14:paraId="1F4F37E9">
      <w:pPr>
        <w:spacing w:before="120" w:after="120" w:line="288" w:lineRule="auto"/>
        <w:ind w:left="0"/>
        <w:jc w:val="left"/>
      </w:pPr>
      <w:r>
        <w:rPr>
          <w:rFonts w:ascii="Arial" w:hAnsi="Arial" w:eastAsia="等线" w:cs="Arial"/>
          <w:sz w:val="22"/>
        </w:rPr>
        <w:t>这种架构设计不仅回应当前市场的未满足需求，而且为公司在分子生物学领域的长期战略定位打下基础。通过这种综合考虑用户需求和技术可行性的方法，我们旨在构建一个既能满足当前市场需求，又能适应未来发展的系统。</w:t>
      </w:r>
    </w:p>
    <w:p w14:paraId="280336D4">
      <w:pPr>
        <w:spacing w:before="120" w:after="120" w:line="288" w:lineRule="auto"/>
        <w:ind w:left="0"/>
        <w:jc w:val="left"/>
      </w:pPr>
    </w:p>
    <w:p w14:paraId="01295B6C">
      <w:pPr>
        <w:spacing w:before="320" w:after="120" w:line="288" w:lineRule="auto"/>
        <w:ind w:left="0"/>
        <w:jc w:val="left"/>
        <w:outlineLvl w:val="1"/>
      </w:pPr>
      <w:bookmarkStart w:id="7" w:name="heading_7"/>
      <w:r>
        <w:rPr>
          <w:rFonts w:ascii="Arial" w:hAnsi="Arial" w:eastAsia="等线" w:cs="Arial"/>
          <w:b/>
          <w:sz w:val="32"/>
        </w:rPr>
        <w:t>目标用户</w:t>
      </w:r>
      <w:bookmarkEnd w:id="7"/>
    </w:p>
    <w:p w14:paraId="51B0B096">
      <w:pPr>
        <w:spacing w:before="300" w:after="120" w:line="288" w:lineRule="auto"/>
        <w:ind w:left="0"/>
        <w:jc w:val="left"/>
        <w:outlineLvl w:val="2"/>
      </w:pPr>
      <w:bookmarkStart w:id="8" w:name="heading_8"/>
      <w:r>
        <w:rPr>
          <w:rFonts w:ascii="Arial" w:hAnsi="Arial" w:eastAsia="等线" w:cs="Arial"/>
          <w:b/>
          <w:sz w:val="30"/>
        </w:rPr>
        <w:t>1、个人用户（如学生、科研人员）</w:t>
      </w:r>
      <w:bookmarkEnd w:id="8"/>
    </w:p>
    <w:p w14:paraId="7F824B93">
      <w:pPr>
        <w:numPr>
          <w:ilvl w:val="0"/>
          <w:numId w:val="1"/>
        </w:numPr>
        <w:spacing w:before="120" w:after="120" w:line="288" w:lineRule="auto"/>
        <w:ind w:left="0"/>
        <w:jc w:val="left"/>
      </w:pPr>
      <w:r>
        <w:rPr>
          <w:rFonts w:ascii="Arial" w:hAnsi="Arial" w:eastAsia="等线" w:cs="Arial"/>
          <w:sz w:val="22"/>
        </w:rPr>
        <w:t>个人用户主要分为免费版和收费版，根据不同订阅类型所需要控制的维度，设计合适的架构。</w:t>
      </w:r>
    </w:p>
    <w:p w14:paraId="0BFD70FC">
      <w:pPr>
        <w:spacing w:before="120" w:after="120" w:line="288" w:lineRule="auto"/>
        <w:ind w:left="0"/>
        <w:jc w:val="left"/>
      </w:pPr>
    </w:p>
    <w:p w14:paraId="0B96257E">
      <w:pPr>
        <w:spacing w:before="300" w:after="120" w:line="288" w:lineRule="auto"/>
        <w:ind w:left="0"/>
        <w:jc w:val="left"/>
        <w:outlineLvl w:val="2"/>
      </w:pPr>
      <w:bookmarkStart w:id="9" w:name="heading_9"/>
      <w:r>
        <w:rPr>
          <w:rFonts w:ascii="Arial" w:hAnsi="Arial" w:eastAsia="等线" w:cs="Arial"/>
          <w:b/>
          <w:sz w:val="30"/>
        </w:rPr>
        <w:t>2、企业用户（如公司、教研室）</w:t>
      </w:r>
      <w:bookmarkEnd w:id="9"/>
    </w:p>
    <w:p w14:paraId="43A1C58E">
      <w:pPr>
        <w:numPr>
          <w:ilvl w:val="0"/>
          <w:numId w:val="2"/>
        </w:numPr>
        <w:spacing w:before="120" w:after="120" w:line="288" w:lineRule="auto"/>
        <w:ind w:left="0"/>
        <w:jc w:val="left"/>
      </w:pPr>
      <w:r>
        <w:rPr>
          <w:rFonts w:ascii="Arial" w:hAnsi="Arial" w:eastAsia="等线" w:cs="Arial"/>
          <w:sz w:val="22"/>
        </w:rPr>
        <w:t>架构需要支持更高级的数据管理和安全性要求，如数据隔离和角色基础的访问控制。</w:t>
      </w:r>
    </w:p>
    <w:p w14:paraId="2492DCF2">
      <w:pPr>
        <w:numPr>
          <w:ilvl w:val="0"/>
          <w:numId w:val="3"/>
        </w:numPr>
        <w:spacing w:before="120" w:after="120" w:line="288" w:lineRule="auto"/>
        <w:ind w:left="0"/>
        <w:jc w:val="left"/>
      </w:pPr>
      <w:r>
        <w:rPr>
          <w:rFonts w:ascii="Arial" w:hAnsi="Arial" w:eastAsia="等线" w:cs="Arial"/>
          <w:sz w:val="22"/>
        </w:rPr>
        <w:t>需要支持企业/项目的协作。</w:t>
      </w:r>
    </w:p>
    <w:p w14:paraId="5B03CD4F">
      <w:pPr>
        <w:numPr>
          <w:ilvl w:val="0"/>
          <w:numId w:val="4"/>
        </w:numPr>
        <w:spacing w:before="120" w:after="120" w:line="288" w:lineRule="auto"/>
        <w:ind w:left="0"/>
        <w:jc w:val="left"/>
      </w:pPr>
      <w:r>
        <w:rPr>
          <w:rFonts w:ascii="Arial" w:hAnsi="Arial" w:eastAsia="等线" w:cs="Arial"/>
          <w:sz w:val="22"/>
        </w:rPr>
        <w:t>需要考虑扩展性和模块化设计，以便企业用户可以根据需求扩展或定制功能。</w:t>
      </w:r>
    </w:p>
    <w:p w14:paraId="4E2A7700">
      <w:pPr>
        <w:numPr>
          <w:ilvl w:val="0"/>
          <w:numId w:val="5"/>
        </w:numPr>
        <w:spacing w:before="120" w:after="120" w:line="288" w:lineRule="auto"/>
        <w:ind w:left="0"/>
        <w:jc w:val="left"/>
      </w:pPr>
      <w:r>
        <w:rPr>
          <w:rFonts w:ascii="Arial" w:hAnsi="Arial" w:eastAsia="等线" w:cs="Arial"/>
          <w:sz w:val="22"/>
        </w:rPr>
        <w:t>对系统的稳定性和可靠性有更高的要求，因此需要更强大的错误处理和故障恢复机制。</w:t>
      </w:r>
    </w:p>
    <w:p w14:paraId="10DE02EA">
      <w:pPr>
        <w:numPr>
          <w:ilvl w:val="0"/>
          <w:numId w:val="6"/>
        </w:numPr>
        <w:spacing w:before="120" w:after="120" w:line="288" w:lineRule="auto"/>
        <w:ind w:left="0"/>
        <w:jc w:val="left"/>
      </w:pPr>
      <w:r>
        <w:rPr>
          <w:rFonts w:ascii="Arial" w:hAnsi="Arial" w:eastAsia="等线" w:cs="Arial"/>
          <w:sz w:val="22"/>
        </w:rPr>
        <w:t>根据不同订阅类型所需要控制的维度，设计合适的架构。</w:t>
      </w:r>
    </w:p>
    <w:p w14:paraId="51931A24">
      <w:pPr>
        <w:spacing w:before="120" w:after="120" w:line="288" w:lineRule="auto"/>
        <w:ind w:left="0"/>
        <w:jc w:val="left"/>
      </w:pPr>
    </w:p>
    <w:p w14:paraId="52683DA9">
      <w:pPr>
        <w:spacing w:before="300" w:after="120" w:line="288" w:lineRule="auto"/>
        <w:ind w:left="0"/>
        <w:jc w:val="left"/>
        <w:outlineLvl w:val="2"/>
      </w:pPr>
      <w:bookmarkStart w:id="10" w:name="heading_10"/>
      <w:r>
        <w:rPr>
          <w:rFonts w:ascii="Arial" w:hAnsi="Arial" w:eastAsia="等线" w:cs="Arial"/>
          <w:b/>
          <w:sz w:val="30"/>
        </w:rPr>
        <w:t>3、企业用户与个人用户的转换</w:t>
      </w:r>
      <w:bookmarkEnd w:id="10"/>
    </w:p>
    <w:p w14:paraId="357862AC">
      <w:pPr>
        <w:numPr>
          <w:ilvl w:val="0"/>
          <w:numId w:val="7"/>
        </w:numPr>
        <w:spacing w:before="120" w:after="120" w:line="288" w:lineRule="auto"/>
        <w:ind w:left="0"/>
        <w:jc w:val="left"/>
      </w:pPr>
      <w:r>
        <w:rPr>
          <w:rFonts w:ascii="Arial" w:hAnsi="Arial" w:eastAsia="等线" w:cs="Arial"/>
          <w:sz w:val="22"/>
        </w:rPr>
        <w:t>支持以下模式的转换</w:t>
      </w:r>
    </w:p>
    <w:tbl>
      <w:tblPr>
        <w:tblStyle w:val="2"/>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2580"/>
        <w:gridCol w:w="1500"/>
        <w:gridCol w:w="1500"/>
      </w:tblGrid>
      <w:tr w14:paraId="0AB70E1A">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580" w:type="dxa"/>
            <w:tcMar>
              <w:top w:w="60" w:type="dxa"/>
              <w:left w:w="120" w:type="dxa"/>
              <w:bottom w:w="30" w:type="dxa"/>
              <w:right w:w="120" w:type="dxa"/>
            </w:tcMar>
          </w:tcPr>
          <w:p w14:paraId="599EA61F">
            <w:pPr>
              <w:spacing w:before="120" w:after="120" w:line="288" w:lineRule="auto"/>
              <w:ind w:left="0"/>
              <w:jc w:val="left"/>
            </w:pPr>
            <w:r>
              <w:rPr>
                <w:rFonts w:ascii="Arial" w:hAnsi="Arial" w:eastAsia="等线" w:cs="Arial"/>
                <w:sz w:val="22"/>
              </w:rPr>
              <w:t>转换前/转换后</w:t>
            </w:r>
          </w:p>
        </w:tc>
        <w:tc>
          <w:tcPr>
            <w:tcW w:w="1500" w:type="dxa"/>
            <w:tcMar>
              <w:top w:w="60" w:type="dxa"/>
              <w:left w:w="120" w:type="dxa"/>
              <w:bottom w:w="30" w:type="dxa"/>
              <w:right w:w="120" w:type="dxa"/>
            </w:tcMar>
          </w:tcPr>
          <w:p w14:paraId="1F46367B">
            <w:pPr>
              <w:spacing w:before="120" w:after="120" w:line="288" w:lineRule="auto"/>
              <w:ind w:left="0"/>
              <w:jc w:val="left"/>
            </w:pPr>
            <w:r>
              <w:rPr>
                <w:rFonts w:ascii="Arial" w:hAnsi="Arial" w:eastAsia="等线" w:cs="Arial"/>
                <w:sz w:val="22"/>
              </w:rPr>
              <w:t>个人版</w:t>
            </w:r>
          </w:p>
        </w:tc>
        <w:tc>
          <w:tcPr>
            <w:tcW w:w="1500" w:type="dxa"/>
            <w:tcMar>
              <w:top w:w="60" w:type="dxa"/>
              <w:left w:w="120" w:type="dxa"/>
              <w:bottom w:w="30" w:type="dxa"/>
              <w:right w:w="120" w:type="dxa"/>
            </w:tcMar>
          </w:tcPr>
          <w:p w14:paraId="00559C78">
            <w:pPr>
              <w:spacing w:before="120" w:after="120" w:line="288" w:lineRule="auto"/>
              <w:ind w:left="0"/>
              <w:jc w:val="left"/>
            </w:pPr>
            <w:r>
              <w:rPr>
                <w:rFonts w:ascii="Arial" w:hAnsi="Arial" w:eastAsia="等线" w:cs="Arial"/>
                <w:sz w:val="22"/>
              </w:rPr>
              <w:t>企业版</w:t>
            </w:r>
          </w:p>
        </w:tc>
      </w:tr>
      <w:tr w14:paraId="0BDE7017">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580" w:type="dxa"/>
            <w:tcMar>
              <w:top w:w="60" w:type="dxa"/>
              <w:left w:w="120" w:type="dxa"/>
              <w:bottom w:w="30" w:type="dxa"/>
              <w:right w:w="120" w:type="dxa"/>
            </w:tcMar>
          </w:tcPr>
          <w:p w14:paraId="119E9E5E">
            <w:pPr>
              <w:spacing w:before="120" w:after="120" w:line="288" w:lineRule="auto"/>
              <w:ind w:left="0"/>
              <w:jc w:val="left"/>
            </w:pPr>
            <w:r>
              <w:rPr>
                <w:rFonts w:ascii="Arial" w:hAnsi="Arial" w:eastAsia="等线" w:cs="Arial"/>
                <w:sz w:val="22"/>
              </w:rPr>
              <w:t>个人版</w:t>
            </w:r>
          </w:p>
        </w:tc>
        <w:tc>
          <w:tcPr>
            <w:tcW w:w="1500" w:type="dxa"/>
            <w:tcMar>
              <w:top w:w="60" w:type="dxa"/>
              <w:left w:w="120" w:type="dxa"/>
              <w:bottom w:w="30" w:type="dxa"/>
              <w:right w:w="120" w:type="dxa"/>
            </w:tcMar>
          </w:tcPr>
          <w:p w14:paraId="653661FA">
            <w:pPr>
              <w:spacing w:before="120" w:after="120" w:line="288" w:lineRule="auto"/>
              <w:ind w:left="0"/>
              <w:jc w:val="left"/>
            </w:pPr>
            <w:r>
              <w:rPr>
                <w:rFonts w:ascii="Arial" w:hAnsi="Arial" w:eastAsia="等线" w:cs="Arial"/>
                <w:sz w:val="22"/>
              </w:rPr>
              <w:t>✅</w:t>
            </w:r>
          </w:p>
        </w:tc>
        <w:tc>
          <w:tcPr>
            <w:tcW w:w="1500" w:type="dxa"/>
            <w:tcMar>
              <w:top w:w="60" w:type="dxa"/>
              <w:left w:w="120" w:type="dxa"/>
              <w:bottom w:w="30" w:type="dxa"/>
              <w:right w:w="120" w:type="dxa"/>
            </w:tcMar>
          </w:tcPr>
          <w:p w14:paraId="5DC38A2B">
            <w:pPr>
              <w:spacing w:before="120" w:after="120" w:line="288" w:lineRule="auto"/>
              <w:ind w:left="0"/>
              <w:jc w:val="left"/>
            </w:pPr>
            <w:r>
              <w:rPr>
                <w:rFonts w:ascii="Arial" w:hAnsi="Arial" w:eastAsia="等线" w:cs="Arial"/>
                <w:sz w:val="22"/>
              </w:rPr>
              <w:t>✅</w:t>
            </w:r>
          </w:p>
        </w:tc>
      </w:tr>
      <w:tr w14:paraId="5FCFF163">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580" w:type="dxa"/>
            <w:tcMar>
              <w:top w:w="60" w:type="dxa"/>
              <w:left w:w="120" w:type="dxa"/>
              <w:bottom w:w="30" w:type="dxa"/>
              <w:right w:w="120" w:type="dxa"/>
            </w:tcMar>
          </w:tcPr>
          <w:p w14:paraId="70F4E61F">
            <w:pPr>
              <w:spacing w:before="120" w:after="120" w:line="288" w:lineRule="auto"/>
              <w:ind w:left="0"/>
              <w:jc w:val="left"/>
            </w:pPr>
            <w:r>
              <w:rPr>
                <w:rFonts w:ascii="Arial" w:hAnsi="Arial" w:eastAsia="等线" w:cs="Arial"/>
                <w:sz w:val="22"/>
              </w:rPr>
              <w:t>企业版</w:t>
            </w:r>
          </w:p>
        </w:tc>
        <w:tc>
          <w:tcPr>
            <w:tcW w:w="1500" w:type="dxa"/>
            <w:tcMar>
              <w:top w:w="60" w:type="dxa"/>
              <w:left w:w="120" w:type="dxa"/>
              <w:bottom w:w="30" w:type="dxa"/>
              <w:right w:w="120" w:type="dxa"/>
            </w:tcMar>
          </w:tcPr>
          <w:p w14:paraId="5E36F2AE">
            <w:pPr>
              <w:spacing w:before="120" w:after="120" w:line="288" w:lineRule="auto"/>
              <w:ind w:left="0"/>
              <w:jc w:val="left"/>
            </w:pPr>
            <w:r>
              <w:rPr>
                <w:rFonts w:ascii="Arial" w:hAnsi="Arial" w:eastAsia="等线" w:cs="Arial"/>
                <w:sz w:val="22"/>
              </w:rPr>
              <w:t>❌</w:t>
            </w:r>
          </w:p>
        </w:tc>
        <w:tc>
          <w:tcPr>
            <w:tcW w:w="1500" w:type="dxa"/>
            <w:tcMar>
              <w:top w:w="60" w:type="dxa"/>
              <w:left w:w="120" w:type="dxa"/>
              <w:bottom w:w="30" w:type="dxa"/>
              <w:right w:w="120" w:type="dxa"/>
            </w:tcMar>
          </w:tcPr>
          <w:p w14:paraId="00E7328C">
            <w:pPr>
              <w:spacing w:before="120" w:after="120" w:line="288" w:lineRule="auto"/>
              <w:ind w:left="0"/>
              <w:jc w:val="left"/>
            </w:pPr>
            <w:r>
              <w:rPr>
                <w:rFonts w:ascii="Arial" w:hAnsi="Arial" w:eastAsia="等线" w:cs="Arial"/>
                <w:sz w:val="22"/>
              </w:rPr>
              <w:t>✅</w:t>
            </w:r>
          </w:p>
        </w:tc>
      </w:tr>
    </w:tbl>
    <w:p w14:paraId="41F4200E">
      <w:pPr>
        <w:numPr>
          <w:ilvl w:val="0"/>
          <w:numId w:val="8"/>
        </w:numPr>
        <w:spacing w:before="120" w:after="120" w:line="288" w:lineRule="auto"/>
        <w:ind w:left="0"/>
        <w:jc w:val="left"/>
      </w:pPr>
      <w:r>
        <w:rPr>
          <w:rFonts w:ascii="Arial" w:hAnsi="Arial" w:eastAsia="等线" w:cs="Arial"/>
          <w:sz w:val="22"/>
        </w:rPr>
        <w:t>系统需要灵活地支持用户的转变，这要求架构能够适应用户状态的变化，如权限调整和资源重新分配。</w:t>
      </w:r>
    </w:p>
    <w:p w14:paraId="072F13C3">
      <w:pPr>
        <w:numPr>
          <w:ilvl w:val="0"/>
          <w:numId w:val="9"/>
        </w:numPr>
        <w:spacing w:before="120" w:after="120" w:line="288" w:lineRule="auto"/>
        <w:ind w:left="0"/>
        <w:jc w:val="left"/>
      </w:pPr>
      <w:r>
        <w:rPr>
          <w:rFonts w:ascii="Arial" w:hAnsi="Arial" w:eastAsia="等线" w:cs="Arial"/>
          <w:sz w:val="22"/>
        </w:rPr>
        <w:t>需要提供平滑的数据迁移和账户转换机制，以免在用户转变过程中造成数据丢失或服务中断。</w:t>
      </w:r>
    </w:p>
    <w:p w14:paraId="11320341">
      <w:pPr>
        <w:spacing w:before="120" w:after="120" w:line="288" w:lineRule="auto"/>
        <w:ind w:left="0"/>
        <w:jc w:val="left"/>
      </w:pPr>
    </w:p>
    <w:p w14:paraId="26791B53">
      <w:pPr>
        <w:spacing w:before="320" w:after="120" w:line="288" w:lineRule="auto"/>
        <w:ind w:left="0"/>
        <w:jc w:val="left"/>
        <w:outlineLvl w:val="1"/>
      </w:pPr>
      <w:bookmarkStart w:id="11" w:name="heading_11"/>
      <w:r>
        <w:rPr>
          <w:rFonts w:ascii="Arial" w:hAnsi="Arial" w:eastAsia="等线" w:cs="Arial"/>
          <w:b/>
          <w:sz w:val="32"/>
        </w:rPr>
        <w:t>功能需求</w:t>
      </w:r>
      <w:bookmarkEnd w:id="11"/>
    </w:p>
    <w:p w14:paraId="08EF4638">
      <w:pPr>
        <w:spacing w:before="120" w:after="120" w:line="288" w:lineRule="auto"/>
        <w:ind w:left="0"/>
        <w:jc w:val="left"/>
      </w:pPr>
      <w:r>
        <w:rPr>
          <w:rFonts w:ascii="Arial" w:hAnsi="Arial" w:eastAsia="等线" w:cs="Arial"/>
          <w:sz w:val="22"/>
        </w:rPr>
        <w:t>参照：</w:t>
      </w:r>
      <w:r>
        <w:fldChar w:fldCharType="begin"/>
      </w:r>
      <w:r>
        <w:instrText xml:space="preserve"> HYPERLINK "https://zwer55qw58u.feishu.cn/wiki/S61kwDrz1iOjinkel2Ncjehenwg" \h </w:instrText>
      </w:r>
      <w:r>
        <w:fldChar w:fldCharType="separate"/>
      </w:r>
      <w:r>
        <w:rPr>
          <w:rFonts w:ascii="Arial" w:hAnsi="Arial" w:eastAsia="等线" w:cs="Arial"/>
          <w:color w:val="3370FF"/>
          <w:sz w:val="22"/>
        </w:rPr>
        <w:t>用户注册流程</w:t>
      </w:r>
      <w:r>
        <w:rPr>
          <w:rFonts w:ascii="Arial" w:hAnsi="Arial" w:eastAsia="等线" w:cs="Arial"/>
          <w:color w:val="3370FF"/>
          <w:sz w:val="22"/>
        </w:rPr>
        <w:fldChar w:fldCharType="end"/>
      </w:r>
      <w:r>
        <w:rPr>
          <w:rFonts w:ascii="Arial" w:hAnsi="Arial" w:eastAsia="等线" w:cs="Arial"/>
          <w:sz w:val="22"/>
        </w:rPr>
        <w:t xml:space="preserve"> </w:t>
      </w:r>
    </w:p>
    <w:p w14:paraId="62831E3E">
      <w:pPr>
        <w:spacing w:before="300" w:after="120" w:line="288" w:lineRule="auto"/>
        <w:ind w:left="0"/>
        <w:jc w:val="left"/>
        <w:outlineLvl w:val="2"/>
      </w:pPr>
      <w:bookmarkStart w:id="12" w:name="heading_12"/>
      <w:r>
        <w:rPr>
          <w:rFonts w:ascii="Arial" w:hAnsi="Arial" w:eastAsia="等线" w:cs="Arial"/>
          <w:b/>
          <w:sz w:val="30"/>
        </w:rPr>
        <w:t>1、订阅类型</w:t>
      </w:r>
      <w:bookmarkEnd w:id="12"/>
    </w:p>
    <w:p w14:paraId="63E77CEA">
      <w:pPr>
        <w:numPr>
          <w:ilvl w:val="0"/>
          <w:numId w:val="10"/>
        </w:numPr>
        <w:spacing w:before="120" w:after="120" w:line="288" w:lineRule="auto"/>
        <w:ind w:left="0"/>
        <w:jc w:val="left"/>
      </w:pPr>
      <w:r>
        <w:rPr>
          <w:rFonts w:ascii="Arial" w:hAnsi="Arial" w:eastAsia="等线" w:cs="Arial"/>
          <w:sz w:val="22"/>
        </w:rPr>
        <w:t>个人免费用户：非盈利机构（科研院所、高校机构）个人用户</w:t>
      </w:r>
    </w:p>
    <w:p w14:paraId="740DCD30">
      <w:pPr>
        <w:numPr>
          <w:ilvl w:val="0"/>
          <w:numId w:val="11"/>
        </w:numPr>
        <w:spacing w:before="120" w:after="120" w:line="288" w:lineRule="auto"/>
        <w:ind w:left="0"/>
        <w:jc w:val="left"/>
      </w:pPr>
      <w:r>
        <w:rPr>
          <w:rFonts w:ascii="Arial" w:hAnsi="Arial" w:eastAsia="等线" w:cs="Arial"/>
          <w:sz w:val="22"/>
        </w:rPr>
        <w:t>个人付费用户：企业里以个人名义购买使用的用户</w:t>
      </w:r>
    </w:p>
    <w:p w14:paraId="0AF27E49">
      <w:pPr>
        <w:numPr>
          <w:ilvl w:val="0"/>
          <w:numId w:val="12"/>
        </w:numPr>
        <w:spacing w:before="120" w:after="120" w:line="288" w:lineRule="auto"/>
        <w:ind w:left="0"/>
        <w:jc w:val="left"/>
      </w:pPr>
      <w:r>
        <w:rPr>
          <w:rFonts w:ascii="Arial" w:hAnsi="Arial" w:eastAsia="等线" w:cs="Arial"/>
          <w:sz w:val="22"/>
        </w:rPr>
        <w:t>企业用户：以企业、机构（包括非赢利机构）名义批量采购的用户</w:t>
      </w:r>
    </w:p>
    <w:p w14:paraId="5AD4D17D">
      <w:pPr>
        <w:spacing w:before="120" w:after="120" w:line="288" w:lineRule="auto"/>
        <w:ind w:left="0"/>
        <w:jc w:val="left"/>
      </w:pPr>
    </w:p>
    <w:p w14:paraId="761851D0">
      <w:pPr>
        <w:spacing w:before="300" w:after="120" w:line="288" w:lineRule="auto"/>
        <w:ind w:left="0"/>
        <w:jc w:val="left"/>
        <w:outlineLvl w:val="2"/>
      </w:pPr>
      <w:bookmarkStart w:id="13" w:name="heading_13"/>
      <w:r>
        <w:rPr>
          <w:rFonts w:ascii="Arial" w:hAnsi="Arial" w:eastAsia="等线" w:cs="Arial"/>
          <w:b/>
          <w:sz w:val="30"/>
        </w:rPr>
        <w:t>2、注册流程</w:t>
      </w:r>
      <w:bookmarkEnd w:id="13"/>
    </w:p>
    <w:p w14:paraId="228D4049">
      <w:pPr>
        <w:numPr>
          <w:ilvl w:val="0"/>
          <w:numId w:val="13"/>
        </w:numPr>
        <w:spacing w:before="120" w:after="120" w:line="288" w:lineRule="auto"/>
        <w:ind w:left="0"/>
        <w:jc w:val="left"/>
      </w:pPr>
      <w:r>
        <w:rPr>
          <w:rFonts w:ascii="Arial" w:hAnsi="Arial" w:eastAsia="等线" w:cs="Arial"/>
          <w:sz w:val="22"/>
        </w:rPr>
        <w:t>个人免费用户：</w:t>
      </w:r>
    </w:p>
    <w:p w14:paraId="12FF0C67">
      <w:pPr>
        <w:numPr>
          <w:ilvl w:val="0"/>
          <w:numId w:val="14"/>
        </w:numPr>
        <w:spacing w:before="120" w:after="120" w:line="288" w:lineRule="auto"/>
        <w:ind w:left="453"/>
        <w:jc w:val="left"/>
      </w:pPr>
      <w:r>
        <w:rPr>
          <w:rFonts w:ascii="Arial" w:hAnsi="Arial" w:eastAsia="等线" w:cs="Arial"/>
          <w:sz w:val="22"/>
        </w:rPr>
        <w:t xml:space="preserve">注册 </w:t>
      </w:r>
    </w:p>
    <w:p w14:paraId="058A3212">
      <w:pPr>
        <w:numPr>
          <w:ilvl w:val="0"/>
          <w:numId w:val="15"/>
        </w:numPr>
        <w:spacing w:before="120" w:after="120" w:line="288" w:lineRule="auto"/>
        <w:ind w:left="453"/>
        <w:jc w:val="left"/>
      </w:pPr>
      <w:r>
        <w:rPr>
          <w:rFonts w:ascii="Arial" w:hAnsi="Arial" w:eastAsia="等线" w:cs="Arial"/>
          <w:sz w:val="22"/>
        </w:rPr>
        <w:t>点击链接激活账号</w:t>
      </w:r>
    </w:p>
    <w:p w14:paraId="05AF6EDE">
      <w:pPr>
        <w:numPr>
          <w:ilvl w:val="0"/>
          <w:numId w:val="16"/>
        </w:numPr>
        <w:spacing w:before="120" w:after="120" w:line="288" w:lineRule="auto"/>
        <w:ind w:left="453"/>
        <w:jc w:val="left"/>
      </w:pPr>
      <w:r>
        <w:rPr>
          <w:rFonts w:ascii="Arial" w:hAnsi="Arial" w:eastAsia="等线" w:cs="Arial"/>
          <w:sz w:val="22"/>
        </w:rPr>
        <w:t>试用</w:t>
      </w:r>
    </w:p>
    <w:p w14:paraId="6DBF4181">
      <w:pPr>
        <w:numPr>
          <w:ilvl w:val="0"/>
          <w:numId w:val="17"/>
        </w:numPr>
        <w:spacing w:before="120" w:after="120" w:line="288" w:lineRule="auto"/>
        <w:ind w:left="453"/>
        <w:jc w:val="left"/>
      </w:pPr>
      <w:r>
        <w:rPr>
          <w:rFonts w:ascii="Arial" w:hAnsi="Arial" w:eastAsia="等线" w:cs="Arial"/>
          <w:sz w:val="22"/>
        </w:rPr>
        <w:t>试用到期前提交证明材料(材料：邮箱后缀)</w:t>
      </w:r>
    </w:p>
    <w:p w14:paraId="5C48A395">
      <w:pPr>
        <w:numPr>
          <w:ilvl w:val="0"/>
          <w:numId w:val="18"/>
        </w:numPr>
        <w:spacing w:before="120" w:after="120" w:line="288" w:lineRule="auto"/>
        <w:ind w:left="453"/>
        <w:jc w:val="left"/>
      </w:pPr>
      <w:r>
        <w:rPr>
          <w:rFonts w:ascii="Arial" w:hAnsi="Arial" w:eastAsia="等线" w:cs="Arial"/>
          <w:sz w:val="22"/>
        </w:rPr>
        <w:t>衍因运营人员审核</w:t>
      </w:r>
    </w:p>
    <w:p w14:paraId="2398C52D">
      <w:pPr>
        <w:numPr>
          <w:ilvl w:val="0"/>
          <w:numId w:val="19"/>
        </w:numPr>
        <w:spacing w:before="120" w:after="120" w:line="288" w:lineRule="auto"/>
        <w:ind w:left="453"/>
        <w:jc w:val="left"/>
      </w:pPr>
      <w:r>
        <w:rPr>
          <w:rFonts w:ascii="Arial" w:hAnsi="Arial" w:eastAsia="等线" w:cs="Arial"/>
          <w:sz w:val="22"/>
        </w:rPr>
        <w:t>设置有效期</w:t>
      </w:r>
    </w:p>
    <w:p w14:paraId="648AF963">
      <w:pPr>
        <w:numPr>
          <w:ilvl w:val="0"/>
          <w:numId w:val="20"/>
        </w:numPr>
        <w:spacing w:before="120" w:after="120" w:line="288" w:lineRule="auto"/>
        <w:ind w:left="453"/>
        <w:jc w:val="left"/>
      </w:pPr>
      <w:r>
        <w:rPr>
          <w:rFonts w:ascii="Arial" w:hAnsi="Arial" w:eastAsia="等线" w:cs="Arial"/>
          <w:sz w:val="22"/>
        </w:rPr>
        <w:t>到期前重复d</w:t>
      </w:r>
    </w:p>
    <w:p w14:paraId="48D5D5CD">
      <w:pPr>
        <w:numPr>
          <w:ilvl w:val="0"/>
          <w:numId w:val="21"/>
        </w:numPr>
        <w:spacing w:before="120" w:after="120" w:line="288" w:lineRule="auto"/>
        <w:ind w:left="0"/>
        <w:jc w:val="left"/>
      </w:pPr>
      <w:r>
        <w:rPr>
          <w:rFonts w:ascii="Arial" w:hAnsi="Arial" w:eastAsia="等线" w:cs="Arial"/>
          <w:sz w:val="22"/>
        </w:rPr>
        <w:t>个人付费用户：</w:t>
      </w:r>
    </w:p>
    <w:p w14:paraId="10713C12">
      <w:pPr>
        <w:numPr>
          <w:ilvl w:val="0"/>
          <w:numId w:val="22"/>
        </w:numPr>
        <w:spacing w:before="120" w:after="120" w:line="288" w:lineRule="auto"/>
        <w:ind w:left="453"/>
        <w:jc w:val="left"/>
      </w:pPr>
      <w:r>
        <w:rPr>
          <w:rFonts w:ascii="Arial" w:hAnsi="Arial" w:eastAsia="等线" w:cs="Arial"/>
          <w:sz w:val="22"/>
        </w:rPr>
        <w:t>注册</w:t>
      </w:r>
    </w:p>
    <w:p w14:paraId="3A7A02D2">
      <w:pPr>
        <w:numPr>
          <w:ilvl w:val="0"/>
          <w:numId w:val="23"/>
        </w:numPr>
        <w:spacing w:before="120" w:after="120" w:line="288" w:lineRule="auto"/>
        <w:ind w:left="453"/>
        <w:jc w:val="left"/>
      </w:pPr>
      <w:r>
        <w:rPr>
          <w:rFonts w:ascii="Arial" w:hAnsi="Arial" w:eastAsia="等线" w:cs="Arial"/>
          <w:sz w:val="22"/>
        </w:rPr>
        <w:t>点击链接激活账号</w:t>
      </w:r>
    </w:p>
    <w:p w14:paraId="5A72BDEA">
      <w:pPr>
        <w:numPr>
          <w:ilvl w:val="0"/>
          <w:numId w:val="24"/>
        </w:numPr>
        <w:spacing w:before="120" w:after="120" w:line="288" w:lineRule="auto"/>
        <w:ind w:left="453"/>
        <w:jc w:val="left"/>
      </w:pPr>
      <w:r>
        <w:rPr>
          <w:rFonts w:ascii="Arial" w:hAnsi="Arial" w:eastAsia="等线" w:cs="Arial"/>
          <w:sz w:val="22"/>
        </w:rPr>
        <w:t>试用</w:t>
      </w:r>
    </w:p>
    <w:p w14:paraId="3B09A708">
      <w:pPr>
        <w:numPr>
          <w:ilvl w:val="0"/>
          <w:numId w:val="25"/>
        </w:numPr>
        <w:spacing w:before="120" w:after="120" w:line="288" w:lineRule="auto"/>
        <w:ind w:left="453"/>
        <w:jc w:val="left"/>
      </w:pPr>
      <w:r>
        <w:rPr>
          <w:rFonts w:ascii="Arial" w:hAnsi="Arial" w:eastAsia="等线" w:cs="Arial"/>
          <w:sz w:val="22"/>
        </w:rPr>
        <w:t>到期前在线支付，系统延长有效期</w:t>
      </w:r>
    </w:p>
    <w:p w14:paraId="1C04F2CD">
      <w:pPr>
        <w:numPr>
          <w:ilvl w:val="0"/>
          <w:numId w:val="26"/>
        </w:numPr>
        <w:spacing w:before="120" w:after="120" w:line="288" w:lineRule="auto"/>
        <w:ind w:left="453"/>
        <w:jc w:val="left"/>
      </w:pPr>
      <w:r>
        <w:rPr>
          <w:rFonts w:ascii="Arial" w:hAnsi="Arial" w:eastAsia="等线" w:cs="Arial"/>
          <w:sz w:val="22"/>
        </w:rPr>
        <w:t>到期前系统提醒，重复d</w:t>
      </w:r>
    </w:p>
    <w:p w14:paraId="391A8A1F">
      <w:pPr>
        <w:numPr>
          <w:ilvl w:val="0"/>
          <w:numId w:val="27"/>
        </w:numPr>
        <w:spacing w:before="120" w:after="120" w:line="288" w:lineRule="auto"/>
        <w:ind w:left="0"/>
        <w:jc w:val="left"/>
      </w:pPr>
      <w:r>
        <w:rPr>
          <w:rFonts w:ascii="Arial" w:hAnsi="Arial" w:eastAsia="等线" w:cs="Arial"/>
          <w:sz w:val="22"/>
        </w:rPr>
        <w:t>企业线下采购：</w:t>
      </w:r>
    </w:p>
    <w:p w14:paraId="65E52F81">
      <w:pPr>
        <w:numPr>
          <w:ilvl w:val="0"/>
          <w:numId w:val="28"/>
        </w:numPr>
        <w:spacing w:before="120" w:after="120" w:line="288" w:lineRule="auto"/>
        <w:ind w:left="453"/>
        <w:jc w:val="left"/>
      </w:pPr>
      <w:r>
        <w:rPr>
          <w:rFonts w:ascii="Arial" w:hAnsi="Arial" w:eastAsia="等线" w:cs="Arial"/>
          <w:sz w:val="22"/>
        </w:rPr>
        <w:t>系统演示</w:t>
      </w:r>
    </w:p>
    <w:p w14:paraId="093C97A6">
      <w:pPr>
        <w:numPr>
          <w:ilvl w:val="0"/>
          <w:numId w:val="29"/>
        </w:numPr>
        <w:spacing w:before="120" w:after="120" w:line="288" w:lineRule="auto"/>
        <w:ind w:left="453"/>
        <w:jc w:val="left"/>
      </w:pPr>
      <w:r>
        <w:rPr>
          <w:rFonts w:ascii="Arial" w:hAnsi="Arial" w:eastAsia="等线" w:cs="Arial"/>
          <w:sz w:val="22"/>
        </w:rPr>
        <w:t>签订合同</w:t>
      </w:r>
    </w:p>
    <w:p w14:paraId="043D8908">
      <w:pPr>
        <w:numPr>
          <w:ilvl w:val="0"/>
          <w:numId w:val="30"/>
        </w:numPr>
        <w:spacing w:before="120" w:after="120" w:line="288" w:lineRule="auto"/>
        <w:ind w:left="453"/>
        <w:jc w:val="left"/>
      </w:pPr>
      <w:r>
        <w:rPr>
          <w:rFonts w:ascii="Arial" w:hAnsi="Arial" w:eastAsia="等线" w:cs="Arial"/>
          <w:sz w:val="22"/>
        </w:rPr>
        <w:t>衍因运营人员后台创建管理员账号，分配席位，设定有效期</w:t>
      </w:r>
    </w:p>
    <w:p w14:paraId="569C7777">
      <w:pPr>
        <w:numPr>
          <w:ilvl w:val="0"/>
          <w:numId w:val="31"/>
        </w:numPr>
        <w:spacing w:before="120" w:after="120" w:line="288" w:lineRule="auto"/>
        <w:ind w:left="453"/>
        <w:jc w:val="left"/>
      </w:pPr>
      <w:r>
        <w:rPr>
          <w:rFonts w:ascii="Arial" w:hAnsi="Arial" w:eastAsia="等线" w:cs="Arial"/>
          <w:sz w:val="22"/>
        </w:rPr>
        <w:t>衍因开票</w:t>
      </w:r>
    </w:p>
    <w:p w14:paraId="422C65FF">
      <w:pPr>
        <w:numPr>
          <w:ilvl w:val="0"/>
          <w:numId w:val="32"/>
        </w:numPr>
        <w:spacing w:before="120" w:after="120" w:line="288" w:lineRule="auto"/>
        <w:ind w:left="453"/>
        <w:jc w:val="left"/>
      </w:pPr>
      <w:r>
        <w:rPr>
          <w:rFonts w:ascii="Arial" w:hAnsi="Arial" w:eastAsia="等线" w:cs="Arial"/>
          <w:sz w:val="22"/>
        </w:rPr>
        <w:t>企业付款</w:t>
      </w:r>
    </w:p>
    <w:p w14:paraId="54052ABB">
      <w:pPr>
        <w:numPr>
          <w:ilvl w:val="0"/>
          <w:numId w:val="33"/>
        </w:numPr>
        <w:spacing w:before="120" w:after="120" w:line="288" w:lineRule="auto"/>
        <w:ind w:left="453"/>
        <w:jc w:val="left"/>
      </w:pPr>
      <w:r>
        <w:rPr>
          <w:rFonts w:ascii="Arial" w:hAnsi="Arial" w:eastAsia="等线" w:cs="Arial"/>
          <w:sz w:val="22"/>
        </w:rPr>
        <w:t>到期前联系企业续费</w:t>
      </w:r>
    </w:p>
    <w:p w14:paraId="2AEBB975">
      <w:pPr>
        <w:numPr>
          <w:ilvl w:val="0"/>
          <w:numId w:val="34"/>
        </w:numPr>
        <w:spacing w:before="120" w:after="120" w:line="288" w:lineRule="auto"/>
        <w:ind w:left="0"/>
        <w:jc w:val="left"/>
      </w:pPr>
      <w:r>
        <w:rPr>
          <w:rFonts w:ascii="Arial" w:hAnsi="Arial" w:eastAsia="等线" w:cs="Arial"/>
          <w:sz w:val="22"/>
        </w:rPr>
        <w:t>企业在线采购：</w:t>
      </w:r>
    </w:p>
    <w:p w14:paraId="0DE1979D">
      <w:pPr>
        <w:numPr>
          <w:ilvl w:val="0"/>
          <w:numId w:val="35"/>
        </w:numPr>
        <w:spacing w:before="120" w:after="120" w:line="288" w:lineRule="auto"/>
        <w:ind w:left="453"/>
        <w:jc w:val="left"/>
      </w:pPr>
      <w:r>
        <w:rPr>
          <w:rFonts w:ascii="Arial" w:hAnsi="Arial" w:eastAsia="等线" w:cs="Arial"/>
          <w:sz w:val="22"/>
        </w:rPr>
        <w:t>注册企业账号（发票抬头）</w:t>
      </w:r>
    </w:p>
    <w:p w14:paraId="7BE4419E">
      <w:pPr>
        <w:numPr>
          <w:ilvl w:val="0"/>
          <w:numId w:val="36"/>
        </w:numPr>
        <w:spacing w:before="120" w:after="120" w:line="288" w:lineRule="auto"/>
        <w:ind w:left="453"/>
        <w:jc w:val="left"/>
      </w:pPr>
      <w:r>
        <w:rPr>
          <w:rFonts w:ascii="Arial" w:hAnsi="Arial" w:eastAsia="等线" w:cs="Arial"/>
          <w:sz w:val="22"/>
        </w:rPr>
        <w:t>点击链接激活账号（默认3席位）</w:t>
      </w:r>
    </w:p>
    <w:p w14:paraId="42294CC7">
      <w:pPr>
        <w:numPr>
          <w:ilvl w:val="0"/>
          <w:numId w:val="37"/>
        </w:numPr>
        <w:spacing w:before="120" w:after="120" w:line="288" w:lineRule="auto"/>
        <w:ind w:left="453"/>
        <w:jc w:val="left"/>
      </w:pPr>
      <w:r>
        <w:rPr>
          <w:rFonts w:ascii="Arial" w:hAnsi="Arial" w:eastAsia="等线" w:cs="Arial"/>
          <w:sz w:val="22"/>
        </w:rPr>
        <w:t>试用</w:t>
      </w:r>
    </w:p>
    <w:p w14:paraId="4D2474E2">
      <w:pPr>
        <w:numPr>
          <w:ilvl w:val="0"/>
          <w:numId w:val="38"/>
        </w:numPr>
        <w:spacing w:before="120" w:after="120" w:line="288" w:lineRule="auto"/>
        <w:ind w:left="453"/>
        <w:jc w:val="left"/>
      </w:pPr>
      <w:r>
        <w:rPr>
          <w:rFonts w:ascii="Arial" w:hAnsi="Arial" w:eastAsia="等线" w:cs="Arial"/>
          <w:sz w:val="22"/>
        </w:rPr>
        <w:t>试用到期前在线支付，系统延长有效期</w:t>
      </w:r>
    </w:p>
    <w:p w14:paraId="7E4BA732">
      <w:pPr>
        <w:numPr>
          <w:ilvl w:val="0"/>
          <w:numId w:val="39"/>
        </w:numPr>
        <w:spacing w:before="120" w:after="120" w:line="288" w:lineRule="auto"/>
        <w:ind w:left="453"/>
        <w:jc w:val="left"/>
      </w:pPr>
      <w:r>
        <w:rPr>
          <w:rFonts w:ascii="Arial" w:hAnsi="Arial" w:eastAsia="等线" w:cs="Arial"/>
          <w:sz w:val="22"/>
        </w:rPr>
        <w:t>衍因开票</w:t>
      </w:r>
    </w:p>
    <w:p w14:paraId="4241F97E">
      <w:pPr>
        <w:numPr>
          <w:ilvl w:val="0"/>
          <w:numId w:val="40"/>
        </w:numPr>
        <w:spacing w:before="120" w:after="120" w:line="288" w:lineRule="auto"/>
        <w:ind w:left="453"/>
        <w:jc w:val="left"/>
      </w:pPr>
      <w:r>
        <w:rPr>
          <w:rFonts w:ascii="Arial" w:hAnsi="Arial" w:eastAsia="等线" w:cs="Arial"/>
          <w:sz w:val="22"/>
        </w:rPr>
        <w:t>到期前系统提醒续费，重复d</w:t>
      </w:r>
    </w:p>
    <w:p w14:paraId="45E176B7">
      <w:pPr>
        <w:numPr>
          <w:ilvl w:val="0"/>
          <w:numId w:val="41"/>
        </w:numPr>
        <w:spacing w:before="120" w:after="120" w:line="288" w:lineRule="auto"/>
        <w:ind w:left="0"/>
        <w:jc w:val="left"/>
      </w:pPr>
      <w:r>
        <w:rPr>
          <w:rFonts w:ascii="Arial" w:hAnsi="Arial" w:eastAsia="等线" w:cs="Arial"/>
          <w:sz w:val="22"/>
        </w:rPr>
        <w:t>个人付费用户升级为企业用户：</w:t>
      </w:r>
    </w:p>
    <w:p w14:paraId="3A5A1532">
      <w:pPr>
        <w:numPr>
          <w:ilvl w:val="0"/>
          <w:numId w:val="42"/>
        </w:numPr>
        <w:spacing w:before="120" w:after="120" w:line="288" w:lineRule="auto"/>
        <w:ind w:left="453"/>
        <w:jc w:val="left"/>
      </w:pPr>
      <w:r>
        <w:rPr>
          <w:rFonts w:ascii="Arial" w:hAnsi="Arial" w:eastAsia="等线" w:cs="Arial"/>
          <w:sz w:val="22"/>
        </w:rPr>
        <w:t>系统里提交变更，录入企业信息</w:t>
      </w:r>
    </w:p>
    <w:p w14:paraId="73EFDCBA">
      <w:pPr>
        <w:numPr>
          <w:ilvl w:val="0"/>
          <w:numId w:val="43"/>
        </w:numPr>
        <w:spacing w:before="120" w:after="120" w:line="288" w:lineRule="auto"/>
        <w:ind w:left="453"/>
        <w:jc w:val="left"/>
      </w:pPr>
      <w:r>
        <w:rPr>
          <w:rFonts w:ascii="Arial" w:hAnsi="Arial" w:eastAsia="等线" w:cs="Arial"/>
          <w:sz w:val="22"/>
        </w:rPr>
        <w:t>按照企业账号最少席位数计算差价</w:t>
      </w:r>
    </w:p>
    <w:p w14:paraId="4157D53D">
      <w:pPr>
        <w:numPr>
          <w:ilvl w:val="0"/>
          <w:numId w:val="44"/>
        </w:numPr>
        <w:spacing w:before="120" w:after="120" w:line="288" w:lineRule="auto"/>
        <w:ind w:left="453"/>
        <w:jc w:val="left"/>
      </w:pPr>
      <w:r>
        <w:rPr>
          <w:rFonts w:ascii="Arial" w:hAnsi="Arial" w:eastAsia="等线" w:cs="Arial"/>
          <w:sz w:val="22"/>
        </w:rPr>
        <w:t>在线支付，完成变更</w:t>
      </w:r>
    </w:p>
    <w:p w14:paraId="60683207">
      <w:pPr>
        <w:numPr>
          <w:ilvl w:val="0"/>
          <w:numId w:val="45"/>
        </w:numPr>
        <w:spacing w:before="120" w:after="120" w:line="288" w:lineRule="auto"/>
        <w:ind w:left="453"/>
        <w:jc w:val="left"/>
      </w:pPr>
      <w:r>
        <w:rPr>
          <w:rFonts w:ascii="Arial" w:hAnsi="Arial" w:eastAsia="等线" w:cs="Arial"/>
          <w:sz w:val="22"/>
        </w:rPr>
        <w:t>衍因开票</w:t>
      </w:r>
    </w:p>
    <w:p w14:paraId="47674147">
      <w:pPr>
        <w:spacing w:before="120" w:after="120" w:line="288" w:lineRule="auto"/>
        <w:ind w:left="0"/>
        <w:jc w:val="left"/>
      </w:pPr>
    </w:p>
    <w:p w14:paraId="01EFA525">
      <w:pPr>
        <w:spacing w:before="300" w:after="120" w:line="288" w:lineRule="auto"/>
        <w:ind w:left="0"/>
        <w:jc w:val="left"/>
        <w:outlineLvl w:val="2"/>
      </w:pPr>
      <w:bookmarkStart w:id="14" w:name="heading_14"/>
      <w:r>
        <w:rPr>
          <w:rFonts w:ascii="Arial" w:hAnsi="Arial" w:eastAsia="等线" w:cs="Arial"/>
          <w:b/>
          <w:sz w:val="30"/>
        </w:rPr>
        <w:t>3、租户管理</w:t>
      </w:r>
      <w:bookmarkEnd w:id="14"/>
    </w:p>
    <w:p w14:paraId="14A1617E">
      <w:pPr>
        <w:numPr>
          <w:ilvl w:val="0"/>
          <w:numId w:val="46"/>
        </w:numPr>
        <w:spacing w:before="120" w:after="120" w:line="288" w:lineRule="auto"/>
        <w:ind w:left="0"/>
        <w:jc w:val="left"/>
      </w:pPr>
      <w:r>
        <w:rPr>
          <w:rFonts w:ascii="Arial" w:hAnsi="Arial" w:eastAsia="等线" w:cs="Arial"/>
          <w:sz w:val="22"/>
        </w:rPr>
        <w:t>支持以上订阅类型，以及注册流程。</w:t>
      </w:r>
    </w:p>
    <w:p w14:paraId="4EAA1757">
      <w:pPr>
        <w:spacing w:before="120" w:after="120" w:line="288" w:lineRule="auto"/>
        <w:ind w:left="0"/>
        <w:jc w:val="left"/>
      </w:pPr>
    </w:p>
    <w:p w14:paraId="6CD9DCAD">
      <w:pPr>
        <w:spacing w:before="320" w:after="120" w:line="288" w:lineRule="auto"/>
        <w:ind w:left="0"/>
        <w:jc w:val="left"/>
        <w:outlineLvl w:val="1"/>
      </w:pPr>
      <w:bookmarkStart w:id="15" w:name="heading_15"/>
      <w:r>
        <w:rPr>
          <w:rFonts w:ascii="Arial" w:hAnsi="Arial" w:eastAsia="等线" w:cs="Arial"/>
          <w:b/>
          <w:sz w:val="32"/>
        </w:rPr>
        <w:t>假设与限制</w:t>
      </w:r>
      <w:bookmarkEnd w:id="15"/>
    </w:p>
    <w:p w14:paraId="7D5CD569">
      <w:pPr>
        <w:spacing w:before="300" w:after="120" w:line="288" w:lineRule="auto"/>
        <w:ind w:left="0"/>
        <w:jc w:val="left"/>
        <w:outlineLvl w:val="2"/>
      </w:pPr>
      <w:bookmarkStart w:id="16" w:name="heading_16"/>
      <w:r>
        <w:rPr>
          <w:rFonts w:ascii="Arial" w:hAnsi="Arial" w:eastAsia="等线" w:cs="Arial"/>
          <w:b/>
          <w:sz w:val="30"/>
        </w:rPr>
        <w:t>假设</w:t>
      </w:r>
      <w:bookmarkEnd w:id="16"/>
    </w:p>
    <w:p w14:paraId="1A673362">
      <w:pPr>
        <w:numPr>
          <w:ilvl w:val="0"/>
          <w:numId w:val="47"/>
        </w:numPr>
        <w:spacing w:before="120" w:after="120" w:line="288" w:lineRule="auto"/>
        <w:ind w:left="0"/>
        <w:jc w:val="left"/>
      </w:pPr>
      <w:r>
        <w:rPr>
          <w:rFonts w:ascii="Arial" w:hAnsi="Arial" w:eastAsia="等线" w:cs="Arial"/>
          <w:sz w:val="22"/>
        </w:rPr>
        <w:t>用户行为一致性：假设不同用户群体（个人用户和企业用户）的基本行为模式相对一致，使用统一的架构来满足他们的需求是可行的。</w:t>
      </w:r>
    </w:p>
    <w:p w14:paraId="3D294932">
      <w:pPr>
        <w:numPr>
          <w:ilvl w:val="0"/>
          <w:numId w:val="48"/>
        </w:numPr>
        <w:spacing w:before="120" w:after="120" w:line="288" w:lineRule="auto"/>
        <w:ind w:left="0"/>
        <w:jc w:val="left"/>
      </w:pPr>
      <w:r>
        <w:rPr>
          <w:rFonts w:ascii="Arial" w:hAnsi="Arial" w:eastAsia="等线" w:cs="Arial"/>
          <w:sz w:val="22"/>
        </w:rPr>
        <w:t>市场环境稳定：假设市场环境在可预见的未来保持稳定，不会出现剧烈变化，影响用户需求。</w:t>
      </w:r>
    </w:p>
    <w:p w14:paraId="12719C7F">
      <w:pPr>
        <w:numPr>
          <w:ilvl w:val="0"/>
          <w:numId w:val="49"/>
        </w:numPr>
        <w:spacing w:before="120" w:after="120" w:line="288" w:lineRule="auto"/>
        <w:ind w:left="0"/>
        <w:jc w:val="left"/>
      </w:pPr>
      <w:r>
        <w:rPr>
          <w:rFonts w:ascii="Arial" w:hAnsi="Arial" w:eastAsia="等线" w:cs="Arial"/>
          <w:sz w:val="22"/>
        </w:rPr>
        <w:t>个人版和企业版只是大方向的划分，实际可能还会划分为个人免费版，个人收费版，企业XX版等不同运营策略。</w:t>
      </w:r>
    </w:p>
    <w:p w14:paraId="7EE9BB34">
      <w:pPr>
        <w:spacing w:before="120" w:after="120" w:line="288" w:lineRule="auto"/>
        <w:ind w:left="0"/>
        <w:jc w:val="left"/>
      </w:pPr>
    </w:p>
    <w:p w14:paraId="4ACECC1A">
      <w:pPr>
        <w:spacing w:before="300" w:after="120" w:line="288" w:lineRule="auto"/>
        <w:ind w:left="0"/>
        <w:jc w:val="left"/>
        <w:outlineLvl w:val="2"/>
      </w:pPr>
      <w:bookmarkStart w:id="17" w:name="heading_17"/>
      <w:r>
        <w:rPr>
          <w:rFonts w:ascii="Arial" w:hAnsi="Arial" w:eastAsia="等线" w:cs="Arial"/>
          <w:b/>
          <w:sz w:val="30"/>
        </w:rPr>
        <w:t>限制</w:t>
      </w:r>
      <w:bookmarkEnd w:id="17"/>
    </w:p>
    <w:p w14:paraId="66FE645F">
      <w:pPr>
        <w:numPr>
          <w:ilvl w:val="0"/>
          <w:numId w:val="50"/>
        </w:numPr>
        <w:spacing w:before="120" w:after="120" w:line="288" w:lineRule="auto"/>
        <w:ind w:left="0"/>
        <w:jc w:val="left"/>
      </w:pPr>
      <w:r>
        <w:rPr>
          <w:rFonts w:ascii="Arial" w:hAnsi="Arial" w:eastAsia="等线" w:cs="Arial"/>
          <w:sz w:val="22"/>
        </w:rPr>
        <w:t>付费模块的独立性：</w:t>
      </w:r>
    </w:p>
    <w:p w14:paraId="527D29B6">
      <w:pPr>
        <w:numPr>
          <w:ilvl w:val="0"/>
          <w:numId w:val="51"/>
        </w:numPr>
        <w:spacing w:before="120" w:after="120" w:line="288" w:lineRule="auto"/>
        <w:ind w:left="453"/>
        <w:jc w:val="left"/>
      </w:pPr>
      <w:r>
        <w:rPr>
          <w:rFonts w:ascii="Arial" w:hAnsi="Arial" w:eastAsia="等线" w:cs="Arial"/>
          <w:sz w:val="22"/>
        </w:rPr>
        <w:t>虽然付费策略对于整个系统至关重要，但具体的付费策略和实施细节不包括在本文档的讨论范围内。付费模块将作为独立模块开发，其策略和实施与订阅方案可能不完全一致。</w:t>
      </w:r>
    </w:p>
    <w:p w14:paraId="5C4FF6F1">
      <w:pPr>
        <w:numPr>
          <w:ilvl w:val="0"/>
          <w:numId w:val="52"/>
        </w:numPr>
        <w:spacing w:before="120" w:after="120" w:line="288" w:lineRule="auto"/>
        <w:ind w:left="0"/>
        <w:jc w:val="left"/>
      </w:pPr>
      <w:r>
        <w:rPr>
          <w:rFonts w:ascii="Arial" w:hAnsi="Arial" w:eastAsia="等线" w:cs="Arial"/>
          <w:sz w:val="22"/>
        </w:rPr>
        <w:t>订阅付费方式的补充：</w:t>
      </w:r>
    </w:p>
    <w:p w14:paraId="4696C30D">
      <w:pPr>
        <w:numPr>
          <w:ilvl w:val="0"/>
          <w:numId w:val="53"/>
        </w:numPr>
        <w:spacing w:before="120" w:after="120" w:line="288" w:lineRule="auto"/>
        <w:ind w:left="453"/>
        <w:jc w:val="left"/>
      </w:pPr>
      <w:r>
        <w:rPr>
          <w:rFonts w:ascii="Arial" w:hAnsi="Arial" w:eastAsia="等线" w:cs="Arial"/>
          <w:sz w:val="22"/>
        </w:rPr>
        <w:t>线上付费能力将在后续的架构设计中详细讨论和实现，目前不包括在本阶段的讨论范围内</w:t>
      </w:r>
      <w:r>
        <w:rPr>
          <w:rFonts w:ascii="Arial" w:hAnsi="Arial" w:eastAsia="等线" w:cs="Arial"/>
          <w:i/>
          <w:sz w:val="22"/>
        </w:rPr>
        <w:t>。</w:t>
      </w:r>
    </w:p>
    <w:p w14:paraId="39B1CD5D">
      <w:pPr>
        <w:numPr>
          <w:ilvl w:val="0"/>
          <w:numId w:val="54"/>
        </w:numPr>
        <w:spacing w:before="120" w:after="120" w:line="288" w:lineRule="auto"/>
        <w:ind w:left="0"/>
        <w:jc w:val="left"/>
      </w:pPr>
      <w:r>
        <w:rPr>
          <w:rFonts w:ascii="Arial" w:hAnsi="Arial" w:eastAsia="等线" w:cs="Arial"/>
          <w:sz w:val="22"/>
        </w:rPr>
        <w:t>非核心功能的排除：</w:t>
      </w:r>
    </w:p>
    <w:p w14:paraId="4B1CA70B">
      <w:pPr>
        <w:numPr>
          <w:ilvl w:val="0"/>
          <w:numId w:val="55"/>
        </w:numPr>
        <w:spacing w:before="120" w:after="120" w:line="288" w:lineRule="auto"/>
        <w:ind w:left="453"/>
        <w:jc w:val="left"/>
      </w:pPr>
      <w:r>
        <w:rPr>
          <w:rFonts w:ascii="Arial" w:hAnsi="Arial" w:eastAsia="等线" w:cs="Arial"/>
          <w:sz w:val="22"/>
        </w:rPr>
        <w:t>一些辅助性功能，如运营系统、推广工具或市场分析模块，并不属于租户与订阅管理模块的核心功能，因此这些内容不包括在当前的设计范围内。</w:t>
      </w:r>
    </w:p>
    <w:p w14:paraId="0C7D754F">
      <w:pPr>
        <w:numPr>
          <w:ilvl w:val="0"/>
          <w:numId w:val="56"/>
        </w:numPr>
        <w:spacing w:before="120" w:after="120" w:line="288" w:lineRule="auto"/>
        <w:ind w:left="0"/>
        <w:jc w:val="left"/>
      </w:pPr>
      <w:r>
        <w:rPr>
          <w:rFonts w:ascii="Arial" w:hAnsi="Arial" w:eastAsia="等线" w:cs="Arial"/>
          <w:sz w:val="22"/>
        </w:rPr>
        <w:t>定制化解决方案的限制：</w:t>
      </w:r>
    </w:p>
    <w:p w14:paraId="68A766C9">
      <w:pPr>
        <w:numPr>
          <w:ilvl w:val="0"/>
          <w:numId w:val="57"/>
        </w:numPr>
        <w:spacing w:before="120" w:after="120" w:line="288" w:lineRule="auto"/>
        <w:ind w:left="453"/>
        <w:jc w:val="left"/>
      </w:pPr>
      <w:r>
        <w:rPr>
          <w:rFonts w:ascii="Arial" w:hAnsi="Arial" w:eastAsia="等线" w:cs="Arial"/>
          <w:sz w:val="22"/>
        </w:rPr>
        <w:t>鉴于SaaS产品的特性及资源和时间限制，我们目前不打算为每个用户提供完全定制化的解决方案。</w:t>
      </w:r>
    </w:p>
    <w:p w14:paraId="6508B5DF">
      <w:pPr>
        <w:numPr>
          <w:ilvl w:val="0"/>
          <w:numId w:val="58"/>
        </w:numPr>
        <w:spacing w:before="120" w:after="120" w:line="288" w:lineRule="auto"/>
        <w:ind w:left="0"/>
        <w:jc w:val="left"/>
      </w:pPr>
      <w:r>
        <w:rPr>
          <w:rFonts w:ascii="Arial" w:hAnsi="Arial" w:eastAsia="等线" w:cs="Arial"/>
          <w:sz w:val="22"/>
        </w:rPr>
        <w:t>扩展性的实际限制：</w:t>
      </w:r>
    </w:p>
    <w:p w14:paraId="39E32D6D">
      <w:pPr>
        <w:numPr>
          <w:ilvl w:val="0"/>
          <w:numId w:val="59"/>
        </w:numPr>
        <w:spacing w:before="120" w:after="120" w:line="288" w:lineRule="auto"/>
        <w:ind w:left="453"/>
        <w:jc w:val="left"/>
      </w:pPr>
      <w:r>
        <w:rPr>
          <w:rFonts w:ascii="Arial" w:hAnsi="Arial" w:eastAsia="等线" w:cs="Arial"/>
          <w:sz w:val="22"/>
        </w:rPr>
        <w:t>尽管我们的架构设计注重可扩展性，但在技术和资源上仍有一定限制。我们将在现有的资源和技术能力范围内最大化系统的可扩展性。</w:t>
      </w:r>
    </w:p>
    <w:p w14:paraId="50899D54">
      <w:pPr>
        <w:numPr>
          <w:ilvl w:val="0"/>
          <w:numId w:val="60"/>
        </w:numPr>
        <w:spacing w:before="120" w:after="120" w:line="288" w:lineRule="auto"/>
        <w:ind w:left="0"/>
        <w:jc w:val="left"/>
      </w:pPr>
      <w:r>
        <w:rPr>
          <w:rFonts w:ascii="Arial" w:hAnsi="Arial" w:eastAsia="等线" w:cs="Arial"/>
          <w:sz w:val="22"/>
        </w:rPr>
        <w:t>集成范围的界定：</w:t>
      </w:r>
    </w:p>
    <w:p w14:paraId="0A1C6FA0">
      <w:pPr>
        <w:numPr>
          <w:ilvl w:val="0"/>
          <w:numId w:val="61"/>
        </w:numPr>
        <w:spacing w:before="120" w:after="120" w:line="288" w:lineRule="auto"/>
        <w:ind w:left="453"/>
        <w:jc w:val="left"/>
      </w:pPr>
      <w:r>
        <w:rPr>
          <w:rFonts w:ascii="Arial" w:hAnsi="Arial" w:eastAsia="等线" w:cs="Arial"/>
          <w:sz w:val="22"/>
        </w:rPr>
        <w:t>考虑到技术兼容性和优先级，我们将不包括所有潜在的第三方系统或服务（例如财务系统等）的集成在本次设计范围内。</w:t>
      </w:r>
    </w:p>
    <w:p w14:paraId="062F06C2">
      <w:pPr>
        <w:spacing w:before="120" w:after="120" w:line="288" w:lineRule="auto"/>
        <w:ind w:left="0"/>
        <w:jc w:val="left"/>
      </w:pPr>
    </w:p>
    <w:p w14:paraId="4EF539CA">
      <w:pPr>
        <w:spacing w:before="380" w:after="140" w:line="288" w:lineRule="auto"/>
        <w:ind w:left="0"/>
        <w:jc w:val="left"/>
        <w:outlineLvl w:val="0"/>
      </w:pPr>
      <w:bookmarkStart w:id="18" w:name="heading_18"/>
      <w:r>
        <w:rPr>
          <w:rFonts w:ascii="Arial" w:hAnsi="Arial" w:eastAsia="等线" w:cs="Arial"/>
          <w:b/>
          <w:sz w:val="36"/>
        </w:rPr>
        <w:t>架构设计</w:t>
      </w:r>
      <w:bookmarkEnd w:id="18"/>
    </w:p>
    <w:p w14:paraId="14E54188">
      <w:pPr>
        <w:spacing w:before="320" w:after="120" w:line="288" w:lineRule="auto"/>
        <w:ind w:left="0"/>
        <w:jc w:val="left"/>
        <w:outlineLvl w:val="1"/>
      </w:pPr>
      <w:bookmarkStart w:id="19" w:name="heading_19"/>
      <w:r>
        <w:rPr>
          <w:rFonts w:ascii="Arial" w:hAnsi="Arial" w:eastAsia="等线" w:cs="Arial"/>
          <w:b/>
          <w:sz w:val="32"/>
        </w:rPr>
        <w:t>架构决策</w:t>
      </w:r>
      <w:bookmarkEnd w:id="19"/>
    </w:p>
    <w:p w14:paraId="580B9C0B">
      <w:pPr>
        <w:spacing w:before="120" w:after="120" w:line="288" w:lineRule="auto"/>
        <w:ind w:left="0"/>
        <w:jc w:val="left"/>
      </w:pPr>
      <w:r>
        <w:rPr>
          <w:rFonts w:ascii="Arial" w:hAnsi="Arial" w:eastAsia="等线" w:cs="Arial"/>
          <w:sz w:val="22"/>
        </w:rPr>
        <w:t>在设计我们的系统时，我们考虑了以下三种架构选型以满足不同的业务需求：</w:t>
      </w:r>
    </w:p>
    <w:p w14:paraId="4E42C0FC">
      <w:pPr>
        <w:spacing w:before="300" w:after="120" w:line="288" w:lineRule="auto"/>
        <w:ind w:left="0"/>
        <w:jc w:val="left"/>
        <w:outlineLvl w:val="2"/>
      </w:pPr>
      <w:bookmarkStart w:id="20" w:name="heading_20"/>
      <w:r>
        <w:rPr>
          <w:rFonts w:ascii="Arial" w:hAnsi="Arial" w:eastAsia="等线" w:cs="Arial"/>
          <w:b/>
          <w:sz w:val="30"/>
        </w:rPr>
        <w:t>选型一：双架构策略</w:t>
      </w:r>
      <w:bookmarkEnd w:id="20"/>
    </w:p>
    <w:p w14:paraId="25643E53">
      <w:pPr>
        <w:numPr>
          <w:ilvl w:val="0"/>
          <w:numId w:val="62"/>
        </w:numPr>
        <w:spacing w:before="120" w:after="120" w:line="288" w:lineRule="auto"/>
        <w:ind w:left="453"/>
        <w:jc w:val="left"/>
      </w:pPr>
      <w:r>
        <w:rPr>
          <w:rFonts w:ascii="Arial" w:hAnsi="Arial" w:eastAsia="等线" w:cs="Arial"/>
          <w:sz w:val="22"/>
        </w:rPr>
        <w:t>定义：为个人版和企业版分别制作两套完全不同的架构。</w:t>
      </w:r>
    </w:p>
    <w:p w14:paraId="120EA8A7">
      <w:pPr>
        <w:numPr>
          <w:ilvl w:val="0"/>
          <w:numId w:val="63"/>
        </w:numPr>
        <w:spacing w:before="120" w:after="120" w:line="288" w:lineRule="auto"/>
        <w:ind w:left="453"/>
        <w:jc w:val="left"/>
      </w:pPr>
      <w:r>
        <w:rPr>
          <w:rFonts w:ascii="Arial" w:hAnsi="Arial" w:eastAsia="等线" w:cs="Arial"/>
          <w:sz w:val="22"/>
        </w:rPr>
        <w:t>特点：这种方法允许每个版本专注于特定用户群体的需求，但可能增加维护和开发的复杂性。</w:t>
      </w:r>
    </w:p>
    <w:p w14:paraId="3CAA1D19">
      <w:pPr>
        <w:spacing w:before="300" w:after="120" w:line="288" w:lineRule="auto"/>
        <w:ind w:left="0"/>
        <w:jc w:val="left"/>
        <w:outlineLvl w:val="2"/>
      </w:pPr>
      <w:bookmarkStart w:id="21" w:name="heading_21"/>
      <w:r>
        <w:rPr>
          <w:rFonts w:ascii="Arial" w:hAnsi="Arial" w:eastAsia="等线" w:cs="Arial"/>
          <w:b/>
          <w:sz w:val="30"/>
        </w:rPr>
        <w:t>选型二：混合架构策略</w:t>
      </w:r>
      <w:bookmarkEnd w:id="21"/>
    </w:p>
    <w:p w14:paraId="3E27BAE9">
      <w:pPr>
        <w:numPr>
          <w:ilvl w:val="0"/>
          <w:numId w:val="64"/>
        </w:numPr>
        <w:spacing w:before="120" w:after="120" w:line="288" w:lineRule="auto"/>
        <w:ind w:left="453"/>
        <w:jc w:val="left"/>
      </w:pPr>
      <w:r>
        <w:rPr>
          <w:rFonts w:ascii="Arial" w:hAnsi="Arial" w:eastAsia="等线" w:cs="Arial"/>
          <w:sz w:val="22"/>
        </w:rPr>
        <w:t>定义：在业务功能层面采用统一架构，屏蔽个人用户和企业用户之间的差异；而在用户运营和管理层面使用不同的架构。</w:t>
      </w:r>
    </w:p>
    <w:p w14:paraId="6613D238">
      <w:pPr>
        <w:numPr>
          <w:ilvl w:val="0"/>
          <w:numId w:val="65"/>
        </w:numPr>
        <w:spacing w:before="120" w:after="120" w:line="288" w:lineRule="auto"/>
        <w:ind w:left="453"/>
        <w:jc w:val="left"/>
      </w:pPr>
      <w:r>
        <w:rPr>
          <w:rFonts w:ascii="Arial" w:hAnsi="Arial" w:eastAsia="等线" w:cs="Arial"/>
          <w:sz w:val="22"/>
        </w:rPr>
        <w:t>特点：这种方法平衡了统一性和灵活性，适合在不牺牲核心业务功能的情况下，针对不同用户群体提供定制化服务。</w:t>
      </w:r>
    </w:p>
    <w:p w14:paraId="7AF30585">
      <w:pPr>
        <w:spacing w:before="300" w:after="120" w:line="288" w:lineRule="auto"/>
        <w:ind w:left="0"/>
        <w:jc w:val="left"/>
        <w:outlineLvl w:val="2"/>
      </w:pPr>
      <w:bookmarkStart w:id="22" w:name="heading_22"/>
      <w:r>
        <w:rPr>
          <w:rFonts w:ascii="Arial" w:hAnsi="Arial" w:eastAsia="等线" w:cs="Arial"/>
          <w:b/>
          <w:sz w:val="30"/>
        </w:rPr>
        <w:t>选型三：标准化SaaS模式</w:t>
      </w:r>
      <w:bookmarkEnd w:id="22"/>
    </w:p>
    <w:p w14:paraId="1754F5A7">
      <w:pPr>
        <w:numPr>
          <w:ilvl w:val="0"/>
          <w:numId w:val="66"/>
        </w:numPr>
        <w:spacing w:before="120" w:after="120" w:line="288" w:lineRule="auto"/>
        <w:ind w:left="453"/>
        <w:jc w:val="left"/>
      </w:pPr>
      <w:r>
        <w:rPr>
          <w:rFonts w:ascii="Arial" w:hAnsi="Arial" w:eastAsia="等线" w:cs="Arial"/>
          <w:sz w:val="22"/>
        </w:rPr>
        <w:t>定义：所有版本（包括个人版和企业版）统一使用一套标准的SaaS架构，不区分个人用户和企业用户。</w:t>
      </w:r>
    </w:p>
    <w:p w14:paraId="1F724B35">
      <w:pPr>
        <w:numPr>
          <w:ilvl w:val="0"/>
          <w:numId w:val="67"/>
        </w:numPr>
        <w:spacing w:before="120" w:after="120" w:line="288" w:lineRule="auto"/>
        <w:ind w:left="453"/>
        <w:jc w:val="left"/>
      </w:pPr>
      <w:r>
        <w:rPr>
          <w:rFonts w:ascii="Arial" w:hAnsi="Arial" w:eastAsia="等线" w:cs="Arial"/>
          <w:sz w:val="22"/>
        </w:rPr>
        <w:t>特点：这种方法强调了架构的统一性和简洁性，有利于减少开发和维护成本，同时提高系统的可扩展性和可维护性。</w:t>
      </w:r>
    </w:p>
    <w:p w14:paraId="6F23E7F7">
      <w:pPr>
        <w:spacing w:before="300" w:after="120" w:line="288" w:lineRule="auto"/>
        <w:ind w:left="0"/>
        <w:jc w:val="left"/>
        <w:outlineLvl w:val="2"/>
      </w:pPr>
      <w:bookmarkStart w:id="23" w:name="heading_23"/>
      <w:r>
        <w:rPr>
          <w:rFonts w:ascii="Arial" w:hAnsi="Arial" w:eastAsia="等线" w:cs="Arial"/>
          <w:b/>
          <w:sz w:val="30"/>
        </w:rPr>
        <w:t>决策</w:t>
      </w:r>
      <w:bookmarkEnd w:id="23"/>
    </w:p>
    <w:p w14:paraId="4832E168">
      <w:pPr>
        <w:spacing w:before="120" w:after="120" w:line="288" w:lineRule="auto"/>
        <w:ind w:left="453"/>
        <w:jc w:val="left"/>
      </w:pPr>
      <w:r>
        <w:rPr>
          <w:rFonts w:ascii="Arial" w:hAnsi="Arial" w:eastAsia="等线" w:cs="Arial"/>
          <w:sz w:val="22"/>
        </w:rPr>
        <w:t>深入分析上述背景和考虑以下关键因素，得出决策。</w:t>
      </w:r>
    </w:p>
    <w:p w14:paraId="243A927B">
      <w:pPr>
        <w:spacing w:before="120" w:after="120" w:line="288" w:lineRule="auto"/>
        <w:ind w:left="453"/>
        <w:jc w:val="left"/>
      </w:pPr>
      <w:r>
        <w:rPr>
          <w:rFonts w:ascii="Arial" w:hAnsi="Arial" w:eastAsia="等线" w:cs="Arial"/>
          <w:b/>
          <w:sz w:val="22"/>
        </w:rPr>
        <w:t>用户需求的一致性</w:t>
      </w:r>
      <w:r>
        <w:rPr>
          <w:rFonts w:ascii="Arial" w:hAnsi="Arial" w:eastAsia="等线" w:cs="Arial"/>
          <w:sz w:val="22"/>
        </w:rPr>
        <w:t>：我们没有发现明显的证据表明不同用户群体（个人用户与企业用户）之间的功能需求存在显著差异。这意味着一个统一的架构能够有效地满足所有用户的基本需求。</w:t>
      </w:r>
    </w:p>
    <w:p w14:paraId="370BE51D">
      <w:pPr>
        <w:spacing w:before="120" w:after="120" w:line="288" w:lineRule="auto"/>
        <w:ind w:left="453"/>
        <w:jc w:val="left"/>
      </w:pPr>
      <w:r>
        <w:rPr>
          <w:rFonts w:ascii="Arial" w:hAnsi="Arial" w:eastAsia="等线" w:cs="Arial"/>
          <w:b/>
          <w:sz w:val="22"/>
        </w:rPr>
        <w:t>当前产品发展阶段和资源考量</w:t>
      </w:r>
      <w:r>
        <w:rPr>
          <w:rFonts w:ascii="Arial" w:hAnsi="Arial" w:eastAsia="等线" w:cs="Arial"/>
          <w:sz w:val="22"/>
        </w:rPr>
        <w:t>：考虑到我们产品目前所处的发展阶段，以及公司的规模和人力资源状况，采用一个统一的架构将更加合适。这将有助于我们集中资源，提高开发效率。</w:t>
      </w:r>
    </w:p>
    <w:p w14:paraId="51F8A5AF">
      <w:pPr>
        <w:spacing w:before="120" w:after="120" w:line="288" w:lineRule="auto"/>
        <w:ind w:left="453"/>
        <w:jc w:val="left"/>
      </w:pPr>
      <w:r>
        <w:rPr>
          <w:rFonts w:ascii="Arial" w:hAnsi="Arial" w:eastAsia="等线" w:cs="Arial"/>
          <w:b/>
          <w:sz w:val="22"/>
        </w:rPr>
        <w:t>后续维护和扩展性</w:t>
      </w:r>
      <w:r>
        <w:rPr>
          <w:rFonts w:ascii="Arial" w:hAnsi="Arial" w:eastAsia="等线" w:cs="Arial"/>
          <w:sz w:val="22"/>
        </w:rPr>
        <w:t>：从长远来看，一个标准化的SaaS架构将更容易维护和扩展。这种架构的选择有助于未来的功能迭代和技术升级，同时也降低了长期的技术债务风险。</w:t>
      </w:r>
    </w:p>
    <w:tbl>
      <w:tblPr>
        <w:tblStyle w:val="2"/>
        <w:tblW w:w="0" w:type="auto"/>
        <w:tblInd w:w="0" w:type="dxa"/>
        <w:tblBorders>
          <w:top w:val="single" w:color="B7EDB1" w:sz="0" w:space="0"/>
          <w:left w:val="single" w:color="B7EDB1" w:sz="0" w:space="0"/>
          <w:bottom w:val="single" w:color="B7EDB1" w:sz="0" w:space="0"/>
          <w:right w:val="single" w:color="B7EDB1" w:sz="0" w:space="0"/>
          <w:insideH w:val="single" w:color="B7EDB1" w:sz="0" w:space="0"/>
          <w:insideV w:val="single" w:color="B7EDB1" w:sz="0" w:space="0"/>
        </w:tblBorders>
        <w:tblLayout w:type="fixed"/>
        <w:tblCellMar>
          <w:top w:w="0" w:type="dxa"/>
          <w:left w:w="10" w:type="dxa"/>
          <w:bottom w:w="0" w:type="dxa"/>
          <w:right w:w="10" w:type="dxa"/>
        </w:tblCellMar>
      </w:tblPr>
      <w:tblGrid>
        <w:gridCol w:w="8280"/>
      </w:tblGrid>
      <w:tr w14:paraId="641A4438">
        <w:tblPrEx>
          <w:tblBorders>
            <w:top w:val="single" w:color="B7EDB1" w:sz="0" w:space="0"/>
            <w:left w:val="single" w:color="B7EDB1" w:sz="0" w:space="0"/>
            <w:bottom w:val="single" w:color="B7EDB1" w:sz="0" w:space="0"/>
            <w:right w:val="single" w:color="B7EDB1" w:sz="0" w:space="0"/>
            <w:insideH w:val="single" w:color="B7EDB1" w:sz="0" w:space="0"/>
            <w:insideV w:val="single" w:color="B7EDB1" w:sz="0" w:space="0"/>
          </w:tblBorders>
          <w:tblCellMar>
            <w:top w:w="0" w:type="dxa"/>
            <w:left w:w="10" w:type="dxa"/>
            <w:bottom w:w="0" w:type="dxa"/>
            <w:right w:w="10" w:type="dxa"/>
          </w:tblCellMar>
        </w:tblPrEx>
        <w:tc>
          <w:tcPr>
            <w:tcW w:w="8280" w:type="dxa"/>
            <w:shd w:val="clear" w:color="auto" w:fill="F0FBEF"/>
            <w:tcMar>
              <w:top w:w="60" w:type="dxa"/>
              <w:left w:w="120" w:type="dxa"/>
              <w:bottom w:w="30" w:type="dxa"/>
              <w:right w:w="120" w:type="dxa"/>
            </w:tcMar>
          </w:tcPr>
          <w:p w14:paraId="2785BAC1">
            <w:pPr>
              <w:spacing w:before="120" w:after="120" w:line="288" w:lineRule="auto"/>
              <w:ind w:left="0"/>
              <w:jc w:val="left"/>
            </w:pPr>
            <w:r>
              <w:rPr>
                <w:rFonts w:ascii="Arial" w:hAnsi="Arial" w:eastAsia="等线" w:cs="Arial"/>
                <w:sz w:val="22"/>
              </w:rPr>
              <w:t>决策使用「标准化SaaS模式」。</w:t>
            </w:r>
          </w:p>
        </w:tc>
      </w:tr>
    </w:tbl>
    <w:p w14:paraId="313AC703">
      <w:pPr>
        <w:spacing w:before="120" w:after="120" w:line="288" w:lineRule="auto"/>
        <w:ind w:left="0"/>
        <w:jc w:val="left"/>
      </w:pPr>
    </w:p>
    <w:p w14:paraId="0E3E169D">
      <w:pPr>
        <w:spacing w:before="320" w:after="120" w:line="288" w:lineRule="auto"/>
        <w:ind w:left="0"/>
        <w:jc w:val="left"/>
        <w:outlineLvl w:val="1"/>
      </w:pPr>
      <w:bookmarkStart w:id="24" w:name="heading_24"/>
      <w:r>
        <w:rPr>
          <w:rFonts w:ascii="Arial" w:hAnsi="Arial" w:eastAsia="等线" w:cs="Arial"/>
          <w:b/>
          <w:sz w:val="32"/>
        </w:rPr>
        <w:t>基本架构设计</w:t>
      </w:r>
      <w:bookmarkEnd w:id="24"/>
    </w:p>
    <w:p w14:paraId="00F4B8E2">
      <w:pPr>
        <w:spacing w:before="120" w:after="120" w:line="288" w:lineRule="auto"/>
        <w:ind w:left="0"/>
        <w:jc w:val="left"/>
      </w:pPr>
      <w:r>
        <w:rPr>
          <w:rFonts w:ascii="Arial" w:hAnsi="Arial" w:eastAsia="等线" w:cs="Arial"/>
          <w:sz w:val="22"/>
        </w:rPr>
        <w:t>基于以上的决策，进行一些基本设计。</w:t>
      </w:r>
    </w:p>
    <w:p w14:paraId="3AE9FFDA">
      <w:pPr>
        <w:spacing w:before="300" w:after="120" w:line="288" w:lineRule="auto"/>
        <w:ind w:left="0"/>
        <w:jc w:val="left"/>
        <w:outlineLvl w:val="2"/>
      </w:pPr>
      <w:bookmarkStart w:id="25" w:name="heading_25"/>
      <w:r>
        <w:rPr>
          <w:rFonts w:ascii="Arial" w:hAnsi="Arial" w:eastAsia="等线" w:cs="Arial"/>
          <w:b/>
          <w:sz w:val="30"/>
        </w:rPr>
        <w:t>租户隔离模型</w:t>
      </w:r>
      <w:bookmarkEnd w:id="25"/>
    </w:p>
    <w:tbl>
      <w:tblPr>
        <w:tblStyle w:val="2"/>
        <w:tblW w:w="0" w:type="auto"/>
        <w:tblInd w:w="0" w:type="dxa"/>
        <w:tblBorders>
          <w:top w:val="single" w:color="FBBFBC" w:sz="0" w:space="0"/>
          <w:left w:val="single" w:color="FBBFBC" w:sz="0" w:space="0"/>
          <w:bottom w:val="single" w:color="FBBFBC" w:sz="0" w:space="0"/>
          <w:right w:val="single" w:color="FBBFBC" w:sz="0" w:space="0"/>
          <w:insideH w:val="single" w:color="FBBFBC" w:sz="0" w:space="0"/>
          <w:insideV w:val="single" w:color="FBBFBC" w:sz="0" w:space="0"/>
        </w:tblBorders>
        <w:tblLayout w:type="fixed"/>
        <w:tblCellMar>
          <w:top w:w="0" w:type="dxa"/>
          <w:left w:w="10" w:type="dxa"/>
          <w:bottom w:w="0" w:type="dxa"/>
          <w:right w:w="10" w:type="dxa"/>
        </w:tblCellMar>
      </w:tblPr>
      <w:tblGrid>
        <w:gridCol w:w="8280"/>
      </w:tblGrid>
      <w:tr w14:paraId="4F818773">
        <w:tblPrEx>
          <w:tblBorders>
            <w:top w:val="single" w:color="FBBFBC" w:sz="0" w:space="0"/>
            <w:left w:val="single" w:color="FBBFBC" w:sz="0" w:space="0"/>
            <w:bottom w:val="single" w:color="FBBFBC" w:sz="0" w:space="0"/>
            <w:right w:val="single" w:color="FBBFBC" w:sz="0" w:space="0"/>
            <w:insideH w:val="single" w:color="FBBFBC" w:sz="0" w:space="0"/>
            <w:insideV w:val="single" w:color="FBBFBC" w:sz="0" w:space="0"/>
          </w:tblBorders>
          <w:tblCellMar>
            <w:top w:w="0" w:type="dxa"/>
            <w:left w:w="10" w:type="dxa"/>
            <w:bottom w:w="0" w:type="dxa"/>
            <w:right w:w="10" w:type="dxa"/>
          </w:tblCellMar>
        </w:tblPrEx>
        <w:tc>
          <w:tcPr>
            <w:tcW w:w="8280" w:type="dxa"/>
            <w:shd w:val="clear" w:color="auto" w:fill="FEF1F1"/>
            <w:tcMar>
              <w:top w:w="60" w:type="dxa"/>
              <w:left w:w="120" w:type="dxa"/>
              <w:bottom w:w="30" w:type="dxa"/>
              <w:right w:w="120" w:type="dxa"/>
            </w:tcMar>
          </w:tcPr>
          <w:p w14:paraId="363ECEE0">
            <w:pPr>
              <w:spacing w:before="120" w:after="120" w:line="288" w:lineRule="auto"/>
              <w:ind w:left="0"/>
              <w:jc w:val="left"/>
            </w:pPr>
            <w:r>
              <w:rPr>
                <w:rFonts w:ascii="Arial" w:hAnsi="Arial" w:eastAsia="等线" w:cs="Arial"/>
                <w:sz w:val="22"/>
              </w:rPr>
              <w:t>在我们的系统中，租户是实现数据隔离的基本单位。这种模型确保了即使在底层数据存储中没有物理上的隔离，用户也能体验到数据上的完全隔离。对用户来说，不同租户的数据在逻辑上是完全隔绝的，从而在保障数据安全和隐私的同时，提供了一个清晰、高效的数据管理环境。</w:t>
            </w:r>
          </w:p>
        </w:tc>
      </w:tr>
    </w:tbl>
    <w:p w14:paraId="27AD2876">
      <w:pPr>
        <w:spacing w:before="300" w:after="120" w:line="288" w:lineRule="auto"/>
        <w:ind w:left="0"/>
        <w:jc w:val="left"/>
        <w:outlineLvl w:val="2"/>
      </w:pPr>
      <w:bookmarkStart w:id="26" w:name="heading_26"/>
      <w:r>
        <w:rPr>
          <w:rFonts w:ascii="Arial" w:hAnsi="Arial" w:eastAsia="等线" w:cs="Arial"/>
          <w:b/>
          <w:sz w:val="30"/>
        </w:rPr>
        <w:t>租户订阅模型</w:t>
      </w:r>
      <w:bookmarkEnd w:id="26"/>
    </w:p>
    <w:p w14:paraId="14F9E7C1">
      <w:pPr>
        <w:spacing w:before="120" w:after="120" w:line="288" w:lineRule="auto"/>
        <w:ind w:left="0"/>
        <w:jc w:val="left"/>
      </w:pPr>
      <w:r>
        <w:rPr>
          <w:rFonts w:ascii="Arial" w:hAnsi="Arial" w:eastAsia="等线" w:cs="Arial"/>
          <w:sz w:val="22"/>
        </w:rPr>
        <w:t>我们的系统采用灵活的租户模型来区分个人版和企业版，以及它们之间的转换机制：</w:t>
      </w:r>
    </w:p>
    <w:p w14:paraId="00654F3D">
      <w:pPr>
        <w:numPr>
          <w:ilvl w:val="0"/>
          <w:numId w:val="68"/>
        </w:numPr>
        <w:spacing w:before="120" w:after="120" w:line="288" w:lineRule="auto"/>
        <w:ind w:left="0"/>
        <w:jc w:val="left"/>
      </w:pPr>
      <w:r>
        <w:rPr>
          <w:rFonts w:ascii="Arial" w:hAnsi="Arial" w:eastAsia="等线" w:cs="Arial"/>
          <w:sz w:val="22"/>
        </w:rPr>
        <w:t>个人版：</w:t>
      </w:r>
    </w:p>
    <w:p w14:paraId="3515C097">
      <w:pPr>
        <w:numPr>
          <w:ilvl w:val="0"/>
          <w:numId w:val="69"/>
        </w:numPr>
        <w:spacing w:before="120" w:after="120" w:line="288" w:lineRule="auto"/>
        <w:ind w:left="453"/>
        <w:jc w:val="left"/>
      </w:pPr>
      <w:r>
        <w:rPr>
          <w:rFonts w:ascii="Arial" w:hAnsi="Arial" w:eastAsia="等线" w:cs="Arial"/>
          <w:sz w:val="22"/>
        </w:rPr>
        <w:t>定义：在个人版中，单个用户被视为一个独立的租户。</w:t>
      </w:r>
    </w:p>
    <w:p w14:paraId="579BE46F">
      <w:pPr>
        <w:numPr>
          <w:ilvl w:val="0"/>
          <w:numId w:val="70"/>
        </w:numPr>
        <w:spacing w:before="120" w:after="120" w:line="288" w:lineRule="auto"/>
        <w:ind w:left="453"/>
        <w:jc w:val="left"/>
      </w:pPr>
      <w:r>
        <w:rPr>
          <w:rFonts w:ascii="Arial" w:hAnsi="Arial" w:eastAsia="等线" w:cs="Arial"/>
          <w:sz w:val="22"/>
        </w:rPr>
        <w:t>特点：这样的设计允许每个个人用户在系统中拥有独立的空间和配置。</w:t>
      </w:r>
    </w:p>
    <w:p w14:paraId="08CB611B">
      <w:pPr>
        <w:numPr>
          <w:ilvl w:val="0"/>
          <w:numId w:val="71"/>
        </w:numPr>
        <w:spacing w:before="120" w:after="120" w:line="288" w:lineRule="auto"/>
        <w:ind w:left="0"/>
        <w:jc w:val="left"/>
      </w:pPr>
      <w:r>
        <w:rPr>
          <w:rFonts w:ascii="Arial" w:hAnsi="Arial" w:eastAsia="等线" w:cs="Arial"/>
          <w:sz w:val="22"/>
        </w:rPr>
        <w:t>企业版：</w:t>
      </w:r>
    </w:p>
    <w:p w14:paraId="3AB73369">
      <w:pPr>
        <w:numPr>
          <w:ilvl w:val="0"/>
          <w:numId w:val="72"/>
        </w:numPr>
        <w:spacing w:before="120" w:after="120" w:line="288" w:lineRule="auto"/>
        <w:ind w:left="453"/>
        <w:jc w:val="left"/>
      </w:pPr>
      <w:r>
        <w:rPr>
          <w:rFonts w:ascii="Arial" w:hAnsi="Arial" w:eastAsia="等线" w:cs="Arial"/>
          <w:sz w:val="22"/>
        </w:rPr>
        <w:t>定义：在企业版中，一个公司或组织构成一个单独的租户。</w:t>
      </w:r>
    </w:p>
    <w:p w14:paraId="729D8864">
      <w:pPr>
        <w:numPr>
          <w:ilvl w:val="0"/>
          <w:numId w:val="73"/>
        </w:numPr>
        <w:spacing w:before="120" w:after="120" w:line="288" w:lineRule="auto"/>
        <w:ind w:left="453"/>
        <w:jc w:val="left"/>
      </w:pPr>
      <w:r>
        <w:rPr>
          <w:rFonts w:ascii="Arial" w:hAnsi="Arial" w:eastAsia="等线" w:cs="Arial"/>
          <w:sz w:val="22"/>
        </w:rPr>
        <w:t>特点：这使得企业能够在一个共享的环境中管理其员工和资源。</w:t>
      </w:r>
    </w:p>
    <w:p w14:paraId="33C021AD">
      <w:pPr>
        <w:numPr>
          <w:ilvl w:val="0"/>
          <w:numId w:val="74"/>
        </w:numPr>
        <w:spacing w:before="120" w:after="120" w:line="288" w:lineRule="auto"/>
        <w:ind w:left="0"/>
        <w:jc w:val="left"/>
      </w:pPr>
      <w:r>
        <w:rPr>
          <w:rFonts w:ascii="Arial" w:hAnsi="Arial" w:eastAsia="等线" w:cs="Arial"/>
          <w:sz w:val="22"/>
        </w:rPr>
        <w:t>版本之间的转换：</w:t>
      </w:r>
    </w:p>
    <w:p w14:paraId="6FD3C339">
      <w:pPr>
        <w:numPr>
          <w:ilvl w:val="0"/>
          <w:numId w:val="75"/>
        </w:numPr>
        <w:spacing w:before="120" w:after="120" w:line="288" w:lineRule="auto"/>
        <w:ind w:left="453"/>
        <w:jc w:val="left"/>
      </w:pPr>
      <w:r>
        <w:rPr>
          <w:rFonts w:ascii="Arial" w:hAnsi="Arial" w:eastAsia="等线" w:cs="Arial"/>
          <w:sz w:val="22"/>
        </w:rPr>
        <w:t>个人版到个人版：一般情况下，用户在个人版之间的转换仍旧保持在同一个租户内。具体的租户变更细节，在需求明确后由产品经理补充。</w:t>
      </w:r>
    </w:p>
    <w:p w14:paraId="3FA8B29A">
      <w:pPr>
        <w:numPr>
          <w:ilvl w:val="0"/>
          <w:numId w:val="76"/>
        </w:numPr>
        <w:spacing w:before="120" w:after="120" w:line="288" w:lineRule="auto"/>
        <w:ind w:left="453"/>
        <w:jc w:val="left"/>
      </w:pPr>
      <w:r>
        <w:rPr>
          <w:rFonts w:ascii="Arial" w:hAnsi="Arial" w:eastAsia="等线" w:cs="Arial"/>
          <w:sz w:val="22"/>
        </w:rPr>
        <w:t>企业版到企业版：类似地，企业版用户在不同企业版之间的转换通常保持在同一个租户内。具体细节待后续需求确定。</w:t>
      </w:r>
    </w:p>
    <w:p w14:paraId="3A22380C">
      <w:pPr>
        <w:numPr>
          <w:ilvl w:val="0"/>
          <w:numId w:val="77"/>
        </w:numPr>
        <w:spacing w:before="120" w:after="120" w:line="288" w:lineRule="auto"/>
        <w:ind w:left="453"/>
        <w:jc w:val="left"/>
      </w:pPr>
      <w:r>
        <w:rPr>
          <w:rFonts w:ascii="Arial" w:hAnsi="Arial" w:eastAsia="等线" w:cs="Arial"/>
          <w:sz w:val="22"/>
        </w:rPr>
        <w:t>个人版到企业版：这种转换涉及从一个租户到另一个租户的跨越。用户在登录后需要选择相应的租户。如有特殊需求，可以在转换过程中提供一次性的数据迁移或初始化服务。</w:t>
      </w:r>
    </w:p>
    <w:p w14:paraId="4B6BE36A">
      <w:pPr>
        <w:spacing w:before="120" w:after="120" w:line="288" w:lineRule="auto"/>
        <w:ind w:left="0"/>
        <w:jc w:val="left"/>
      </w:pPr>
      <w:r>
        <w:rPr>
          <w:rFonts w:ascii="Arial" w:hAnsi="Arial" w:eastAsia="等线" w:cs="Arial"/>
          <w:sz w:val="22"/>
        </w:rPr>
        <w:t>通过这种灵活的租户模型，我们的系统能够支持不同用户类型的需求，并且灵活地处理用户身份和权限的变更。</w:t>
      </w:r>
    </w:p>
    <w:p w14:paraId="1D02FF0F">
      <w:pPr>
        <w:spacing w:before="300" w:after="120" w:line="288" w:lineRule="auto"/>
        <w:ind w:left="0"/>
        <w:jc w:val="left"/>
        <w:outlineLvl w:val="2"/>
      </w:pPr>
      <w:bookmarkStart w:id="27" w:name="heading_27"/>
      <w:r>
        <w:rPr>
          <w:rFonts w:ascii="Arial" w:hAnsi="Arial" w:eastAsia="等线" w:cs="Arial"/>
          <w:b/>
          <w:sz w:val="30"/>
        </w:rPr>
        <w:t>租户生命周期</w:t>
      </w:r>
      <w:bookmarkEnd w:id="27"/>
    </w:p>
    <w:p w14:paraId="16A37438">
      <w:pPr>
        <w:spacing w:before="120" w:after="120" w:line="288" w:lineRule="auto"/>
        <w:ind w:left="0"/>
        <w:jc w:val="left"/>
      </w:pPr>
      <w:r>
        <w:rPr>
          <w:rFonts w:ascii="Arial" w:hAnsi="Arial" w:eastAsia="等线" w:cs="Arial"/>
          <w:sz w:val="22"/>
        </w:rPr>
        <w:t>梳理用户注册流程，如下图。</w:t>
      </w:r>
    </w:p>
    <w:p w14:paraId="6916402F">
      <w:pPr>
        <w:spacing w:before="120" w:after="120" w:line="288" w:lineRule="auto"/>
        <w:ind w:left="0"/>
        <w:jc w:val="center"/>
      </w:pPr>
      <w:r>
        <w:drawing>
          <wp:inline distT="0" distB="0" distL="0" distR="0">
            <wp:extent cx="5257800" cy="5124450"/>
            <wp:effectExtent l="0" t="0" r="0" b="1143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6"/>
                    <a:stretch>
                      <a:fillRect/>
                    </a:stretch>
                  </pic:blipFill>
                  <pic:spPr>
                    <a:xfrm>
                      <a:off x="0" y="0"/>
                      <a:ext cx="5257800" cy="5124450"/>
                    </a:xfrm>
                    <a:prstGeom prst="rect">
                      <a:avLst/>
                    </a:prstGeom>
                  </pic:spPr>
                </pic:pic>
              </a:graphicData>
            </a:graphic>
          </wp:inline>
        </w:drawing>
      </w:r>
    </w:p>
    <w:p w14:paraId="1BBA5BC1">
      <w:pPr>
        <w:spacing w:before="120" w:after="120" w:line="288" w:lineRule="auto"/>
        <w:ind w:left="0"/>
        <w:jc w:val="left"/>
      </w:pPr>
      <w:r>
        <w:rPr>
          <w:rFonts w:ascii="Arial" w:hAnsi="Arial" w:eastAsia="等线" w:cs="Arial"/>
          <w:sz w:val="22"/>
        </w:rPr>
        <w:t>由此整理出租户的生命周期如下。</w:t>
      </w:r>
    </w:p>
    <w:p w14:paraId="26BC64F0">
      <w:pPr>
        <w:spacing w:before="120" w:after="120" w:line="288" w:lineRule="auto"/>
        <w:ind w:left="0"/>
        <w:jc w:val="center"/>
      </w:pPr>
      <w:r>
        <w:drawing>
          <wp:inline distT="0" distB="0" distL="0" distR="0">
            <wp:extent cx="5257800" cy="1247775"/>
            <wp:effectExtent l="0" t="0" r="0" b="1905"/>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7"/>
                    <a:stretch>
                      <a:fillRect/>
                    </a:stretch>
                  </pic:blipFill>
                  <pic:spPr>
                    <a:xfrm>
                      <a:off x="0" y="0"/>
                      <a:ext cx="5257800" cy="1247775"/>
                    </a:xfrm>
                    <a:prstGeom prst="rect">
                      <a:avLst/>
                    </a:prstGeom>
                  </pic:spPr>
                </pic:pic>
              </a:graphicData>
            </a:graphic>
          </wp:inline>
        </w:drawing>
      </w:r>
    </w:p>
    <w:p w14:paraId="0B7AE650">
      <w:pPr>
        <w:spacing w:before="120" w:after="120" w:line="288" w:lineRule="auto"/>
        <w:ind w:left="0"/>
        <w:jc w:val="left"/>
      </w:pPr>
    </w:p>
    <w:p w14:paraId="22FAB8F3">
      <w:pPr>
        <w:spacing w:before="300" w:after="120" w:line="288" w:lineRule="auto"/>
        <w:ind w:left="0"/>
        <w:jc w:val="left"/>
        <w:outlineLvl w:val="2"/>
      </w:pPr>
      <w:bookmarkStart w:id="28" w:name="heading_28"/>
      <w:r>
        <w:rPr>
          <w:rFonts w:ascii="Arial" w:hAnsi="Arial" w:eastAsia="等线" w:cs="Arial"/>
          <w:b/>
          <w:sz w:val="30"/>
        </w:rPr>
        <w:t>订阅维度设计</w:t>
      </w:r>
      <w:bookmarkEnd w:id="28"/>
    </w:p>
    <w:p w14:paraId="244B3A1F">
      <w:pPr>
        <w:spacing w:before="120" w:after="120" w:line="288" w:lineRule="auto"/>
        <w:ind w:left="0"/>
        <w:jc w:val="left"/>
      </w:pPr>
      <w:r>
        <w:rPr>
          <w:rFonts w:ascii="Arial" w:hAnsi="Arial" w:eastAsia="等线" w:cs="Arial"/>
          <w:sz w:val="22"/>
        </w:rPr>
        <w:t>各个订阅类型对比如下。</w:t>
      </w:r>
    </w:p>
    <w:tbl>
      <w:tblPr>
        <w:tblStyle w:val="2"/>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2880"/>
        <w:gridCol w:w="1500"/>
        <w:gridCol w:w="1500"/>
        <w:gridCol w:w="1500"/>
      </w:tblGrid>
      <w:tr w14:paraId="64115DA6">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880" w:type="dxa"/>
            <w:tcMar>
              <w:top w:w="60" w:type="dxa"/>
              <w:left w:w="120" w:type="dxa"/>
              <w:bottom w:w="30" w:type="dxa"/>
              <w:right w:w="120" w:type="dxa"/>
            </w:tcMar>
          </w:tcPr>
          <w:p w14:paraId="50FC3E36">
            <w:pPr>
              <w:spacing w:before="120" w:after="120" w:line="288" w:lineRule="auto"/>
              <w:ind w:left="0"/>
              <w:jc w:val="left"/>
            </w:pPr>
            <w:r>
              <w:rPr>
                <w:rFonts w:ascii="Arial" w:hAnsi="Arial" w:eastAsia="等线" w:cs="Arial"/>
                <w:sz w:val="22"/>
              </w:rPr>
              <w:t>维度/版本</w:t>
            </w:r>
          </w:p>
        </w:tc>
        <w:tc>
          <w:tcPr>
            <w:tcW w:w="1500" w:type="dxa"/>
            <w:tcMar>
              <w:top w:w="60" w:type="dxa"/>
              <w:left w:w="120" w:type="dxa"/>
              <w:bottom w:w="30" w:type="dxa"/>
              <w:right w:w="120" w:type="dxa"/>
            </w:tcMar>
          </w:tcPr>
          <w:p w14:paraId="4693CFFD">
            <w:pPr>
              <w:spacing w:before="120" w:after="120" w:line="288" w:lineRule="auto"/>
              <w:ind w:left="0"/>
              <w:jc w:val="left"/>
            </w:pPr>
            <w:r>
              <w:rPr>
                <w:rFonts w:ascii="Arial" w:hAnsi="Arial" w:eastAsia="等线" w:cs="Arial"/>
                <w:sz w:val="22"/>
              </w:rPr>
              <w:t>个人免费版</w:t>
            </w:r>
          </w:p>
        </w:tc>
        <w:tc>
          <w:tcPr>
            <w:tcW w:w="1500" w:type="dxa"/>
            <w:tcMar>
              <w:top w:w="60" w:type="dxa"/>
              <w:left w:w="120" w:type="dxa"/>
              <w:bottom w:w="30" w:type="dxa"/>
              <w:right w:w="120" w:type="dxa"/>
            </w:tcMar>
          </w:tcPr>
          <w:p w14:paraId="2625D25D">
            <w:pPr>
              <w:spacing w:before="120" w:after="120" w:line="288" w:lineRule="auto"/>
              <w:ind w:left="0"/>
              <w:jc w:val="left"/>
            </w:pPr>
            <w:r>
              <w:rPr>
                <w:rFonts w:ascii="Arial" w:hAnsi="Arial" w:eastAsia="等线" w:cs="Arial"/>
                <w:sz w:val="22"/>
              </w:rPr>
              <w:t>个人收费版</w:t>
            </w:r>
          </w:p>
        </w:tc>
        <w:tc>
          <w:tcPr>
            <w:tcW w:w="1500" w:type="dxa"/>
            <w:tcMar>
              <w:top w:w="60" w:type="dxa"/>
              <w:left w:w="120" w:type="dxa"/>
              <w:bottom w:w="30" w:type="dxa"/>
              <w:right w:w="120" w:type="dxa"/>
            </w:tcMar>
          </w:tcPr>
          <w:p w14:paraId="4AD9E0B7">
            <w:pPr>
              <w:spacing w:before="120" w:after="120" w:line="288" w:lineRule="auto"/>
              <w:ind w:left="0"/>
              <w:jc w:val="left"/>
            </w:pPr>
            <w:r>
              <w:rPr>
                <w:rFonts w:ascii="Arial" w:hAnsi="Arial" w:eastAsia="等线" w:cs="Arial"/>
                <w:sz w:val="22"/>
              </w:rPr>
              <w:t>企业版</w:t>
            </w:r>
          </w:p>
        </w:tc>
      </w:tr>
      <w:tr w14:paraId="4DC65C34">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880" w:type="dxa"/>
            <w:tcMar>
              <w:top w:w="60" w:type="dxa"/>
              <w:left w:w="120" w:type="dxa"/>
              <w:bottom w:w="30" w:type="dxa"/>
              <w:right w:w="120" w:type="dxa"/>
            </w:tcMar>
          </w:tcPr>
          <w:p w14:paraId="2DD51758">
            <w:pPr>
              <w:spacing w:before="120" w:after="120" w:line="288" w:lineRule="auto"/>
              <w:ind w:left="0"/>
              <w:jc w:val="left"/>
            </w:pPr>
            <w:r>
              <w:rPr>
                <w:rFonts w:ascii="Arial" w:hAnsi="Arial" w:eastAsia="等线" w:cs="Arial"/>
                <w:sz w:val="22"/>
              </w:rPr>
              <w:t>模块级别（如角色管理）</w:t>
            </w:r>
          </w:p>
        </w:tc>
        <w:tc>
          <w:tcPr>
            <w:tcW w:w="1500" w:type="dxa"/>
            <w:tcMar>
              <w:top w:w="60" w:type="dxa"/>
              <w:left w:w="120" w:type="dxa"/>
              <w:bottom w:w="30" w:type="dxa"/>
              <w:right w:w="120" w:type="dxa"/>
            </w:tcMar>
          </w:tcPr>
          <w:p w14:paraId="196C94F9">
            <w:pPr>
              <w:spacing w:before="120" w:after="120" w:line="288" w:lineRule="auto"/>
              <w:ind w:left="0"/>
              <w:jc w:val="left"/>
            </w:pPr>
            <w:r>
              <w:rPr>
                <w:rFonts w:ascii="Arial" w:hAnsi="Arial" w:eastAsia="等线" w:cs="Arial"/>
                <w:sz w:val="22"/>
              </w:rPr>
              <w:t>❌</w:t>
            </w:r>
          </w:p>
        </w:tc>
        <w:tc>
          <w:tcPr>
            <w:tcW w:w="1500" w:type="dxa"/>
            <w:tcMar>
              <w:top w:w="60" w:type="dxa"/>
              <w:left w:w="120" w:type="dxa"/>
              <w:bottom w:w="30" w:type="dxa"/>
              <w:right w:w="120" w:type="dxa"/>
            </w:tcMar>
          </w:tcPr>
          <w:p w14:paraId="1F5F15A1">
            <w:pPr>
              <w:spacing w:before="120" w:after="120" w:line="288" w:lineRule="auto"/>
              <w:ind w:left="0"/>
              <w:jc w:val="left"/>
            </w:pPr>
            <w:r>
              <w:rPr>
                <w:rFonts w:ascii="Arial" w:hAnsi="Arial" w:eastAsia="等线" w:cs="Arial"/>
                <w:sz w:val="22"/>
              </w:rPr>
              <w:t>❌</w:t>
            </w:r>
          </w:p>
        </w:tc>
        <w:tc>
          <w:tcPr>
            <w:tcW w:w="1500" w:type="dxa"/>
            <w:tcMar>
              <w:top w:w="60" w:type="dxa"/>
              <w:left w:w="120" w:type="dxa"/>
              <w:bottom w:w="30" w:type="dxa"/>
              <w:right w:w="120" w:type="dxa"/>
            </w:tcMar>
          </w:tcPr>
          <w:p w14:paraId="08533079">
            <w:pPr>
              <w:spacing w:before="120" w:after="120" w:line="288" w:lineRule="auto"/>
              <w:ind w:left="0"/>
              <w:jc w:val="left"/>
            </w:pPr>
            <w:r>
              <w:rPr>
                <w:rFonts w:ascii="Arial" w:hAnsi="Arial" w:eastAsia="等线" w:cs="Arial"/>
                <w:sz w:val="22"/>
              </w:rPr>
              <w:t>✅</w:t>
            </w:r>
          </w:p>
        </w:tc>
      </w:tr>
      <w:tr w14:paraId="399A5E08">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880" w:type="dxa"/>
            <w:tcMar>
              <w:top w:w="60" w:type="dxa"/>
              <w:left w:w="120" w:type="dxa"/>
              <w:bottom w:w="30" w:type="dxa"/>
              <w:right w:w="120" w:type="dxa"/>
            </w:tcMar>
          </w:tcPr>
          <w:p w14:paraId="47E46316">
            <w:pPr>
              <w:spacing w:before="120" w:after="120" w:line="288" w:lineRule="auto"/>
              <w:ind w:left="0"/>
              <w:jc w:val="left"/>
            </w:pPr>
            <w:r>
              <w:rPr>
                <w:rFonts w:ascii="Arial" w:hAnsi="Arial" w:eastAsia="等线" w:cs="Arial"/>
                <w:sz w:val="22"/>
              </w:rPr>
              <w:t>功能级别（如文件-复制）</w:t>
            </w:r>
          </w:p>
        </w:tc>
        <w:tc>
          <w:tcPr>
            <w:tcW w:w="1500" w:type="dxa"/>
            <w:tcMar>
              <w:top w:w="60" w:type="dxa"/>
              <w:left w:w="120" w:type="dxa"/>
              <w:bottom w:w="30" w:type="dxa"/>
              <w:right w:w="120" w:type="dxa"/>
            </w:tcMar>
          </w:tcPr>
          <w:p w14:paraId="151A95D8">
            <w:pPr>
              <w:spacing w:before="120" w:after="120" w:line="288" w:lineRule="auto"/>
              <w:ind w:left="0"/>
              <w:jc w:val="left"/>
            </w:pPr>
            <w:r>
              <w:rPr>
                <w:rFonts w:ascii="Arial" w:hAnsi="Arial" w:eastAsia="等线" w:cs="Arial"/>
                <w:sz w:val="22"/>
              </w:rPr>
              <w:t>❌</w:t>
            </w:r>
          </w:p>
        </w:tc>
        <w:tc>
          <w:tcPr>
            <w:tcW w:w="1500" w:type="dxa"/>
            <w:tcMar>
              <w:top w:w="60" w:type="dxa"/>
              <w:left w:w="120" w:type="dxa"/>
              <w:bottom w:w="30" w:type="dxa"/>
              <w:right w:w="120" w:type="dxa"/>
            </w:tcMar>
          </w:tcPr>
          <w:p w14:paraId="32A84305">
            <w:pPr>
              <w:spacing w:before="120" w:after="120" w:line="288" w:lineRule="auto"/>
              <w:ind w:left="0"/>
              <w:jc w:val="left"/>
            </w:pPr>
            <w:r>
              <w:rPr>
                <w:rFonts w:ascii="Arial" w:hAnsi="Arial" w:eastAsia="等线" w:cs="Arial"/>
                <w:sz w:val="22"/>
              </w:rPr>
              <w:t>✅</w:t>
            </w:r>
          </w:p>
        </w:tc>
        <w:tc>
          <w:tcPr>
            <w:tcW w:w="1500" w:type="dxa"/>
            <w:tcMar>
              <w:top w:w="60" w:type="dxa"/>
              <w:left w:w="120" w:type="dxa"/>
              <w:bottom w:w="30" w:type="dxa"/>
              <w:right w:w="120" w:type="dxa"/>
            </w:tcMar>
          </w:tcPr>
          <w:p w14:paraId="18D01BA9">
            <w:pPr>
              <w:spacing w:before="120" w:after="120" w:line="288" w:lineRule="auto"/>
              <w:ind w:left="0"/>
              <w:jc w:val="left"/>
            </w:pPr>
            <w:r>
              <w:rPr>
                <w:rFonts w:ascii="Arial" w:hAnsi="Arial" w:eastAsia="等线" w:cs="Arial"/>
                <w:sz w:val="22"/>
              </w:rPr>
              <w:t>✅</w:t>
            </w:r>
          </w:p>
        </w:tc>
      </w:tr>
      <w:tr w14:paraId="54581A00">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880" w:type="dxa"/>
            <w:tcMar>
              <w:top w:w="60" w:type="dxa"/>
              <w:left w:w="120" w:type="dxa"/>
              <w:bottom w:w="30" w:type="dxa"/>
              <w:right w:w="120" w:type="dxa"/>
            </w:tcMar>
          </w:tcPr>
          <w:p w14:paraId="4A5C276E">
            <w:pPr>
              <w:spacing w:before="120" w:after="120" w:line="288" w:lineRule="auto"/>
              <w:ind w:left="0"/>
              <w:jc w:val="left"/>
            </w:pPr>
            <w:r>
              <w:rPr>
                <w:rFonts w:ascii="Arial" w:hAnsi="Arial" w:eastAsia="等线" w:cs="Arial"/>
                <w:sz w:val="22"/>
              </w:rPr>
              <w:t>用量限制（如素材容量）</w:t>
            </w:r>
          </w:p>
        </w:tc>
        <w:tc>
          <w:tcPr>
            <w:tcW w:w="1500" w:type="dxa"/>
            <w:tcMar>
              <w:top w:w="60" w:type="dxa"/>
              <w:left w:w="120" w:type="dxa"/>
              <w:bottom w:w="30" w:type="dxa"/>
              <w:right w:w="120" w:type="dxa"/>
            </w:tcMar>
          </w:tcPr>
          <w:p w14:paraId="747AE085">
            <w:pPr>
              <w:spacing w:before="120" w:after="120" w:line="288" w:lineRule="auto"/>
              <w:ind w:left="0"/>
              <w:jc w:val="left"/>
            </w:pPr>
            <w:r>
              <w:rPr>
                <w:rFonts w:ascii="Arial" w:hAnsi="Arial" w:eastAsia="等线" w:cs="Arial"/>
                <w:sz w:val="22"/>
              </w:rPr>
              <w:t>1G</w:t>
            </w:r>
          </w:p>
        </w:tc>
        <w:tc>
          <w:tcPr>
            <w:tcW w:w="1500" w:type="dxa"/>
            <w:tcMar>
              <w:top w:w="60" w:type="dxa"/>
              <w:left w:w="120" w:type="dxa"/>
              <w:bottom w:w="30" w:type="dxa"/>
              <w:right w:w="120" w:type="dxa"/>
            </w:tcMar>
          </w:tcPr>
          <w:p w14:paraId="2A5AFF7D">
            <w:pPr>
              <w:spacing w:before="120" w:after="120" w:line="288" w:lineRule="auto"/>
              <w:ind w:left="0"/>
              <w:jc w:val="left"/>
            </w:pPr>
            <w:r>
              <w:rPr>
                <w:rFonts w:ascii="Arial" w:hAnsi="Arial" w:eastAsia="等线" w:cs="Arial"/>
                <w:sz w:val="22"/>
              </w:rPr>
              <w:t>5G</w:t>
            </w:r>
          </w:p>
        </w:tc>
        <w:tc>
          <w:tcPr>
            <w:tcW w:w="1500" w:type="dxa"/>
            <w:tcMar>
              <w:top w:w="60" w:type="dxa"/>
              <w:left w:w="120" w:type="dxa"/>
              <w:bottom w:w="30" w:type="dxa"/>
              <w:right w:w="120" w:type="dxa"/>
            </w:tcMar>
          </w:tcPr>
          <w:p w14:paraId="0E0A951F">
            <w:pPr>
              <w:spacing w:before="120" w:after="120" w:line="288" w:lineRule="auto"/>
              <w:ind w:left="0"/>
              <w:jc w:val="left"/>
            </w:pPr>
            <w:r>
              <w:rPr>
                <w:rFonts w:ascii="Arial" w:hAnsi="Arial" w:eastAsia="等线" w:cs="Arial"/>
                <w:sz w:val="22"/>
              </w:rPr>
              <w:t>20G</w:t>
            </w:r>
          </w:p>
        </w:tc>
      </w:tr>
      <w:tr w14:paraId="52D23757">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880" w:type="dxa"/>
            <w:tcMar>
              <w:top w:w="60" w:type="dxa"/>
              <w:left w:w="120" w:type="dxa"/>
              <w:bottom w:w="30" w:type="dxa"/>
              <w:right w:w="120" w:type="dxa"/>
            </w:tcMar>
          </w:tcPr>
          <w:p w14:paraId="6D19E83C">
            <w:pPr>
              <w:spacing w:before="120" w:after="120" w:line="288" w:lineRule="auto"/>
              <w:ind w:left="0"/>
              <w:jc w:val="left"/>
            </w:pPr>
            <w:r>
              <w:rPr>
                <w:rFonts w:ascii="Arial" w:hAnsi="Arial" w:eastAsia="等线" w:cs="Arial"/>
                <w:sz w:val="22"/>
              </w:rPr>
              <w:t>成员限制（如坐席管理）</w:t>
            </w:r>
          </w:p>
        </w:tc>
        <w:tc>
          <w:tcPr>
            <w:tcW w:w="1500" w:type="dxa"/>
            <w:tcMar>
              <w:top w:w="60" w:type="dxa"/>
              <w:left w:w="120" w:type="dxa"/>
              <w:bottom w:w="30" w:type="dxa"/>
              <w:right w:w="120" w:type="dxa"/>
            </w:tcMar>
          </w:tcPr>
          <w:p w14:paraId="33F5C330">
            <w:pPr>
              <w:spacing w:before="120" w:after="120" w:line="288" w:lineRule="auto"/>
              <w:ind w:left="0"/>
              <w:jc w:val="left"/>
            </w:pPr>
            <w:r>
              <w:rPr>
                <w:rFonts w:ascii="Arial" w:hAnsi="Arial" w:eastAsia="等线" w:cs="Arial"/>
                <w:sz w:val="22"/>
              </w:rPr>
              <w:t>❌</w:t>
            </w:r>
          </w:p>
        </w:tc>
        <w:tc>
          <w:tcPr>
            <w:tcW w:w="1500" w:type="dxa"/>
            <w:tcMar>
              <w:top w:w="60" w:type="dxa"/>
              <w:left w:w="120" w:type="dxa"/>
              <w:bottom w:w="30" w:type="dxa"/>
              <w:right w:w="120" w:type="dxa"/>
            </w:tcMar>
          </w:tcPr>
          <w:p w14:paraId="56167ECD">
            <w:pPr>
              <w:spacing w:before="120" w:after="120" w:line="288" w:lineRule="auto"/>
              <w:ind w:left="0"/>
              <w:jc w:val="left"/>
            </w:pPr>
            <w:r>
              <w:rPr>
                <w:rFonts w:ascii="Arial" w:hAnsi="Arial" w:eastAsia="等线" w:cs="Arial"/>
                <w:sz w:val="22"/>
              </w:rPr>
              <w:t>❌</w:t>
            </w:r>
          </w:p>
        </w:tc>
        <w:tc>
          <w:tcPr>
            <w:tcW w:w="1500" w:type="dxa"/>
            <w:tcMar>
              <w:top w:w="60" w:type="dxa"/>
              <w:left w:w="120" w:type="dxa"/>
              <w:bottom w:w="30" w:type="dxa"/>
              <w:right w:w="120" w:type="dxa"/>
            </w:tcMar>
          </w:tcPr>
          <w:p w14:paraId="1BE04B18">
            <w:pPr>
              <w:spacing w:before="120" w:after="120" w:line="288" w:lineRule="auto"/>
              <w:ind w:left="0"/>
              <w:jc w:val="left"/>
            </w:pPr>
            <w:r>
              <w:rPr>
                <w:rFonts w:ascii="Arial" w:hAnsi="Arial" w:eastAsia="等线" w:cs="Arial"/>
                <w:sz w:val="22"/>
              </w:rPr>
              <w:t>✅</w:t>
            </w:r>
          </w:p>
        </w:tc>
      </w:tr>
      <w:tr w14:paraId="43FE1944">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880" w:type="dxa"/>
            <w:tcMar>
              <w:top w:w="60" w:type="dxa"/>
              <w:left w:w="120" w:type="dxa"/>
              <w:bottom w:w="30" w:type="dxa"/>
              <w:right w:w="120" w:type="dxa"/>
            </w:tcMar>
          </w:tcPr>
          <w:p w14:paraId="43CEE184">
            <w:pPr>
              <w:spacing w:before="120" w:after="120" w:line="288" w:lineRule="auto"/>
              <w:ind w:left="0"/>
              <w:jc w:val="left"/>
            </w:pPr>
            <w:r>
              <w:rPr>
                <w:rFonts w:ascii="Arial" w:hAnsi="Arial" w:eastAsia="等线" w:cs="Arial"/>
                <w:sz w:val="22"/>
              </w:rPr>
              <w:t>沟通方式</w:t>
            </w:r>
          </w:p>
        </w:tc>
        <w:tc>
          <w:tcPr>
            <w:tcW w:w="1500" w:type="dxa"/>
            <w:tcMar>
              <w:top w:w="60" w:type="dxa"/>
              <w:left w:w="120" w:type="dxa"/>
              <w:bottom w:w="30" w:type="dxa"/>
              <w:right w:w="120" w:type="dxa"/>
            </w:tcMar>
          </w:tcPr>
          <w:p w14:paraId="01E6CC26">
            <w:pPr>
              <w:spacing w:before="120" w:after="120" w:line="288" w:lineRule="auto"/>
              <w:ind w:left="0"/>
              <w:jc w:val="left"/>
            </w:pPr>
            <w:r>
              <w:rPr>
                <w:rFonts w:ascii="Arial" w:hAnsi="Arial" w:eastAsia="等线" w:cs="Arial"/>
                <w:sz w:val="22"/>
              </w:rPr>
              <w:t>帮助文档</w:t>
            </w:r>
          </w:p>
        </w:tc>
        <w:tc>
          <w:tcPr>
            <w:tcW w:w="1500" w:type="dxa"/>
            <w:tcMar>
              <w:top w:w="60" w:type="dxa"/>
              <w:left w:w="120" w:type="dxa"/>
              <w:bottom w:w="30" w:type="dxa"/>
              <w:right w:w="120" w:type="dxa"/>
            </w:tcMar>
          </w:tcPr>
          <w:p w14:paraId="2263D25B">
            <w:pPr>
              <w:spacing w:before="120" w:after="120" w:line="288" w:lineRule="auto"/>
              <w:ind w:left="0"/>
              <w:jc w:val="left"/>
            </w:pPr>
            <w:r>
              <w:rPr>
                <w:rFonts w:ascii="Arial" w:hAnsi="Arial" w:eastAsia="等线" w:cs="Arial"/>
                <w:sz w:val="22"/>
              </w:rPr>
              <w:t>帮助文档</w:t>
            </w:r>
          </w:p>
          <w:p w14:paraId="1A64B3D7">
            <w:pPr>
              <w:spacing w:before="120" w:after="120" w:line="288" w:lineRule="auto"/>
              <w:ind w:left="0"/>
              <w:jc w:val="left"/>
            </w:pPr>
            <w:r>
              <w:rPr>
                <w:rFonts w:ascii="Arial" w:hAnsi="Arial" w:eastAsia="等线" w:cs="Arial"/>
                <w:sz w:val="22"/>
              </w:rPr>
              <w:t>反馈与建议</w:t>
            </w:r>
          </w:p>
        </w:tc>
        <w:tc>
          <w:tcPr>
            <w:tcW w:w="1500" w:type="dxa"/>
            <w:tcMar>
              <w:top w:w="60" w:type="dxa"/>
              <w:left w:w="120" w:type="dxa"/>
              <w:bottom w:w="30" w:type="dxa"/>
              <w:right w:w="120" w:type="dxa"/>
            </w:tcMar>
          </w:tcPr>
          <w:p w14:paraId="507B3121">
            <w:pPr>
              <w:spacing w:before="120" w:after="120" w:line="288" w:lineRule="auto"/>
              <w:ind w:left="0"/>
              <w:jc w:val="left"/>
            </w:pPr>
            <w:r>
              <w:rPr>
                <w:rFonts w:ascii="Arial" w:hAnsi="Arial" w:eastAsia="等线" w:cs="Arial"/>
                <w:sz w:val="22"/>
              </w:rPr>
              <w:t>帮助文档</w:t>
            </w:r>
          </w:p>
          <w:p w14:paraId="790A35BA">
            <w:pPr>
              <w:spacing w:before="120" w:after="120" w:line="288" w:lineRule="auto"/>
              <w:ind w:left="0"/>
              <w:jc w:val="left"/>
            </w:pPr>
            <w:r>
              <w:rPr>
                <w:rFonts w:ascii="Arial" w:hAnsi="Arial" w:eastAsia="等线" w:cs="Arial"/>
                <w:sz w:val="22"/>
              </w:rPr>
              <w:t>反馈与建议</w:t>
            </w:r>
          </w:p>
          <w:p w14:paraId="3CF6980A">
            <w:pPr>
              <w:spacing w:before="120" w:after="120" w:line="288" w:lineRule="auto"/>
              <w:ind w:left="0"/>
              <w:jc w:val="left"/>
            </w:pPr>
            <w:r>
              <w:rPr>
                <w:rFonts w:ascii="Arial" w:hAnsi="Arial" w:eastAsia="等线" w:cs="Arial"/>
                <w:sz w:val="22"/>
              </w:rPr>
              <w:t>客服</w:t>
            </w:r>
          </w:p>
        </w:tc>
      </w:tr>
    </w:tbl>
    <w:p w14:paraId="21352714">
      <w:pPr>
        <w:spacing w:before="120" w:after="120" w:line="288" w:lineRule="auto"/>
        <w:ind w:left="0"/>
        <w:jc w:val="left"/>
      </w:pPr>
      <w:r>
        <w:rPr>
          <w:rFonts w:ascii="Arial" w:hAnsi="Arial" w:eastAsia="等线" w:cs="Arial"/>
          <w:sz w:val="22"/>
        </w:rPr>
        <w:t>对应的设计方案如下。</w:t>
      </w:r>
    </w:p>
    <w:tbl>
      <w:tblPr>
        <w:tblStyle w:val="2"/>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2295"/>
        <w:gridCol w:w="5985"/>
      </w:tblGrid>
      <w:tr w14:paraId="005D5A7A">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295" w:type="dxa"/>
            <w:tcMar>
              <w:top w:w="60" w:type="dxa"/>
              <w:left w:w="120" w:type="dxa"/>
              <w:bottom w:w="30" w:type="dxa"/>
              <w:right w:w="120" w:type="dxa"/>
            </w:tcMar>
          </w:tcPr>
          <w:p w14:paraId="1F28DDA7">
            <w:pPr>
              <w:spacing w:before="120" w:after="120" w:line="288" w:lineRule="auto"/>
              <w:ind w:left="0"/>
              <w:jc w:val="left"/>
            </w:pPr>
            <w:r>
              <w:rPr>
                <w:rFonts w:ascii="Arial" w:hAnsi="Arial" w:eastAsia="等线" w:cs="Arial"/>
                <w:sz w:val="22"/>
              </w:rPr>
              <w:t>维度</w:t>
            </w:r>
          </w:p>
        </w:tc>
        <w:tc>
          <w:tcPr>
            <w:tcW w:w="5985" w:type="dxa"/>
            <w:tcMar>
              <w:top w:w="60" w:type="dxa"/>
              <w:left w:w="120" w:type="dxa"/>
              <w:bottom w:w="30" w:type="dxa"/>
              <w:right w:w="120" w:type="dxa"/>
            </w:tcMar>
          </w:tcPr>
          <w:p w14:paraId="5E6744BA">
            <w:pPr>
              <w:spacing w:before="120" w:after="120" w:line="288" w:lineRule="auto"/>
              <w:ind w:left="0"/>
              <w:jc w:val="left"/>
            </w:pPr>
            <w:r>
              <w:rPr>
                <w:rFonts w:ascii="Arial" w:hAnsi="Arial" w:eastAsia="等线" w:cs="Arial"/>
                <w:sz w:val="22"/>
              </w:rPr>
              <w:t>架构方案</w:t>
            </w:r>
          </w:p>
        </w:tc>
      </w:tr>
      <w:tr w14:paraId="2F7E0007">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295" w:type="dxa"/>
            <w:tcMar>
              <w:top w:w="60" w:type="dxa"/>
              <w:left w:w="120" w:type="dxa"/>
              <w:bottom w:w="30" w:type="dxa"/>
              <w:right w:w="120" w:type="dxa"/>
            </w:tcMar>
          </w:tcPr>
          <w:p w14:paraId="2645FC35">
            <w:pPr>
              <w:spacing w:before="120" w:after="120" w:line="288" w:lineRule="auto"/>
              <w:ind w:left="0"/>
              <w:jc w:val="left"/>
            </w:pPr>
            <w:r>
              <w:rPr>
                <w:rFonts w:ascii="Arial" w:hAnsi="Arial" w:eastAsia="等线" w:cs="Arial"/>
                <w:sz w:val="22"/>
              </w:rPr>
              <w:t>模块级别（如角色管理）</w:t>
            </w:r>
          </w:p>
        </w:tc>
        <w:tc>
          <w:tcPr>
            <w:tcW w:w="5985" w:type="dxa"/>
            <w:tcMar>
              <w:top w:w="60" w:type="dxa"/>
              <w:left w:w="120" w:type="dxa"/>
              <w:bottom w:w="30" w:type="dxa"/>
              <w:right w:w="120" w:type="dxa"/>
            </w:tcMar>
          </w:tcPr>
          <w:p w14:paraId="068B087F">
            <w:pPr>
              <w:spacing w:before="120" w:after="120" w:line="288" w:lineRule="auto"/>
              <w:ind w:left="0"/>
              <w:jc w:val="left"/>
            </w:pPr>
            <w:r>
              <w:rPr>
                <w:rFonts w:ascii="Arial" w:hAnsi="Arial" w:eastAsia="等线" w:cs="Arial"/>
                <w:sz w:val="22"/>
              </w:rPr>
              <w:t>根据租户的订阅类型，决定是否启用特定模块。通过模块管理，从而在模块级别上控制访问权限。</w:t>
            </w:r>
          </w:p>
        </w:tc>
      </w:tr>
      <w:tr w14:paraId="1FEB64FB">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295" w:type="dxa"/>
            <w:tcMar>
              <w:top w:w="60" w:type="dxa"/>
              <w:left w:w="120" w:type="dxa"/>
              <w:bottom w:w="30" w:type="dxa"/>
              <w:right w:w="120" w:type="dxa"/>
            </w:tcMar>
          </w:tcPr>
          <w:p w14:paraId="1A528EDC">
            <w:pPr>
              <w:spacing w:before="120" w:after="120" w:line="288" w:lineRule="auto"/>
              <w:ind w:left="0"/>
              <w:jc w:val="left"/>
            </w:pPr>
            <w:r>
              <w:rPr>
                <w:rFonts w:ascii="Arial" w:hAnsi="Arial" w:eastAsia="等线" w:cs="Arial"/>
                <w:sz w:val="22"/>
              </w:rPr>
              <w:t>功能级别（如文件-复制）</w:t>
            </w:r>
          </w:p>
        </w:tc>
        <w:tc>
          <w:tcPr>
            <w:tcW w:w="5985" w:type="dxa"/>
            <w:tcMar>
              <w:top w:w="60" w:type="dxa"/>
              <w:left w:w="120" w:type="dxa"/>
              <w:bottom w:w="30" w:type="dxa"/>
              <w:right w:w="120" w:type="dxa"/>
            </w:tcMar>
          </w:tcPr>
          <w:p w14:paraId="5576C04F">
            <w:pPr>
              <w:spacing w:before="120" w:after="120" w:line="288" w:lineRule="auto"/>
              <w:ind w:left="0"/>
              <w:jc w:val="left"/>
            </w:pPr>
            <w:r>
              <w:rPr>
                <w:rFonts w:ascii="Arial" w:hAnsi="Arial" w:eastAsia="等线" w:cs="Arial"/>
                <w:sz w:val="22"/>
              </w:rPr>
              <w:t>根据租户的订阅类型，决定是否启用特定功能。通过功能开关来控制对特定接口或页面的访问，实现在功能级别上的细粒度控制。</w:t>
            </w:r>
          </w:p>
        </w:tc>
      </w:tr>
      <w:tr w14:paraId="68EF0029">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295" w:type="dxa"/>
            <w:tcMar>
              <w:top w:w="60" w:type="dxa"/>
              <w:left w:w="120" w:type="dxa"/>
              <w:bottom w:w="30" w:type="dxa"/>
              <w:right w:w="120" w:type="dxa"/>
            </w:tcMar>
          </w:tcPr>
          <w:p w14:paraId="20991D2D">
            <w:pPr>
              <w:spacing w:before="120" w:after="120" w:line="288" w:lineRule="auto"/>
              <w:ind w:left="0"/>
              <w:jc w:val="left"/>
            </w:pPr>
            <w:r>
              <w:rPr>
                <w:rFonts w:ascii="Arial" w:hAnsi="Arial" w:eastAsia="等线" w:cs="Arial"/>
                <w:sz w:val="22"/>
              </w:rPr>
              <w:t>用量限制（如素材容量）</w:t>
            </w:r>
          </w:p>
        </w:tc>
        <w:tc>
          <w:tcPr>
            <w:tcW w:w="5985" w:type="dxa"/>
            <w:tcMar>
              <w:top w:w="60" w:type="dxa"/>
              <w:left w:w="120" w:type="dxa"/>
              <w:bottom w:w="30" w:type="dxa"/>
              <w:right w:w="120" w:type="dxa"/>
            </w:tcMar>
          </w:tcPr>
          <w:p w14:paraId="762B13E2">
            <w:pPr>
              <w:spacing w:before="120" w:after="120" w:line="288" w:lineRule="auto"/>
              <w:ind w:left="0"/>
              <w:jc w:val="left"/>
            </w:pPr>
            <w:r>
              <w:rPr>
                <w:rFonts w:ascii="Arial" w:hAnsi="Arial" w:eastAsia="等线" w:cs="Arial"/>
                <w:sz w:val="22"/>
              </w:rPr>
              <w:t>根据订阅类型设置租户的功能限额。这一设置直接影响租户可使用的资源量。</w:t>
            </w:r>
          </w:p>
        </w:tc>
      </w:tr>
      <w:tr w14:paraId="707B72DC">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295" w:type="dxa"/>
            <w:tcMar>
              <w:top w:w="60" w:type="dxa"/>
              <w:left w:w="120" w:type="dxa"/>
              <w:bottom w:w="30" w:type="dxa"/>
              <w:right w:w="120" w:type="dxa"/>
            </w:tcMar>
          </w:tcPr>
          <w:p w14:paraId="1AA6EFD5">
            <w:pPr>
              <w:spacing w:before="120" w:after="120" w:line="288" w:lineRule="auto"/>
              <w:ind w:left="0"/>
              <w:jc w:val="left"/>
            </w:pPr>
            <w:r>
              <w:rPr>
                <w:rFonts w:ascii="Arial" w:hAnsi="Arial" w:eastAsia="等线" w:cs="Arial"/>
                <w:sz w:val="22"/>
              </w:rPr>
              <w:t>成员限制（如坐席管理）</w:t>
            </w:r>
          </w:p>
        </w:tc>
        <w:tc>
          <w:tcPr>
            <w:tcW w:w="5985" w:type="dxa"/>
            <w:tcMar>
              <w:top w:w="60" w:type="dxa"/>
              <w:left w:w="120" w:type="dxa"/>
              <w:bottom w:w="30" w:type="dxa"/>
              <w:right w:w="120" w:type="dxa"/>
            </w:tcMar>
          </w:tcPr>
          <w:p w14:paraId="3101A717">
            <w:pPr>
              <w:spacing w:before="120" w:after="120" w:line="288" w:lineRule="auto"/>
              <w:ind w:left="0"/>
              <w:jc w:val="left"/>
            </w:pPr>
            <w:r>
              <w:rPr>
                <w:rFonts w:ascii="Arial" w:hAnsi="Arial" w:eastAsia="等线" w:cs="Arial"/>
                <w:sz w:val="22"/>
              </w:rPr>
              <w:t>根据订阅类型设置租户的功能限额。这一设置直接影响租户可创建的席位数。</w:t>
            </w:r>
          </w:p>
        </w:tc>
      </w:tr>
      <w:tr w14:paraId="1F6CF4A6">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295" w:type="dxa"/>
            <w:tcMar>
              <w:top w:w="60" w:type="dxa"/>
              <w:left w:w="120" w:type="dxa"/>
              <w:bottom w:w="30" w:type="dxa"/>
              <w:right w:w="120" w:type="dxa"/>
            </w:tcMar>
          </w:tcPr>
          <w:p w14:paraId="5E67221B">
            <w:pPr>
              <w:spacing w:before="120" w:after="120" w:line="288" w:lineRule="auto"/>
              <w:ind w:left="0"/>
              <w:jc w:val="left"/>
            </w:pPr>
            <w:r>
              <w:rPr>
                <w:rFonts w:ascii="Arial" w:hAnsi="Arial" w:eastAsia="等线" w:cs="Arial"/>
                <w:sz w:val="22"/>
              </w:rPr>
              <w:t>沟通方式</w:t>
            </w:r>
          </w:p>
        </w:tc>
        <w:tc>
          <w:tcPr>
            <w:tcW w:w="5985" w:type="dxa"/>
            <w:tcMar>
              <w:top w:w="60" w:type="dxa"/>
              <w:left w:w="120" w:type="dxa"/>
              <w:bottom w:w="30" w:type="dxa"/>
              <w:right w:w="120" w:type="dxa"/>
            </w:tcMar>
          </w:tcPr>
          <w:p w14:paraId="60B5FDD6">
            <w:pPr>
              <w:spacing w:before="120" w:after="120" w:line="288" w:lineRule="auto"/>
              <w:ind w:left="0"/>
              <w:jc w:val="left"/>
            </w:pPr>
            <w:r>
              <w:rPr>
                <w:rFonts w:ascii="Arial" w:hAnsi="Arial" w:eastAsia="等线" w:cs="Arial"/>
                <w:sz w:val="22"/>
              </w:rPr>
              <w:t>提供功能与入口</w:t>
            </w:r>
          </w:p>
        </w:tc>
      </w:tr>
    </w:tbl>
    <w:p w14:paraId="7F9BDBF8">
      <w:pPr>
        <w:spacing w:before="260" w:after="120" w:line="288" w:lineRule="auto"/>
        <w:ind w:left="0"/>
        <w:jc w:val="left"/>
        <w:outlineLvl w:val="3"/>
      </w:pPr>
      <w:bookmarkStart w:id="29" w:name="heading_29"/>
      <w:r>
        <w:rPr>
          <w:rFonts w:ascii="Arial" w:hAnsi="Arial" w:eastAsia="等线" w:cs="Arial"/>
          <w:b/>
          <w:sz w:val="28"/>
        </w:rPr>
        <w:t>决策</w:t>
      </w:r>
      <w:bookmarkEnd w:id="29"/>
    </w:p>
    <w:tbl>
      <w:tblPr>
        <w:tblStyle w:val="2"/>
        <w:tblW w:w="0" w:type="auto"/>
        <w:tblInd w:w="0" w:type="dxa"/>
        <w:tblBorders>
          <w:top w:val="single" w:color="B7EDB1" w:sz="0" w:space="0"/>
          <w:left w:val="single" w:color="B7EDB1" w:sz="0" w:space="0"/>
          <w:bottom w:val="single" w:color="B7EDB1" w:sz="0" w:space="0"/>
          <w:right w:val="single" w:color="B7EDB1" w:sz="0" w:space="0"/>
          <w:insideH w:val="single" w:color="B7EDB1" w:sz="0" w:space="0"/>
          <w:insideV w:val="single" w:color="B7EDB1" w:sz="0" w:space="0"/>
        </w:tblBorders>
        <w:tblLayout w:type="fixed"/>
        <w:tblCellMar>
          <w:top w:w="0" w:type="dxa"/>
          <w:left w:w="10" w:type="dxa"/>
          <w:bottom w:w="0" w:type="dxa"/>
          <w:right w:w="10" w:type="dxa"/>
        </w:tblCellMar>
      </w:tblPr>
      <w:tblGrid>
        <w:gridCol w:w="8280"/>
      </w:tblGrid>
      <w:tr w14:paraId="31EF00F1">
        <w:tblPrEx>
          <w:tblBorders>
            <w:top w:val="single" w:color="B7EDB1" w:sz="0" w:space="0"/>
            <w:left w:val="single" w:color="B7EDB1" w:sz="0" w:space="0"/>
            <w:bottom w:val="single" w:color="B7EDB1" w:sz="0" w:space="0"/>
            <w:right w:val="single" w:color="B7EDB1" w:sz="0" w:space="0"/>
            <w:insideH w:val="single" w:color="B7EDB1" w:sz="0" w:space="0"/>
            <w:insideV w:val="single" w:color="B7EDB1" w:sz="0" w:space="0"/>
          </w:tblBorders>
          <w:tblCellMar>
            <w:top w:w="0" w:type="dxa"/>
            <w:left w:w="10" w:type="dxa"/>
            <w:bottom w:w="0" w:type="dxa"/>
            <w:right w:w="10" w:type="dxa"/>
          </w:tblCellMar>
        </w:tblPrEx>
        <w:tc>
          <w:tcPr>
            <w:tcW w:w="8280" w:type="dxa"/>
            <w:shd w:val="clear" w:color="auto" w:fill="F0FBEF"/>
            <w:tcMar>
              <w:top w:w="60" w:type="dxa"/>
              <w:left w:w="120" w:type="dxa"/>
              <w:bottom w:w="30" w:type="dxa"/>
              <w:right w:w="120" w:type="dxa"/>
            </w:tcMar>
          </w:tcPr>
          <w:p w14:paraId="663F25B1">
            <w:pPr>
              <w:spacing w:before="120" w:after="120" w:line="288" w:lineRule="auto"/>
              <w:ind w:left="0"/>
              <w:jc w:val="left"/>
            </w:pPr>
            <w:r>
              <w:rPr>
                <w:rFonts w:ascii="Arial" w:hAnsi="Arial" w:eastAsia="等线" w:cs="Arial"/>
                <w:sz w:val="22"/>
              </w:rPr>
              <w:t>为了高效地管理系统功能，我们计划在租户管理中引入三个关键层级的控制机制：</w:t>
            </w:r>
            <w:r>
              <w:rPr>
                <w:rFonts w:ascii="Arial" w:hAnsi="Arial" w:eastAsia="等线" w:cs="Arial"/>
                <w:sz w:val="22"/>
                <w:shd w:val="clear" w:fill="B7EDB1"/>
              </w:rPr>
              <w:t>模块开关、功能开关以及功能限额</w:t>
            </w:r>
            <w:r>
              <w:rPr>
                <w:rFonts w:ascii="Arial" w:hAnsi="Arial" w:eastAsia="等线" w:cs="Arial"/>
                <w:sz w:val="22"/>
              </w:rPr>
              <w:t>。此外，面向系统内各种订阅版本（例如个人版、企业版等），我们将设计一系列可编辑的版本模板。这些模板将在租户初始化时进行配置（Provisioning），以此确保各版本在功能可用性和资源使用上均符合其特定的服务协议和用户需求。</w:t>
            </w:r>
          </w:p>
        </w:tc>
      </w:tr>
    </w:tbl>
    <w:p w14:paraId="59652999">
      <w:pPr>
        <w:spacing w:before="120" w:after="120" w:line="288" w:lineRule="auto"/>
        <w:ind w:left="0"/>
        <w:jc w:val="left"/>
      </w:pPr>
    </w:p>
    <w:p w14:paraId="4D5D7A3F">
      <w:pPr>
        <w:spacing w:before="320" w:after="120" w:line="288" w:lineRule="auto"/>
        <w:ind w:left="0"/>
        <w:jc w:val="left"/>
        <w:outlineLvl w:val="1"/>
      </w:pPr>
      <w:bookmarkStart w:id="30" w:name="heading_30"/>
      <w:r>
        <w:rPr>
          <w:rFonts w:ascii="Arial" w:hAnsi="Arial" w:eastAsia="等线" w:cs="Arial"/>
          <w:b/>
          <w:sz w:val="32"/>
        </w:rPr>
        <w:t>组件设计</w:t>
      </w:r>
      <w:bookmarkEnd w:id="30"/>
    </w:p>
    <w:p w14:paraId="30BB56C0">
      <w:pPr>
        <w:spacing w:before="120" w:after="120" w:line="288" w:lineRule="auto"/>
        <w:ind w:left="0"/>
        <w:jc w:val="center"/>
      </w:pPr>
      <w:r>
        <w:drawing>
          <wp:inline distT="0" distB="0" distL="0" distR="0">
            <wp:extent cx="5257800" cy="3200400"/>
            <wp:effectExtent l="0" t="0" r="0" b="0"/>
            <wp:docPr id="3" name="Draw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pic:cNvPicPr>
                      <a:picLocks noChangeAspect="1"/>
                    </pic:cNvPicPr>
                  </pic:nvPicPr>
                  <pic:blipFill>
                    <a:blip r:embed="rId8"/>
                    <a:stretch>
                      <a:fillRect/>
                    </a:stretch>
                  </pic:blipFill>
                  <pic:spPr>
                    <a:xfrm>
                      <a:off x="0" y="0"/>
                      <a:ext cx="5257800" cy="3200400"/>
                    </a:xfrm>
                    <a:prstGeom prst="rect">
                      <a:avLst/>
                    </a:prstGeom>
                  </pic:spPr>
                </pic:pic>
              </a:graphicData>
            </a:graphic>
          </wp:inline>
        </w:drawing>
      </w:r>
    </w:p>
    <w:p w14:paraId="35571B1E">
      <w:pPr>
        <w:spacing w:before="300" w:after="120" w:line="288" w:lineRule="auto"/>
        <w:ind w:left="0"/>
        <w:jc w:val="left"/>
        <w:outlineLvl w:val="2"/>
      </w:pPr>
      <w:bookmarkStart w:id="31" w:name="heading_31"/>
      <w:r>
        <w:rPr>
          <w:rFonts w:ascii="Arial" w:hAnsi="Arial" w:eastAsia="等线" w:cs="Arial"/>
          <w:b/>
          <w:sz w:val="30"/>
        </w:rPr>
        <w:t>Foundation 服务组件设计</w:t>
      </w:r>
      <w:bookmarkEnd w:id="31"/>
    </w:p>
    <w:p w14:paraId="00ECBFA2">
      <w:pPr>
        <w:spacing w:before="120" w:after="120" w:line="288" w:lineRule="auto"/>
        <w:ind w:left="0"/>
        <w:jc w:val="left"/>
      </w:pPr>
      <w:r>
        <w:rPr>
          <w:rFonts w:ascii="Arial" w:hAnsi="Arial" w:eastAsia="等线" w:cs="Arial"/>
          <w:sz w:val="22"/>
        </w:rPr>
        <w:t>Foundation 服务作为系统的核心支撑组件，担负着以下关键功能：</w:t>
      </w:r>
    </w:p>
    <w:p w14:paraId="614AD8C6">
      <w:pPr>
        <w:numPr>
          <w:ilvl w:val="0"/>
          <w:numId w:val="78"/>
        </w:numPr>
        <w:spacing w:before="120" w:after="120" w:line="288" w:lineRule="auto"/>
        <w:ind w:left="0"/>
        <w:jc w:val="left"/>
      </w:pPr>
      <w:r>
        <w:rPr>
          <w:rFonts w:ascii="Arial" w:hAnsi="Arial" w:eastAsia="等线" w:cs="Arial"/>
          <w:sz w:val="22"/>
        </w:rPr>
        <w:t>租户管理：</w:t>
      </w:r>
    </w:p>
    <w:p w14:paraId="09E526F4">
      <w:pPr>
        <w:numPr>
          <w:ilvl w:val="0"/>
          <w:numId w:val="79"/>
        </w:numPr>
        <w:spacing w:before="120" w:after="120" w:line="288" w:lineRule="auto"/>
        <w:ind w:left="453"/>
        <w:jc w:val="left"/>
      </w:pPr>
      <w:r>
        <w:rPr>
          <w:rFonts w:ascii="Arial" w:hAnsi="Arial" w:eastAsia="等线" w:cs="Arial"/>
          <w:sz w:val="22"/>
        </w:rPr>
        <w:t>实现租户模型（Server层），提供租户数据结构和逻辑。</w:t>
      </w:r>
    </w:p>
    <w:p w14:paraId="6CF040C9">
      <w:pPr>
        <w:numPr>
          <w:ilvl w:val="0"/>
          <w:numId w:val="80"/>
        </w:numPr>
        <w:spacing w:before="120" w:after="120" w:line="288" w:lineRule="auto"/>
        <w:ind w:left="453"/>
        <w:jc w:val="left"/>
      </w:pPr>
      <w:r>
        <w:rPr>
          <w:rFonts w:ascii="Arial" w:hAnsi="Arial" w:eastAsia="等线" w:cs="Arial"/>
          <w:sz w:val="22"/>
        </w:rPr>
        <w:t>承担租户管理职责（Server层），处理租户的创建、更新和删除。</w:t>
      </w:r>
    </w:p>
    <w:p w14:paraId="66160CCF">
      <w:pPr>
        <w:numPr>
          <w:ilvl w:val="0"/>
          <w:numId w:val="81"/>
        </w:numPr>
        <w:spacing w:before="120" w:after="120" w:line="288" w:lineRule="auto"/>
        <w:ind w:left="453"/>
        <w:jc w:val="left"/>
      </w:pPr>
      <w:r>
        <w:rPr>
          <w:rFonts w:ascii="Arial" w:hAnsi="Arial" w:eastAsia="等线" w:cs="Arial"/>
          <w:sz w:val="22"/>
        </w:rPr>
        <w:t>负责租户的provisioning过程（Server层），确保租户初始化和配置。</w:t>
      </w:r>
    </w:p>
    <w:p w14:paraId="1A54594B">
      <w:pPr>
        <w:numPr>
          <w:ilvl w:val="0"/>
          <w:numId w:val="82"/>
        </w:numPr>
        <w:spacing w:before="120" w:after="120" w:line="288" w:lineRule="auto"/>
        <w:ind w:left="453"/>
        <w:jc w:val="left"/>
      </w:pPr>
      <w:r>
        <w:rPr>
          <w:rFonts w:ascii="Arial" w:hAnsi="Arial" w:eastAsia="等线" w:cs="Arial"/>
          <w:sz w:val="22"/>
        </w:rPr>
        <w:t>提供运行时租户隔离的库（Lib层），支持上层服务在运行时实现租户隔离。</w:t>
      </w:r>
    </w:p>
    <w:p w14:paraId="324A1A00">
      <w:pPr>
        <w:numPr>
          <w:ilvl w:val="0"/>
          <w:numId w:val="83"/>
        </w:numPr>
        <w:spacing w:before="120" w:after="120" w:line="288" w:lineRule="auto"/>
        <w:ind w:left="0"/>
        <w:jc w:val="left"/>
      </w:pPr>
      <w:r>
        <w:rPr>
          <w:rFonts w:ascii="Arial" w:hAnsi="Arial" w:eastAsia="等线" w:cs="Arial"/>
          <w:sz w:val="22"/>
        </w:rPr>
        <w:t>模块与功能管理：</w:t>
      </w:r>
    </w:p>
    <w:p w14:paraId="3D93937E">
      <w:pPr>
        <w:numPr>
          <w:ilvl w:val="0"/>
          <w:numId w:val="84"/>
        </w:numPr>
        <w:spacing w:before="120" w:after="120" w:line="288" w:lineRule="auto"/>
        <w:ind w:left="453"/>
        <w:jc w:val="left"/>
      </w:pPr>
      <w:r>
        <w:rPr>
          <w:rFonts w:ascii="Arial" w:hAnsi="Arial" w:eastAsia="等线" w:cs="Arial"/>
          <w:sz w:val="22"/>
        </w:rPr>
        <w:t>维护模块与功能管理模型（Server层），定义模块和功能的数据结构。</w:t>
      </w:r>
    </w:p>
    <w:p w14:paraId="1DC27F8E">
      <w:pPr>
        <w:numPr>
          <w:ilvl w:val="0"/>
          <w:numId w:val="85"/>
        </w:numPr>
        <w:spacing w:before="120" w:after="120" w:line="288" w:lineRule="auto"/>
        <w:ind w:left="453"/>
        <w:jc w:val="left"/>
      </w:pPr>
      <w:r>
        <w:rPr>
          <w:rFonts w:ascii="Arial" w:hAnsi="Arial" w:eastAsia="等线" w:cs="Arial"/>
          <w:sz w:val="22"/>
        </w:rPr>
        <w:t>提供运行时模块开关的库（Lib层），用于控制模块的激活与禁用。</w:t>
      </w:r>
    </w:p>
    <w:p w14:paraId="2292418A">
      <w:pPr>
        <w:numPr>
          <w:ilvl w:val="0"/>
          <w:numId w:val="86"/>
        </w:numPr>
        <w:spacing w:before="120" w:after="120" w:line="288" w:lineRule="auto"/>
        <w:ind w:left="453"/>
        <w:jc w:val="left"/>
      </w:pPr>
      <w:r>
        <w:rPr>
          <w:rFonts w:ascii="Arial" w:hAnsi="Arial" w:eastAsia="等线" w:cs="Arial"/>
          <w:sz w:val="22"/>
        </w:rPr>
        <w:t>提供运行时功能开关的库（Lib层），用于管理功能级别的访问控制。</w:t>
      </w:r>
    </w:p>
    <w:p w14:paraId="2404B285">
      <w:pPr>
        <w:numPr>
          <w:ilvl w:val="0"/>
          <w:numId w:val="87"/>
        </w:numPr>
        <w:spacing w:before="120" w:after="120" w:line="288" w:lineRule="auto"/>
        <w:ind w:left="453"/>
        <w:jc w:val="left"/>
      </w:pPr>
      <w:r>
        <w:rPr>
          <w:rFonts w:ascii="Arial" w:hAnsi="Arial" w:eastAsia="等线" w:cs="Arial"/>
          <w:sz w:val="22"/>
        </w:rPr>
        <w:t>提供运行时功能限制的库（Lib层），用于实施功能的使用限额。</w:t>
      </w:r>
    </w:p>
    <w:p w14:paraId="1264D370">
      <w:pPr>
        <w:numPr>
          <w:ilvl w:val="0"/>
          <w:numId w:val="88"/>
        </w:numPr>
        <w:spacing w:before="120" w:after="120" w:line="288" w:lineRule="auto"/>
        <w:ind w:left="0"/>
        <w:jc w:val="left"/>
      </w:pPr>
      <w:r>
        <w:rPr>
          <w:rFonts w:ascii="Arial" w:hAnsi="Arial" w:eastAsia="等线" w:cs="Arial"/>
          <w:sz w:val="22"/>
        </w:rPr>
        <w:t>订阅管理：</w:t>
      </w:r>
    </w:p>
    <w:p w14:paraId="4F747A97">
      <w:pPr>
        <w:numPr>
          <w:ilvl w:val="0"/>
          <w:numId w:val="89"/>
        </w:numPr>
        <w:spacing w:before="120" w:after="120" w:line="288" w:lineRule="auto"/>
        <w:ind w:left="453"/>
        <w:jc w:val="left"/>
      </w:pPr>
      <w:r>
        <w:rPr>
          <w:rFonts w:ascii="Arial" w:hAnsi="Arial" w:eastAsia="等线" w:cs="Arial"/>
          <w:sz w:val="22"/>
        </w:rPr>
        <w:t>构建订阅模型（Server层），用于管理订阅计划的数据结构。</w:t>
      </w:r>
    </w:p>
    <w:p w14:paraId="2C8C6974">
      <w:pPr>
        <w:numPr>
          <w:ilvl w:val="0"/>
          <w:numId w:val="90"/>
        </w:numPr>
        <w:spacing w:before="120" w:after="120" w:line="288" w:lineRule="auto"/>
        <w:ind w:left="453"/>
        <w:jc w:val="left"/>
      </w:pPr>
      <w:r>
        <w:rPr>
          <w:rFonts w:ascii="Arial" w:hAnsi="Arial" w:eastAsia="等线" w:cs="Arial"/>
          <w:sz w:val="22"/>
        </w:rPr>
        <w:t>实施订阅管理功能（Server层），包括订阅计划的创建和更新。</w:t>
      </w:r>
    </w:p>
    <w:p w14:paraId="5A522BBC">
      <w:pPr>
        <w:numPr>
          <w:ilvl w:val="0"/>
          <w:numId w:val="91"/>
        </w:numPr>
        <w:spacing w:before="120" w:after="120" w:line="288" w:lineRule="auto"/>
        <w:ind w:left="453"/>
        <w:jc w:val="left"/>
      </w:pPr>
      <w:r>
        <w:rPr>
          <w:rFonts w:ascii="Arial" w:hAnsi="Arial" w:eastAsia="等线" w:cs="Arial"/>
          <w:sz w:val="22"/>
        </w:rPr>
        <w:t>管理租户的订阅变更（Server层），处理订阅升级、降级和变更。</w:t>
      </w:r>
    </w:p>
    <w:p w14:paraId="20EDAB0D">
      <w:pPr>
        <w:spacing w:before="300" w:after="120" w:line="288" w:lineRule="auto"/>
        <w:ind w:left="0"/>
        <w:jc w:val="left"/>
        <w:outlineLvl w:val="2"/>
      </w:pPr>
      <w:bookmarkStart w:id="32" w:name="heading_32"/>
      <w:r>
        <w:rPr>
          <w:rFonts w:ascii="Arial" w:hAnsi="Arial" w:eastAsia="等线" w:cs="Arial"/>
          <w:b/>
          <w:sz w:val="30"/>
        </w:rPr>
        <w:t>Platform 服务组件</w:t>
      </w:r>
      <w:bookmarkEnd w:id="32"/>
    </w:p>
    <w:p w14:paraId="2E62CB4E">
      <w:pPr>
        <w:spacing w:before="120" w:after="120" w:line="288" w:lineRule="auto"/>
        <w:ind w:left="0"/>
        <w:jc w:val="left"/>
      </w:pPr>
      <w:r>
        <w:rPr>
          <w:rFonts w:ascii="Arial" w:hAnsi="Arial" w:eastAsia="等线" w:cs="Arial"/>
          <w:sz w:val="22"/>
        </w:rPr>
        <w:t>Platform 服务利用 Foundation 提供的库（Lib），负责管理租户的上下文信息。</w:t>
      </w:r>
    </w:p>
    <w:p w14:paraId="574D5107">
      <w:pPr>
        <w:spacing w:before="300" w:after="120" w:line="288" w:lineRule="auto"/>
        <w:ind w:left="0"/>
        <w:jc w:val="left"/>
        <w:outlineLvl w:val="2"/>
      </w:pPr>
      <w:bookmarkStart w:id="33" w:name="heading_33"/>
      <w:r>
        <w:rPr>
          <w:rFonts w:ascii="Arial" w:hAnsi="Arial" w:eastAsia="等线" w:cs="Arial"/>
          <w:b/>
          <w:sz w:val="30"/>
        </w:rPr>
        <w:t>Application 服务组件</w:t>
      </w:r>
      <w:bookmarkEnd w:id="33"/>
    </w:p>
    <w:p w14:paraId="1F04EA33">
      <w:pPr>
        <w:spacing w:before="120" w:after="120" w:line="288" w:lineRule="auto"/>
        <w:ind w:left="0"/>
        <w:jc w:val="left"/>
      </w:pPr>
      <w:r>
        <w:rPr>
          <w:rFonts w:ascii="Arial" w:hAnsi="Arial" w:eastAsia="等线" w:cs="Arial"/>
          <w:sz w:val="22"/>
        </w:rPr>
        <w:t>Application 服务同样使用 Foundation 提供的库，以确保在应用层面上正确管理租户上下文。</w:t>
      </w:r>
    </w:p>
    <w:p w14:paraId="6DAED85D">
      <w:pPr>
        <w:spacing w:before="300" w:after="120" w:line="288" w:lineRule="auto"/>
        <w:ind w:left="0"/>
        <w:jc w:val="left"/>
        <w:outlineLvl w:val="2"/>
      </w:pPr>
      <w:bookmarkStart w:id="34" w:name="heading_34"/>
      <w:r>
        <w:rPr>
          <w:rFonts w:ascii="Arial" w:hAnsi="Arial" w:eastAsia="等线" w:cs="Arial"/>
          <w:b/>
          <w:sz w:val="30"/>
        </w:rPr>
        <w:t>Agw 服务组件</w:t>
      </w:r>
      <w:bookmarkEnd w:id="34"/>
    </w:p>
    <w:p w14:paraId="4BEA1B77">
      <w:pPr>
        <w:spacing w:before="120" w:after="120" w:line="288" w:lineRule="auto"/>
        <w:ind w:left="0"/>
        <w:jc w:val="left"/>
      </w:pPr>
      <w:r>
        <w:rPr>
          <w:rFonts w:ascii="Arial" w:hAnsi="Arial" w:eastAsia="等线" w:cs="Arial"/>
          <w:sz w:val="22"/>
        </w:rPr>
        <w:t>Agw 服务使用Foundation 提供的Lib，负责以下任务：</w:t>
      </w:r>
    </w:p>
    <w:p w14:paraId="3BE81441">
      <w:pPr>
        <w:numPr>
          <w:ilvl w:val="0"/>
          <w:numId w:val="92"/>
        </w:numPr>
        <w:spacing w:before="120" w:after="120" w:line="288" w:lineRule="auto"/>
        <w:ind w:left="0"/>
        <w:jc w:val="left"/>
      </w:pPr>
      <w:r>
        <w:rPr>
          <w:rFonts w:ascii="Arial" w:hAnsi="Arial" w:eastAsia="等线" w:cs="Arial"/>
          <w:sz w:val="22"/>
        </w:rPr>
        <w:t>管理租户上下文。</w:t>
      </w:r>
    </w:p>
    <w:p w14:paraId="59AF548A">
      <w:pPr>
        <w:numPr>
          <w:ilvl w:val="0"/>
          <w:numId w:val="93"/>
        </w:numPr>
        <w:spacing w:before="120" w:after="120" w:line="288" w:lineRule="auto"/>
        <w:ind w:left="0"/>
        <w:jc w:val="left"/>
      </w:pPr>
      <w:r>
        <w:rPr>
          <w:rFonts w:ascii="Arial" w:hAnsi="Arial" w:eastAsia="等线" w:cs="Arial"/>
          <w:sz w:val="22"/>
        </w:rPr>
        <w:t>控制模块开关上下文，确保正确的模块可用性。</w:t>
      </w:r>
    </w:p>
    <w:p w14:paraId="4E42E6C9">
      <w:pPr>
        <w:numPr>
          <w:ilvl w:val="0"/>
          <w:numId w:val="94"/>
        </w:numPr>
        <w:spacing w:before="120" w:after="120" w:line="288" w:lineRule="auto"/>
        <w:ind w:left="0"/>
        <w:jc w:val="left"/>
      </w:pPr>
      <w:r>
        <w:rPr>
          <w:rFonts w:ascii="Arial" w:hAnsi="Arial" w:eastAsia="等线" w:cs="Arial"/>
          <w:sz w:val="22"/>
        </w:rPr>
        <w:t>管理功能开关上下文，实施功能级别的访问控制。</w:t>
      </w:r>
    </w:p>
    <w:p w14:paraId="4592D26C">
      <w:pPr>
        <w:numPr>
          <w:ilvl w:val="0"/>
          <w:numId w:val="95"/>
        </w:numPr>
        <w:spacing w:before="120" w:after="120" w:line="288" w:lineRule="auto"/>
        <w:ind w:left="0"/>
        <w:jc w:val="left"/>
      </w:pPr>
      <w:r>
        <w:rPr>
          <w:rFonts w:ascii="Arial" w:hAnsi="Arial" w:eastAsia="等线" w:cs="Arial"/>
          <w:sz w:val="22"/>
        </w:rPr>
        <w:t>实施功能限制上下文，确保功能使用符合预定限额。</w:t>
      </w:r>
    </w:p>
    <w:p w14:paraId="35EDD38D">
      <w:pPr>
        <w:spacing w:before="120" w:after="120" w:line="288" w:lineRule="auto"/>
        <w:ind w:left="0"/>
        <w:jc w:val="left"/>
      </w:pPr>
    </w:p>
    <w:p w14:paraId="231369B0">
      <w:pPr>
        <w:spacing w:before="320" w:after="120" w:line="288" w:lineRule="auto"/>
        <w:ind w:left="0"/>
        <w:jc w:val="left"/>
        <w:outlineLvl w:val="1"/>
      </w:pPr>
      <w:bookmarkStart w:id="35" w:name="heading_35"/>
      <w:r>
        <w:rPr>
          <w:rFonts w:ascii="Arial" w:hAnsi="Arial" w:eastAsia="等线" w:cs="Arial"/>
          <w:b/>
          <w:sz w:val="32"/>
        </w:rPr>
        <w:t>数据模型设计</w:t>
      </w:r>
      <w:bookmarkEnd w:id="35"/>
    </w:p>
    <w:p w14:paraId="10E9BF46">
      <w:pPr>
        <w:spacing w:before="120" w:after="120" w:line="288" w:lineRule="auto"/>
        <w:ind w:left="0"/>
        <w:jc w:val="center"/>
      </w:pPr>
      <w:r>
        <w:drawing>
          <wp:inline distT="0" distB="0" distL="0" distR="0">
            <wp:extent cx="5257800" cy="3524250"/>
            <wp:effectExtent l="0" t="0" r="0" b="11430"/>
            <wp:docPr id="4" name="Draw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pic:cNvPicPr>
                      <a:picLocks noChangeAspect="1"/>
                    </pic:cNvPicPr>
                  </pic:nvPicPr>
                  <pic:blipFill>
                    <a:blip r:embed="rId9"/>
                    <a:stretch>
                      <a:fillRect/>
                    </a:stretch>
                  </pic:blipFill>
                  <pic:spPr>
                    <a:xfrm>
                      <a:off x="0" y="0"/>
                      <a:ext cx="5257800" cy="3524250"/>
                    </a:xfrm>
                    <a:prstGeom prst="rect">
                      <a:avLst/>
                    </a:prstGeom>
                  </pic:spPr>
                </pic:pic>
              </a:graphicData>
            </a:graphic>
          </wp:inline>
        </w:drawing>
      </w:r>
    </w:p>
    <w:p w14:paraId="11B55DE6">
      <w:pPr>
        <w:spacing w:before="120" w:after="120" w:line="288" w:lineRule="auto"/>
        <w:ind w:left="0"/>
        <w:jc w:val="left"/>
      </w:pPr>
    </w:p>
    <w:p w14:paraId="08A79660">
      <w:pPr>
        <w:spacing w:before="320" w:after="120" w:line="288" w:lineRule="auto"/>
        <w:ind w:left="0"/>
        <w:jc w:val="left"/>
        <w:outlineLvl w:val="1"/>
      </w:pPr>
      <w:bookmarkStart w:id="36" w:name="heading_36"/>
      <w:r>
        <w:rPr>
          <w:rFonts w:ascii="Arial" w:hAnsi="Arial" w:eastAsia="等线" w:cs="Arial"/>
          <w:b/>
          <w:sz w:val="32"/>
        </w:rPr>
        <w:t>安全性考虑</w:t>
      </w:r>
      <w:bookmarkEnd w:id="36"/>
    </w:p>
    <w:p w14:paraId="65447433">
      <w:pPr>
        <w:spacing w:before="300" w:after="120" w:line="288" w:lineRule="auto"/>
        <w:ind w:left="0"/>
        <w:jc w:val="left"/>
        <w:outlineLvl w:val="2"/>
      </w:pPr>
      <w:bookmarkStart w:id="37" w:name="heading_37"/>
      <w:r>
        <w:rPr>
          <w:rFonts w:ascii="Arial" w:hAnsi="Arial" w:eastAsia="等线" w:cs="Arial"/>
          <w:b/>
          <w:sz w:val="30"/>
        </w:rPr>
        <w:t>租户id生成机制</w:t>
      </w:r>
      <w:bookmarkEnd w:id="37"/>
    </w:p>
    <w:tbl>
      <w:tblPr>
        <w:tblStyle w:val="2"/>
        <w:tblW w:w="0" w:type="auto"/>
        <w:tblInd w:w="0" w:type="dxa"/>
        <w:tblBorders>
          <w:top w:val="single" w:color="B7EDB1" w:sz="0" w:space="0"/>
          <w:left w:val="single" w:color="B7EDB1" w:sz="0" w:space="0"/>
          <w:bottom w:val="single" w:color="B7EDB1" w:sz="0" w:space="0"/>
          <w:right w:val="single" w:color="B7EDB1" w:sz="0" w:space="0"/>
          <w:insideH w:val="single" w:color="B7EDB1" w:sz="0" w:space="0"/>
          <w:insideV w:val="single" w:color="B7EDB1" w:sz="0" w:space="0"/>
        </w:tblBorders>
        <w:tblLayout w:type="fixed"/>
        <w:tblCellMar>
          <w:top w:w="0" w:type="dxa"/>
          <w:left w:w="10" w:type="dxa"/>
          <w:bottom w:w="0" w:type="dxa"/>
          <w:right w:w="10" w:type="dxa"/>
        </w:tblCellMar>
      </w:tblPr>
      <w:tblGrid>
        <w:gridCol w:w="8280"/>
      </w:tblGrid>
      <w:tr w14:paraId="27C4F8ED">
        <w:tblPrEx>
          <w:tblBorders>
            <w:top w:val="single" w:color="B7EDB1" w:sz="0" w:space="0"/>
            <w:left w:val="single" w:color="B7EDB1" w:sz="0" w:space="0"/>
            <w:bottom w:val="single" w:color="B7EDB1" w:sz="0" w:space="0"/>
            <w:right w:val="single" w:color="B7EDB1" w:sz="0" w:space="0"/>
            <w:insideH w:val="single" w:color="B7EDB1" w:sz="0" w:space="0"/>
            <w:insideV w:val="single" w:color="B7EDB1" w:sz="0" w:space="0"/>
          </w:tblBorders>
          <w:tblCellMar>
            <w:top w:w="0" w:type="dxa"/>
            <w:left w:w="10" w:type="dxa"/>
            <w:bottom w:w="0" w:type="dxa"/>
            <w:right w:w="10" w:type="dxa"/>
          </w:tblCellMar>
        </w:tblPrEx>
        <w:tc>
          <w:tcPr>
            <w:tcW w:w="8280" w:type="dxa"/>
            <w:shd w:val="clear" w:color="auto" w:fill="F0FBEF"/>
            <w:tcMar>
              <w:top w:w="60" w:type="dxa"/>
              <w:left w:w="120" w:type="dxa"/>
              <w:bottom w:w="30" w:type="dxa"/>
              <w:right w:w="120" w:type="dxa"/>
            </w:tcMar>
          </w:tcPr>
          <w:p w14:paraId="3D2D0FF7">
            <w:pPr>
              <w:spacing w:before="120" w:after="120" w:line="288" w:lineRule="auto"/>
              <w:ind w:left="0"/>
              <w:jc w:val="left"/>
            </w:pPr>
            <w:r>
              <w:rPr>
                <w:rFonts w:ascii="Arial" w:hAnsi="Arial" w:eastAsia="等线" w:cs="Arial"/>
                <w:sz w:val="22"/>
              </w:rPr>
              <w:t>采用非连续的ID生成策略，避免使用连续数字序列。这种方法可以减少可预测性，增加系统的安全性。</w:t>
            </w:r>
          </w:p>
        </w:tc>
      </w:tr>
    </w:tbl>
    <w:p w14:paraId="7A612F0F">
      <w:pPr>
        <w:spacing w:before="300" w:after="120" w:line="288" w:lineRule="auto"/>
        <w:ind w:left="0"/>
        <w:jc w:val="left"/>
        <w:outlineLvl w:val="2"/>
      </w:pPr>
      <w:bookmarkStart w:id="38" w:name="heading_38"/>
      <w:r>
        <w:rPr>
          <w:rFonts w:ascii="Arial" w:hAnsi="Arial" w:eastAsia="等线" w:cs="Arial"/>
          <w:b/>
          <w:sz w:val="30"/>
        </w:rPr>
        <w:t>租户id保护机制</w:t>
      </w:r>
      <w:bookmarkEnd w:id="38"/>
    </w:p>
    <w:tbl>
      <w:tblPr>
        <w:tblStyle w:val="2"/>
        <w:tblW w:w="0" w:type="auto"/>
        <w:tblInd w:w="0" w:type="dxa"/>
        <w:tblBorders>
          <w:top w:val="single" w:color="B7EDB1" w:sz="0" w:space="0"/>
          <w:left w:val="single" w:color="B7EDB1" w:sz="0" w:space="0"/>
          <w:bottom w:val="single" w:color="B7EDB1" w:sz="0" w:space="0"/>
          <w:right w:val="single" w:color="B7EDB1" w:sz="0" w:space="0"/>
          <w:insideH w:val="single" w:color="B7EDB1" w:sz="0" w:space="0"/>
          <w:insideV w:val="single" w:color="B7EDB1" w:sz="0" w:space="0"/>
        </w:tblBorders>
        <w:tblLayout w:type="fixed"/>
        <w:tblCellMar>
          <w:top w:w="0" w:type="dxa"/>
          <w:left w:w="10" w:type="dxa"/>
          <w:bottom w:w="0" w:type="dxa"/>
          <w:right w:w="10" w:type="dxa"/>
        </w:tblCellMar>
      </w:tblPr>
      <w:tblGrid>
        <w:gridCol w:w="8280"/>
      </w:tblGrid>
      <w:tr w14:paraId="048B948E">
        <w:tblPrEx>
          <w:tblBorders>
            <w:top w:val="single" w:color="B7EDB1" w:sz="0" w:space="0"/>
            <w:left w:val="single" w:color="B7EDB1" w:sz="0" w:space="0"/>
            <w:bottom w:val="single" w:color="B7EDB1" w:sz="0" w:space="0"/>
            <w:right w:val="single" w:color="B7EDB1" w:sz="0" w:space="0"/>
            <w:insideH w:val="single" w:color="B7EDB1" w:sz="0" w:space="0"/>
            <w:insideV w:val="single" w:color="B7EDB1" w:sz="0" w:space="0"/>
          </w:tblBorders>
          <w:tblCellMar>
            <w:top w:w="0" w:type="dxa"/>
            <w:left w:w="10" w:type="dxa"/>
            <w:bottom w:w="0" w:type="dxa"/>
            <w:right w:w="10" w:type="dxa"/>
          </w:tblCellMar>
        </w:tblPrEx>
        <w:tc>
          <w:tcPr>
            <w:tcW w:w="8280" w:type="dxa"/>
            <w:shd w:val="clear" w:color="auto" w:fill="F0FBEF"/>
            <w:tcMar>
              <w:top w:w="60" w:type="dxa"/>
              <w:left w:w="120" w:type="dxa"/>
              <w:bottom w:w="30" w:type="dxa"/>
              <w:right w:w="120" w:type="dxa"/>
            </w:tcMar>
          </w:tcPr>
          <w:p w14:paraId="67B7EFBB">
            <w:pPr>
              <w:spacing w:before="120" w:after="120" w:line="288" w:lineRule="auto"/>
              <w:ind w:left="0"/>
              <w:jc w:val="left"/>
            </w:pPr>
            <w:r>
              <w:rPr>
                <w:rFonts w:ascii="Arial" w:hAnsi="Arial" w:eastAsia="等线" w:cs="Arial"/>
                <w:sz w:val="22"/>
              </w:rPr>
              <w:t>对于所有外部可见的场合（如用户界面、API调用、集成方或其他外部系统交互），使用加密形式的租户ID，或是另一套id体系。这种加密机制确保在租户ID需要公开时，仍然保持数据的安全性和不可预测性。</w:t>
            </w:r>
          </w:p>
        </w:tc>
      </w:tr>
    </w:tbl>
    <w:p w14:paraId="60BCB4FD">
      <w:pPr>
        <w:spacing w:before="120" w:after="120" w:line="288" w:lineRule="auto"/>
        <w:ind w:left="0"/>
        <w:jc w:val="left"/>
      </w:pPr>
    </w:p>
    <w:p w14:paraId="35FCA160">
      <w:pPr>
        <w:spacing w:before="320" w:after="120" w:line="288" w:lineRule="auto"/>
        <w:ind w:left="0"/>
        <w:jc w:val="left"/>
        <w:outlineLvl w:val="1"/>
      </w:pPr>
      <w:bookmarkStart w:id="39" w:name="heading_39"/>
      <w:r>
        <w:rPr>
          <w:rFonts w:ascii="Arial" w:hAnsi="Arial" w:eastAsia="等线" w:cs="Arial"/>
          <w:b/>
          <w:sz w:val="32"/>
        </w:rPr>
        <w:t>可扩展性与弹性设计</w:t>
      </w:r>
      <w:bookmarkEnd w:id="39"/>
    </w:p>
    <w:p w14:paraId="0AC950D6">
      <w:pPr>
        <w:numPr>
          <w:ilvl w:val="0"/>
          <w:numId w:val="96"/>
        </w:numPr>
        <w:spacing w:before="120" w:after="120" w:line="288" w:lineRule="auto"/>
        <w:ind w:left="0"/>
        <w:jc w:val="left"/>
      </w:pPr>
      <w:r>
        <w:rPr>
          <w:rFonts w:ascii="Arial" w:hAnsi="Arial" w:eastAsia="等线" w:cs="Arial"/>
          <w:sz w:val="22"/>
        </w:rPr>
        <w:t>核心功能集中维护：</w:t>
      </w:r>
    </w:p>
    <w:p w14:paraId="2C347A8C">
      <w:pPr>
        <w:numPr>
          <w:ilvl w:val="0"/>
          <w:numId w:val="97"/>
        </w:numPr>
        <w:spacing w:before="120" w:after="120" w:line="288" w:lineRule="auto"/>
        <w:ind w:left="453"/>
        <w:jc w:val="left"/>
      </w:pPr>
      <w:r>
        <w:rPr>
          <w:rFonts w:ascii="Arial" w:hAnsi="Arial" w:eastAsia="等线" w:cs="Arial"/>
          <w:sz w:val="22"/>
        </w:rPr>
        <w:t>所有主要功能均在 Foundation 服务中维护，确保了功能的集中管理和高效运作。此设计允许后续其他产品能够直接利用这些功能，增强了系统的可复用性和一致性。</w:t>
      </w:r>
    </w:p>
    <w:p w14:paraId="463EDE79">
      <w:pPr>
        <w:numPr>
          <w:ilvl w:val="0"/>
          <w:numId w:val="98"/>
        </w:numPr>
        <w:spacing w:before="120" w:after="120" w:line="288" w:lineRule="auto"/>
        <w:ind w:left="0"/>
        <w:jc w:val="left"/>
      </w:pPr>
      <w:r>
        <w:rPr>
          <w:rFonts w:ascii="Arial" w:hAnsi="Arial" w:eastAsia="等线" w:cs="Arial"/>
          <w:sz w:val="22"/>
        </w:rPr>
        <w:t>无状态服务设计：</w:t>
      </w:r>
    </w:p>
    <w:p w14:paraId="27C87BEA">
      <w:pPr>
        <w:numPr>
          <w:ilvl w:val="0"/>
          <w:numId w:val="99"/>
        </w:numPr>
        <w:spacing w:before="120" w:after="120" w:line="288" w:lineRule="auto"/>
        <w:ind w:left="453"/>
        <w:jc w:val="left"/>
      </w:pPr>
      <w:r>
        <w:rPr>
          <w:rFonts w:ascii="Arial" w:hAnsi="Arial" w:eastAsia="等线" w:cs="Arial"/>
          <w:sz w:val="22"/>
        </w:rPr>
        <w:t>本服务采用无状态设计理念，使其具备优秀的水平扩展能力。这意味着可以根据需求动态增减服务实例，从而在用户负载增加时保持高性能和响应速度。</w:t>
      </w:r>
    </w:p>
    <w:p w14:paraId="42D7FC62">
      <w:pPr>
        <w:numPr>
          <w:ilvl w:val="0"/>
          <w:numId w:val="100"/>
        </w:numPr>
        <w:spacing w:before="120" w:after="120" w:line="288" w:lineRule="auto"/>
        <w:ind w:left="0"/>
        <w:jc w:val="left"/>
      </w:pPr>
      <w:r>
        <w:rPr>
          <w:rFonts w:ascii="Arial" w:hAnsi="Arial" w:eastAsia="等线" w:cs="Arial"/>
          <w:sz w:val="22"/>
        </w:rPr>
        <w:t>并发处理与弹性设计：</w:t>
      </w:r>
    </w:p>
    <w:p w14:paraId="37165CA8">
      <w:pPr>
        <w:numPr>
          <w:ilvl w:val="0"/>
          <w:numId w:val="101"/>
        </w:numPr>
        <w:spacing w:before="120" w:after="120" w:line="288" w:lineRule="auto"/>
        <w:ind w:left="453"/>
        <w:jc w:val="left"/>
      </w:pPr>
      <w:r>
        <w:rPr>
          <w:rFonts w:ascii="Arial" w:hAnsi="Arial" w:eastAsia="等线" w:cs="Arial"/>
          <w:sz w:val="22"/>
        </w:rPr>
        <w:t>鉴于该模块的并发水平预计不会过高，因此我们选择不实施复杂的弹性设计。这种决策有助于保持系统架构的简洁性，同时满足当前的性能需求。</w:t>
      </w:r>
    </w:p>
    <w:p w14:paraId="2353C147">
      <w:pPr>
        <w:spacing w:before="120" w:after="120" w:line="288" w:lineRule="auto"/>
        <w:ind w:left="0"/>
        <w:jc w:val="left"/>
      </w:pPr>
    </w:p>
    <w:p w14:paraId="344C08BE">
      <w:pPr>
        <w:spacing w:before="380" w:after="140" w:line="288" w:lineRule="auto"/>
        <w:ind w:left="0"/>
        <w:jc w:val="left"/>
        <w:outlineLvl w:val="0"/>
      </w:pPr>
      <w:bookmarkStart w:id="40" w:name="heading_40"/>
      <w:r>
        <w:rPr>
          <w:rFonts w:ascii="Arial" w:hAnsi="Arial" w:eastAsia="等线" w:cs="Arial"/>
          <w:b/>
          <w:sz w:val="36"/>
        </w:rPr>
        <w:t>运维策略</w:t>
      </w:r>
      <w:bookmarkEnd w:id="40"/>
    </w:p>
    <w:p w14:paraId="32A15102">
      <w:pPr>
        <w:spacing w:before="320" w:after="120" w:line="288" w:lineRule="auto"/>
        <w:ind w:left="0"/>
        <w:jc w:val="left"/>
        <w:outlineLvl w:val="1"/>
      </w:pPr>
      <w:bookmarkStart w:id="41" w:name="heading_41"/>
      <w:r>
        <w:rPr>
          <w:rFonts w:ascii="Arial" w:hAnsi="Arial" w:eastAsia="等线" w:cs="Arial"/>
          <w:b/>
          <w:sz w:val="32"/>
        </w:rPr>
        <w:t>部署策略</w:t>
      </w:r>
      <w:bookmarkEnd w:id="41"/>
    </w:p>
    <w:p w14:paraId="3B493656">
      <w:pPr>
        <w:spacing w:before="120" w:after="120" w:line="288" w:lineRule="auto"/>
        <w:ind w:left="0"/>
        <w:jc w:val="left"/>
      </w:pPr>
      <w:r>
        <w:rPr>
          <w:rFonts w:ascii="Arial" w:hAnsi="Arial" w:eastAsia="等线" w:cs="Arial"/>
          <w:sz w:val="22"/>
        </w:rPr>
        <w:t>为了确保系统整体的一致性和稳定性，我们将采取</w:t>
      </w:r>
      <w:r>
        <w:rPr>
          <w:rFonts w:ascii="Arial" w:hAnsi="Arial" w:eastAsia="等线" w:cs="Arial"/>
          <w:sz w:val="22"/>
          <w:shd w:val="clear" w:fill="B7EDB1"/>
        </w:rPr>
        <w:t>统一的发版策略</w:t>
      </w:r>
      <w:r>
        <w:rPr>
          <w:rFonts w:ascii="Arial" w:hAnsi="Arial" w:eastAsia="等线" w:cs="Arial"/>
          <w:sz w:val="22"/>
        </w:rPr>
        <w:t>。</w:t>
      </w:r>
      <w:r>
        <w:rPr>
          <w:rFonts w:ascii="Arial" w:hAnsi="Arial" w:eastAsia="等线" w:cs="Arial"/>
          <w:sz w:val="22"/>
          <w:shd w:val="clear" w:fill="B7EDB1"/>
        </w:rPr>
        <w:t>该模块将与系统的其他模块一同进行版本更新和部署</w:t>
      </w:r>
      <w:r>
        <w:rPr>
          <w:rFonts w:ascii="Arial" w:hAnsi="Arial" w:eastAsia="等线" w:cs="Arial"/>
          <w:sz w:val="22"/>
        </w:rPr>
        <w:t>。通过这种同步发版的方法，我们可以确保所有系统组件的兼容性，同时减少由于部署不同步带来的潜在问题。这种策略有助于维持系统的整体性能和可靠性，同时简化维护和升级过程。</w:t>
      </w:r>
    </w:p>
    <w:p w14:paraId="249AEB19">
      <w:pPr>
        <w:spacing w:before="120" w:after="120" w:line="288" w:lineRule="auto"/>
        <w:ind w:left="0"/>
        <w:jc w:val="left"/>
      </w:pPr>
    </w:p>
    <w:p w14:paraId="2D9D6063">
      <w:pPr>
        <w:spacing w:before="320" w:after="120" w:line="288" w:lineRule="auto"/>
        <w:ind w:left="0"/>
        <w:jc w:val="left"/>
        <w:outlineLvl w:val="1"/>
      </w:pPr>
      <w:bookmarkStart w:id="42" w:name="heading_42"/>
      <w:r>
        <w:rPr>
          <w:rFonts w:ascii="Arial" w:hAnsi="Arial" w:eastAsia="等线" w:cs="Arial"/>
          <w:b/>
          <w:sz w:val="32"/>
        </w:rPr>
        <w:t>监控与日志</w:t>
      </w:r>
      <w:bookmarkEnd w:id="42"/>
    </w:p>
    <w:p w14:paraId="0B6E0409">
      <w:pPr>
        <w:spacing w:before="120" w:after="120" w:line="288" w:lineRule="auto"/>
        <w:ind w:left="0"/>
        <w:jc w:val="left"/>
      </w:pPr>
      <w:r>
        <w:rPr>
          <w:rFonts w:ascii="Arial" w:hAnsi="Arial" w:eastAsia="等线" w:cs="Arial"/>
          <w:sz w:val="22"/>
        </w:rPr>
        <w:t>为了确保我们的系统能够实时监控性能并有效地记录关键事件，我们将采用阿里云提供的日志服务作为我们的主要监控和日志记录工具。这项服务将使我们能够：</w:t>
      </w:r>
    </w:p>
    <w:p w14:paraId="57584E56">
      <w:pPr>
        <w:numPr>
          <w:ilvl w:val="0"/>
          <w:numId w:val="102"/>
        </w:numPr>
        <w:spacing w:before="120" w:after="120" w:line="288" w:lineRule="auto"/>
        <w:ind w:left="0"/>
        <w:jc w:val="left"/>
      </w:pPr>
      <w:r>
        <w:rPr>
          <w:rFonts w:ascii="Arial" w:hAnsi="Arial" w:eastAsia="等线" w:cs="Arial"/>
          <w:sz w:val="22"/>
        </w:rPr>
        <w:t>实时监控：持续追踪系统的运行状态和性能指标，及时发现和响应潜在的问题。</w:t>
      </w:r>
    </w:p>
    <w:p w14:paraId="526930A8">
      <w:pPr>
        <w:numPr>
          <w:ilvl w:val="0"/>
          <w:numId w:val="103"/>
        </w:numPr>
        <w:spacing w:before="120" w:after="120" w:line="288" w:lineRule="auto"/>
        <w:ind w:left="0"/>
        <w:jc w:val="left"/>
      </w:pPr>
      <w:r>
        <w:rPr>
          <w:rFonts w:ascii="Arial" w:hAnsi="Arial" w:eastAsia="等线" w:cs="Arial"/>
          <w:sz w:val="22"/>
        </w:rPr>
        <w:t>日志管理：自动收集和存储系统日志，方便进行错误分析、审计和历史数据回溯。</w:t>
      </w:r>
    </w:p>
    <w:p w14:paraId="29C2E8A6">
      <w:pPr>
        <w:numPr>
          <w:ilvl w:val="0"/>
          <w:numId w:val="104"/>
        </w:numPr>
        <w:spacing w:before="120" w:after="120" w:line="288" w:lineRule="auto"/>
        <w:ind w:left="0"/>
        <w:jc w:val="left"/>
      </w:pPr>
      <w:r>
        <w:rPr>
          <w:rFonts w:ascii="Arial" w:hAnsi="Arial" w:eastAsia="等线" w:cs="Arial"/>
          <w:sz w:val="22"/>
        </w:rPr>
        <w:t>故障诊断：利用详细的日志数据快速定位和解决系统问题。</w:t>
      </w:r>
    </w:p>
    <w:p w14:paraId="5D457260">
      <w:pPr>
        <w:numPr>
          <w:ilvl w:val="0"/>
          <w:numId w:val="105"/>
        </w:numPr>
        <w:spacing w:before="120" w:after="120" w:line="288" w:lineRule="auto"/>
        <w:ind w:left="0"/>
        <w:jc w:val="left"/>
      </w:pPr>
      <w:r>
        <w:rPr>
          <w:rFonts w:ascii="Arial" w:hAnsi="Arial" w:eastAsia="等线" w:cs="Arial"/>
          <w:sz w:val="22"/>
        </w:rPr>
        <w:t>性能优化：基于日志分析的见解，持续优化系统性能和用户体验。</w:t>
      </w:r>
    </w:p>
    <w:p w14:paraId="72E5E205">
      <w:pPr>
        <w:spacing w:before="120" w:after="120" w:line="288" w:lineRule="auto"/>
        <w:ind w:left="0"/>
        <w:jc w:val="left"/>
      </w:pPr>
      <w:r>
        <w:rPr>
          <w:rFonts w:ascii="Arial" w:hAnsi="Arial" w:eastAsia="等线" w:cs="Arial"/>
          <w:sz w:val="22"/>
        </w:rPr>
        <w:t>通过整合阿里云的日志服务，我们能够提高系统的透明度和可靠性，同时减轻内部管理的负担，使团队能够专注于核心业务和创新。</w:t>
      </w:r>
    </w:p>
    <w:p w14:paraId="0AC7446E">
      <w:pPr>
        <w:spacing w:before="120" w:after="120" w:line="288" w:lineRule="auto"/>
        <w:ind w:left="0"/>
        <w:jc w:val="left"/>
      </w:pPr>
    </w:p>
    <w:p w14:paraId="5C2C2E41">
      <w:pPr>
        <w:spacing w:before="320" w:after="120" w:line="288" w:lineRule="auto"/>
        <w:ind w:left="0"/>
        <w:jc w:val="left"/>
        <w:outlineLvl w:val="1"/>
      </w:pPr>
      <w:bookmarkStart w:id="43" w:name="heading_43"/>
      <w:r>
        <w:rPr>
          <w:rFonts w:ascii="Arial" w:hAnsi="Arial" w:eastAsia="等线" w:cs="Arial"/>
          <w:b/>
          <w:sz w:val="32"/>
        </w:rPr>
        <w:t>灾难恢复与备份</w:t>
      </w:r>
      <w:bookmarkEnd w:id="43"/>
    </w:p>
    <w:p w14:paraId="1A486793">
      <w:pPr>
        <w:spacing w:before="120" w:after="120" w:line="288" w:lineRule="auto"/>
        <w:ind w:left="0"/>
        <w:jc w:val="left"/>
      </w:pPr>
      <w:r>
        <w:rPr>
          <w:rFonts w:ascii="Arial" w:hAnsi="Arial" w:eastAsia="等线" w:cs="Arial"/>
          <w:sz w:val="22"/>
        </w:rPr>
        <w:t>为了确保我们的系统在面临任何不可预见的事件时都能快速恢复，并保护关键数据免受损失，我们将依赖于云服务提供商的高级恢复与备份能力。这项策略包括：</w:t>
      </w:r>
    </w:p>
    <w:p w14:paraId="0666294A">
      <w:pPr>
        <w:numPr>
          <w:ilvl w:val="0"/>
          <w:numId w:val="106"/>
        </w:numPr>
        <w:spacing w:before="120" w:after="120" w:line="288" w:lineRule="auto"/>
        <w:ind w:left="0"/>
        <w:jc w:val="left"/>
      </w:pPr>
      <w:r>
        <w:rPr>
          <w:rFonts w:ascii="Arial" w:hAnsi="Arial" w:eastAsia="等线" w:cs="Arial"/>
          <w:sz w:val="22"/>
        </w:rPr>
        <w:t>自动化数据备份：定期自动备份所有关键数据，确保数据的完整性和可靠性。</w:t>
      </w:r>
    </w:p>
    <w:p w14:paraId="0190398F">
      <w:pPr>
        <w:numPr>
          <w:ilvl w:val="0"/>
          <w:numId w:val="107"/>
        </w:numPr>
        <w:spacing w:before="120" w:after="120" w:line="288" w:lineRule="auto"/>
        <w:ind w:left="0"/>
        <w:jc w:val="left"/>
      </w:pPr>
      <w:r>
        <w:rPr>
          <w:rFonts w:ascii="Arial" w:hAnsi="Arial" w:eastAsia="等线" w:cs="Arial"/>
          <w:sz w:val="22"/>
        </w:rPr>
        <w:t>灾难恢复能力：在发生系统故障或数据丢失的情况下，能够迅速启动灾难恢复流程，减少业务中断时间。</w:t>
      </w:r>
    </w:p>
    <w:p w14:paraId="0A8C9230">
      <w:pPr>
        <w:spacing w:before="120" w:after="120" w:line="288" w:lineRule="auto"/>
        <w:ind w:left="0"/>
        <w:jc w:val="left"/>
      </w:pPr>
      <w:r>
        <w:rPr>
          <w:rFonts w:ascii="Arial" w:hAnsi="Arial" w:eastAsia="等线" w:cs="Arial"/>
          <w:sz w:val="22"/>
        </w:rPr>
        <w:t>通过整合云服务提供商的备份和恢复解决方案，我们不仅提高了系统的韧性，还确保了即使在极端情况下，也能保障业务连续性和数据安全。</w:t>
      </w:r>
    </w:p>
    <w:p w14:paraId="60BDEB4E">
      <w:pPr>
        <w:spacing w:before="120" w:after="120" w:line="288" w:lineRule="auto"/>
        <w:ind w:left="0"/>
        <w:jc w:val="left"/>
      </w:pPr>
    </w:p>
    <w:p w14:paraId="791894EC">
      <w:pPr>
        <w:spacing w:before="120" w:after="120" w:line="288" w:lineRule="auto"/>
        <w:ind w:left="0"/>
        <w:jc w:val="left"/>
      </w:pPr>
    </w:p>
    <w:p w14:paraId="2F13311A">
      <w:pPr>
        <w:spacing w:before="380" w:after="140" w:line="288" w:lineRule="auto"/>
        <w:ind w:left="0"/>
        <w:jc w:val="left"/>
        <w:outlineLvl w:val="0"/>
      </w:pPr>
      <w:bookmarkStart w:id="44" w:name="heading_44"/>
      <w:r>
        <w:rPr>
          <w:rFonts w:ascii="Arial" w:hAnsi="Arial" w:eastAsia="等线" w:cs="Arial"/>
          <w:b/>
          <w:sz w:val="36"/>
        </w:rPr>
        <w:t>测试策略</w:t>
      </w:r>
      <w:bookmarkEnd w:id="44"/>
    </w:p>
    <w:p w14:paraId="7F0E89D5">
      <w:pPr>
        <w:spacing w:before="300" w:after="120" w:line="288" w:lineRule="auto"/>
        <w:ind w:left="0"/>
        <w:jc w:val="left"/>
        <w:outlineLvl w:val="2"/>
      </w:pPr>
      <w:bookmarkStart w:id="45" w:name="heading_45"/>
      <w:r>
        <w:rPr>
          <w:rFonts w:ascii="Arial" w:hAnsi="Arial" w:eastAsia="等线" w:cs="Arial"/>
          <w:b/>
          <w:sz w:val="30"/>
        </w:rPr>
        <w:t>测试计划</w:t>
      </w:r>
      <w:bookmarkEnd w:id="45"/>
    </w:p>
    <w:p w14:paraId="7AA7BF0A">
      <w:pPr>
        <w:spacing w:before="120" w:after="120" w:line="288" w:lineRule="auto"/>
        <w:ind w:left="0"/>
        <w:jc w:val="left"/>
      </w:pPr>
      <w:r>
        <w:rPr>
          <w:rFonts w:ascii="Arial" w:hAnsi="Arial" w:eastAsia="等线" w:cs="Arial"/>
          <w:sz w:val="22"/>
        </w:rPr>
        <w:t>详细的测试策略和范围将由测试团队在后续阶段确定并补充。这个计划将包括各类测试，旨在全面验证系统的功能、稳定性和用户体验。一旦测试细节确定，将立即进行更新和实施。</w:t>
      </w:r>
    </w:p>
    <w:p w14:paraId="48AD280B">
      <w:pPr>
        <w:spacing w:before="120" w:after="120" w:line="288" w:lineRule="auto"/>
        <w:ind w:left="0"/>
        <w:jc w:val="left"/>
      </w:pPr>
    </w:p>
    <w:p w14:paraId="11245C8E">
      <w:pPr>
        <w:spacing w:before="300" w:after="120" w:line="288" w:lineRule="auto"/>
        <w:ind w:left="0"/>
        <w:jc w:val="left"/>
        <w:outlineLvl w:val="2"/>
      </w:pPr>
      <w:bookmarkStart w:id="46" w:name="heading_46"/>
      <w:r>
        <w:rPr>
          <w:rFonts w:ascii="Arial" w:hAnsi="Arial" w:eastAsia="等线" w:cs="Arial"/>
          <w:b/>
          <w:sz w:val="30"/>
        </w:rPr>
        <w:t>性能测试</w:t>
      </w:r>
      <w:bookmarkEnd w:id="46"/>
    </w:p>
    <w:p w14:paraId="7DF7F7D2">
      <w:pPr>
        <w:spacing w:before="120" w:after="120" w:line="288" w:lineRule="auto"/>
        <w:ind w:left="0"/>
        <w:jc w:val="left"/>
      </w:pPr>
      <w:r>
        <w:rPr>
          <w:rFonts w:ascii="Arial" w:hAnsi="Arial" w:eastAsia="等线" w:cs="Arial"/>
          <w:sz w:val="22"/>
        </w:rPr>
        <w:t>关于性能测试，当前我们的决策是</w:t>
      </w:r>
      <w:r>
        <w:rPr>
          <w:rFonts w:ascii="Arial" w:hAnsi="Arial" w:eastAsia="等线" w:cs="Arial"/>
          <w:sz w:val="22"/>
          <w:shd w:val="clear" w:fill="B7EDB1"/>
        </w:rPr>
        <w:t>暂时不将其列为优先任务</w:t>
      </w:r>
      <w:r>
        <w:rPr>
          <w:rFonts w:ascii="Arial" w:hAnsi="Arial" w:eastAsia="等线" w:cs="Arial"/>
          <w:sz w:val="22"/>
        </w:rPr>
        <w:t>。这一决策基于对当前系统设计、业务需求和资源分配的综合评估。随着项目的发展，我们可能会根据新的业务需求和系统性能指标重新评估并考虑未来实施性能测试。</w:t>
      </w:r>
    </w:p>
    <w:p w14:paraId="26F9F3F9">
      <w:pPr>
        <w:spacing w:before="120" w:after="120" w:line="288" w:lineRule="auto"/>
        <w:ind w:left="0"/>
        <w:jc w:val="left"/>
      </w:pPr>
    </w:p>
    <w:p w14:paraId="625B73C9">
      <w:pPr>
        <w:spacing w:before="120" w:after="120" w:line="288" w:lineRule="auto"/>
        <w:ind w:left="0"/>
        <w:jc w:val="left"/>
      </w:pPr>
    </w:p>
    <w:p w14:paraId="0C9E31F5">
      <w:pPr>
        <w:spacing w:before="380" w:after="140" w:line="288" w:lineRule="auto"/>
        <w:ind w:left="0"/>
        <w:jc w:val="left"/>
        <w:outlineLvl w:val="0"/>
      </w:pPr>
      <w:bookmarkStart w:id="47" w:name="heading_47"/>
      <w:r>
        <w:rPr>
          <w:rFonts w:ascii="Arial" w:hAnsi="Arial" w:eastAsia="等线" w:cs="Arial"/>
          <w:b/>
          <w:sz w:val="36"/>
        </w:rPr>
        <w:t>路线图与里程碑</w:t>
      </w:r>
      <w:bookmarkEnd w:id="47"/>
    </w:p>
    <w:p w14:paraId="54B20F37">
      <w:pPr>
        <w:spacing w:before="320" w:after="120" w:line="288" w:lineRule="auto"/>
        <w:ind w:left="0"/>
        <w:jc w:val="left"/>
        <w:outlineLvl w:val="1"/>
      </w:pPr>
      <w:bookmarkStart w:id="48" w:name="heading_48"/>
      <w:r>
        <w:rPr>
          <w:rFonts w:ascii="Arial" w:hAnsi="Arial" w:eastAsia="等线" w:cs="Arial"/>
          <w:b/>
          <w:sz w:val="32"/>
        </w:rPr>
        <w:t>开发计划</w:t>
      </w:r>
      <w:bookmarkEnd w:id="48"/>
    </w:p>
    <w:p w14:paraId="063C95D5">
      <w:pPr>
        <w:numPr>
          <w:ilvl w:val="0"/>
          <w:numId w:val="108"/>
        </w:numPr>
        <w:spacing w:before="120" w:after="120" w:line="288" w:lineRule="auto"/>
        <w:ind w:left="0"/>
        <w:jc w:val="left"/>
      </w:pPr>
      <w:r>
        <w:rPr>
          <w:rFonts w:ascii="Arial" w:hAnsi="Arial" w:eastAsia="等线" w:cs="Arial"/>
          <w:sz w:val="22"/>
        </w:rPr>
        <w:t>Sprint 6：</w:t>
      </w:r>
    </w:p>
    <w:p w14:paraId="495730EA">
      <w:pPr>
        <w:numPr>
          <w:ilvl w:val="0"/>
          <w:numId w:val="109"/>
        </w:numPr>
        <w:spacing w:before="120" w:after="120" w:line="288" w:lineRule="auto"/>
        <w:ind w:left="453"/>
        <w:jc w:val="left"/>
      </w:pPr>
      <w:r>
        <w:rPr>
          <w:rFonts w:ascii="Arial" w:hAnsi="Arial" w:eastAsia="等线" w:cs="Arial"/>
          <w:sz w:val="22"/>
        </w:rPr>
        <w:t>重点将放在对 Foundation 服务的调整上，目的是增强其能力，使之能够提供更加强大和灵活的 Server 和 Lib 功能。这一步骤是为了提升整体架构的效率和可扩展性。</w:t>
      </w:r>
    </w:p>
    <w:p w14:paraId="4577AFA0">
      <w:pPr>
        <w:numPr>
          <w:ilvl w:val="0"/>
          <w:numId w:val="110"/>
        </w:numPr>
        <w:spacing w:before="120" w:after="120" w:line="288" w:lineRule="auto"/>
        <w:ind w:left="0"/>
        <w:jc w:val="left"/>
      </w:pPr>
      <w:r>
        <w:rPr>
          <w:rFonts w:ascii="Arial" w:hAnsi="Arial" w:eastAsia="等线" w:cs="Arial"/>
          <w:sz w:val="22"/>
        </w:rPr>
        <w:t>Sprint 7：</w:t>
      </w:r>
    </w:p>
    <w:p w14:paraId="599EE540">
      <w:pPr>
        <w:numPr>
          <w:ilvl w:val="0"/>
          <w:numId w:val="111"/>
        </w:numPr>
        <w:spacing w:before="120" w:after="120" w:line="288" w:lineRule="auto"/>
        <w:ind w:left="453"/>
        <w:jc w:val="left"/>
      </w:pPr>
      <w:r>
        <w:rPr>
          <w:rFonts w:ascii="Arial" w:hAnsi="Arial" w:eastAsia="等线" w:cs="Arial"/>
          <w:sz w:val="22"/>
        </w:rPr>
        <w:t>任务将聚焦于完成 Platform、Application 和 Agw 的重构工作，以及将 TMS（任务管理系统）服务独立化。这些变更旨在优化各个组件的性能和互操作性，同时提升系统的模块化和维护便利性。</w:t>
      </w:r>
    </w:p>
    <w:p w14:paraId="7A9C3214">
      <w:pPr>
        <w:spacing w:before="120" w:after="120" w:line="288" w:lineRule="auto"/>
        <w:ind w:left="0"/>
        <w:jc w:val="left"/>
      </w:pPr>
      <w:r>
        <w:rPr>
          <w:rFonts w:ascii="Arial" w:hAnsi="Arial" w:eastAsia="等线" w:cs="Arial"/>
          <w:sz w:val="22"/>
        </w:rPr>
        <w:t>以上规划的实施将确保我们的系统不仅在技术层面上保持先进，而且在功能和运维上更加高效和可靠。</w:t>
      </w:r>
    </w:p>
    <w:p w14:paraId="00452C9F">
      <w:pPr>
        <w:spacing w:before="120" w:after="120" w:line="288" w:lineRule="auto"/>
        <w:ind w:left="0"/>
        <w:jc w:val="left"/>
      </w:pPr>
    </w:p>
    <w:p w14:paraId="72BAD15E">
      <w:pPr>
        <w:spacing w:before="380" w:after="140" w:line="288" w:lineRule="auto"/>
        <w:ind w:left="0"/>
        <w:jc w:val="left"/>
        <w:outlineLvl w:val="0"/>
      </w:pPr>
      <w:bookmarkStart w:id="49" w:name="heading_49"/>
      <w:r>
        <w:rPr>
          <w:rFonts w:ascii="Arial" w:hAnsi="Arial" w:eastAsia="等线" w:cs="Arial"/>
          <w:b/>
          <w:sz w:val="36"/>
        </w:rPr>
        <w:t>风险评估与缓解</w:t>
      </w:r>
      <w:bookmarkEnd w:id="49"/>
    </w:p>
    <w:p w14:paraId="7213F547">
      <w:pPr>
        <w:spacing w:before="320" w:after="120" w:line="288" w:lineRule="auto"/>
        <w:ind w:left="0"/>
        <w:jc w:val="left"/>
        <w:outlineLvl w:val="1"/>
      </w:pPr>
      <w:bookmarkStart w:id="50" w:name="heading_50"/>
      <w:r>
        <w:rPr>
          <w:rFonts w:ascii="Arial" w:hAnsi="Arial" w:eastAsia="等线" w:cs="Arial"/>
          <w:b/>
          <w:sz w:val="32"/>
        </w:rPr>
        <w:t>风险识别</w:t>
      </w:r>
      <w:bookmarkEnd w:id="50"/>
    </w:p>
    <w:p w14:paraId="1CD5E055">
      <w:pPr>
        <w:spacing w:before="260" w:after="120" w:line="288" w:lineRule="auto"/>
        <w:ind w:left="0"/>
        <w:jc w:val="left"/>
        <w:outlineLvl w:val="3"/>
      </w:pPr>
      <w:bookmarkStart w:id="51" w:name="heading_51"/>
      <w:r>
        <w:rPr>
          <w:rFonts w:ascii="Arial" w:hAnsi="Arial" w:eastAsia="等线" w:cs="Arial"/>
          <w:b/>
          <w:sz w:val="28"/>
        </w:rPr>
        <w:t>技术风险</w:t>
      </w:r>
      <w:bookmarkEnd w:id="51"/>
    </w:p>
    <w:p w14:paraId="73D9696D">
      <w:pPr>
        <w:numPr>
          <w:ilvl w:val="0"/>
          <w:numId w:val="112"/>
        </w:numPr>
        <w:spacing w:before="120" w:after="120" w:line="288" w:lineRule="auto"/>
        <w:ind w:left="0"/>
        <w:jc w:val="left"/>
      </w:pPr>
      <w:r>
        <w:rPr>
          <w:rFonts w:ascii="Arial" w:hAnsi="Arial" w:eastAsia="等线" w:cs="Arial"/>
          <w:sz w:val="22"/>
        </w:rPr>
        <w:t>在当前阶段，由于产品尚未正式进入市场，重构过程预计不会面临重大的技术风险。这一情况为我们在进行必要的架构调整和优化时提供了相对稳定和安全的环境，使我们能够更加自信地推进技术改进。</w:t>
      </w:r>
    </w:p>
    <w:p w14:paraId="2E32F6FF">
      <w:pPr>
        <w:spacing w:before="260" w:after="120" w:line="288" w:lineRule="auto"/>
        <w:ind w:left="0"/>
        <w:jc w:val="left"/>
        <w:outlineLvl w:val="3"/>
      </w:pPr>
      <w:bookmarkStart w:id="52" w:name="heading_52"/>
      <w:r>
        <w:rPr>
          <w:rFonts w:ascii="Arial" w:hAnsi="Arial" w:eastAsia="等线" w:cs="Arial"/>
          <w:b/>
          <w:sz w:val="28"/>
        </w:rPr>
        <w:t>资源风险</w:t>
      </w:r>
      <w:bookmarkEnd w:id="52"/>
    </w:p>
    <w:p w14:paraId="6EAA7828">
      <w:pPr>
        <w:numPr>
          <w:ilvl w:val="0"/>
          <w:numId w:val="113"/>
        </w:numPr>
        <w:spacing w:before="120" w:after="120" w:line="288" w:lineRule="auto"/>
        <w:ind w:left="0"/>
        <w:jc w:val="left"/>
      </w:pPr>
      <w:r>
        <w:rPr>
          <w:rFonts w:ascii="Arial" w:hAnsi="Arial" w:eastAsia="等线" w:cs="Arial"/>
          <w:sz w:val="22"/>
        </w:rPr>
        <w:t>我们目前面临的主要挑战是潜在的人力资源短缺。考虑到团队成员可能同时参与其他任务和故事，这种资源限制可能会对项目的开发进度和最终质量产生直接影响。因此，对人员分配进行持续的监控和灵活调整将是确保项目按计划进行的关键因素。</w:t>
      </w:r>
    </w:p>
    <w:p w14:paraId="7A99EFEE">
      <w:pPr>
        <w:spacing w:before="120" w:after="120" w:line="288" w:lineRule="auto"/>
        <w:ind w:left="0"/>
        <w:jc w:val="left"/>
      </w:pPr>
    </w:p>
    <w:p w14:paraId="62D46F57">
      <w:pPr>
        <w:spacing w:before="320" w:after="120" w:line="288" w:lineRule="auto"/>
        <w:ind w:left="0"/>
        <w:jc w:val="left"/>
        <w:outlineLvl w:val="1"/>
      </w:pPr>
      <w:bookmarkStart w:id="53" w:name="heading_53"/>
      <w:r>
        <w:rPr>
          <w:rFonts w:ascii="Arial" w:hAnsi="Arial" w:eastAsia="等线" w:cs="Arial"/>
          <w:b/>
          <w:sz w:val="32"/>
        </w:rPr>
        <w:t>缓解策略</w:t>
      </w:r>
      <w:bookmarkEnd w:id="53"/>
    </w:p>
    <w:p w14:paraId="217CD6C0">
      <w:pPr>
        <w:spacing w:before="120" w:after="120" w:line="288" w:lineRule="auto"/>
        <w:ind w:left="0"/>
        <w:jc w:val="left"/>
      </w:pPr>
      <w:r>
        <w:rPr>
          <w:rFonts w:ascii="Arial" w:hAnsi="Arial" w:eastAsia="等线" w:cs="Arial"/>
          <w:sz w:val="22"/>
        </w:rPr>
        <w:t>为了有效应对项目中可能遇到的资源风险，我们将采取一种动态评估和调整的方法。这一策略的核心是在每个迭代周期（Sprint）中进行细致的风险评估：</w:t>
      </w:r>
    </w:p>
    <w:p w14:paraId="32DCC838">
      <w:pPr>
        <w:numPr>
          <w:ilvl w:val="0"/>
          <w:numId w:val="114"/>
        </w:numPr>
        <w:spacing w:before="120" w:after="120" w:line="288" w:lineRule="auto"/>
        <w:ind w:left="0"/>
        <w:jc w:val="left"/>
      </w:pPr>
      <w:r>
        <w:rPr>
          <w:rFonts w:ascii="Arial" w:hAnsi="Arial" w:eastAsia="等线" w:cs="Arial"/>
          <w:sz w:val="22"/>
        </w:rPr>
        <w:t>定期评估：在每个Sprint的开始和结束时，我们将评估当前面临的风险，包括技术风险和资源风险。</w:t>
      </w:r>
    </w:p>
    <w:p w14:paraId="474FE5E9">
      <w:pPr>
        <w:numPr>
          <w:ilvl w:val="0"/>
          <w:numId w:val="115"/>
        </w:numPr>
        <w:spacing w:before="120" w:after="120" w:line="288" w:lineRule="auto"/>
        <w:ind w:left="0"/>
        <w:jc w:val="left"/>
      </w:pPr>
      <w:r>
        <w:rPr>
          <w:rFonts w:ascii="Arial" w:hAnsi="Arial" w:eastAsia="等线" w:cs="Arial"/>
          <w:sz w:val="22"/>
        </w:rPr>
        <w:t>适时调整：基于评估结果，我们将及时调整项目计划和资源分配，以缓解潜在风险的影响。</w:t>
      </w:r>
    </w:p>
    <w:p w14:paraId="052123AE">
      <w:pPr>
        <w:numPr>
          <w:ilvl w:val="0"/>
          <w:numId w:val="116"/>
        </w:numPr>
        <w:spacing w:before="120" w:after="120" w:line="288" w:lineRule="auto"/>
        <w:ind w:left="0"/>
        <w:jc w:val="left"/>
      </w:pPr>
      <w:r>
        <w:rPr>
          <w:rFonts w:ascii="Arial" w:hAnsi="Arial" w:eastAsia="等线" w:cs="Arial"/>
          <w:sz w:val="22"/>
        </w:rPr>
        <w:t>持续监控：在整个项目周期内，我们将持续监控风险因素，确保能够迅速响应任何变化。</w:t>
      </w:r>
    </w:p>
    <w:p w14:paraId="7F2E37E8">
      <w:pPr>
        <w:spacing w:before="120" w:after="120" w:line="288" w:lineRule="auto"/>
        <w:ind w:left="0"/>
        <w:jc w:val="left"/>
      </w:pPr>
      <w:r>
        <w:rPr>
          <w:rFonts w:ascii="Arial" w:hAnsi="Arial" w:eastAsia="等线" w:cs="Arial"/>
          <w:sz w:val="22"/>
        </w:rPr>
        <w:t>这种策略旨在保持项目的灵活性和适应性，确保我们能够及时识别和处理任何可能影响项目成功的因素。</w:t>
      </w:r>
    </w:p>
    <w:p w14:paraId="631678CE">
      <w:pPr>
        <w:spacing w:before="120" w:after="120" w:line="288" w:lineRule="auto"/>
        <w:ind w:left="0"/>
        <w:jc w:val="left"/>
      </w:pPr>
    </w:p>
    <w:p w14:paraId="0F0A8945">
      <w:pPr>
        <w:spacing w:before="120" w:after="120" w:line="288" w:lineRule="auto"/>
        <w:ind w:left="0"/>
        <w:jc w:val="left"/>
      </w:pPr>
    </w:p>
    <w:p w14:paraId="4CEB31B7">
      <w:pPr>
        <w:spacing w:before="380" w:after="140" w:line="288" w:lineRule="auto"/>
        <w:ind w:left="0"/>
        <w:jc w:val="left"/>
        <w:outlineLvl w:val="0"/>
      </w:pPr>
      <w:bookmarkStart w:id="54" w:name="heading_54"/>
      <w:r>
        <w:rPr>
          <w:rFonts w:ascii="Arial" w:hAnsi="Arial" w:eastAsia="等线" w:cs="Arial"/>
          <w:b/>
          <w:sz w:val="36"/>
        </w:rPr>
        <w:t>附录</w:t>
      </w:r>
      <w:bookmarkEnd w:id="54"/>
    </w:p>
    <w:p w14:paraId="386FF5F1">
      <w:pPr>
        <w:spacing w:before="320" w:after="120" w:line="288" w:lineRule="auto"/>
        <w:ind w:left="0"/>
        <w:jc w:val="left"/>
        <w:outlineLvl w:val="1"/>
      </w:pPr>
      <w:bookmarkStart w:id="55" w:name="heading_55"/>
      <w:r>
        <w:rPr>
          <w:rFonts w:ascii="Arial" w:hAnsi="Arial" w:eastAsia="等线" w:cs="Arial"/>
          <w:b/>
          <w:sz w:val="32"/>
        </w:rPr>
        <w:t>术语表</w:t>
      </w:r>
      <w:bookmarkEnd w:id="55"/>
    </w:p>
    <w:tbl>
      <w:tblPr>
        <w:tblStyle w:val="2"/>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110"/>
        <w:gridCol w:w="1575"/>
        <w:gridCol w:w="5595"/>
      </w:tblGrid>
      <w:tr w14:paraId="2A8BB30C">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110" w:type="dxa"/>
            <w:tcMar>
              <w:top w:w="60" w:type="dxa"/>
              <w:left w:w="120" w:type="dxa"/>
              <w:bottom w:w="30" w:type="dxa"/>
              <w:right w:w="120" w:type="dxa"/>
            </w:tcMar>
          </w:tcPr>
          <w:p w14:paraId="4E4733D0">
            <w:pPr>
              <w:spacing w:before="120" w:after="120" w:line="288" w:lineRule="auto"/>
              <w:ind w:left="0"/>
              <w:jc w:val="left"/>
            </w:pPr>
            <w:r>
              <w:rPr>
                <w:rFonts w:ascii="Arial" w:hAnsi="Arial" w:eastAsia="等线" w:cs="Arial"/>
                <w:sz w:val="22"/>
              </w:rPr>
              <w:t>术语</w:t>
            </w:r>
          </w:p>
        </w:tc>
        <w:tc>
          <w:tcPr>
            <w:tcW w:w="1575" w:type="dxa"/>
            <w:tcMar>
              <w:top w:w="60" w:type="dxa"/>
              <w:left w:w="120" w:type="dxa"/>
              <w:bottom w:w="30" w:type="dxa"/>
              <w:right w:w="120" w:type="dxa"/>
            </w:tcMar>
          </w:tcPr>
          <w:p w14:paraId="322B0856">
            <w:pPr>
              <w:spacing w:before="120" w:after="120" w:line="288" w:lineRule="auto"/>
              <w:ind w:left="0"/>
              <w:jc w:val="left"/>
            </w:pPr>
            <w:r>
              <w:rPr>
                <w:rFonts w:ascii="Arial" w:hAnsi="Arial" w:eastAsia="等线" w:cs="Arial"/>
                <w:sz w:val="22"/>
              </w:rPr>
              <w:t>英文</w:t>
            </w:r>
          </w:p>
        </w:tc>
        <w:tc>
          <w:tcPr>
            <w:tcW w:w="5595" w:type="dxa"/>
            <w:tcMar>
              <w:top w:w="60" w:type="dxa"/>
              <w:left w:w="120" w:type="dxa"/>
              <w:bottom w:w="30" w:type="dxa"/>
              <w:right w:w="120" w:type="dxa"/>
            </w:tcMar>
          </w:tcPr>
          <w:p w14:paraId="2021461E">
            <w:pPr>
              <w:spacing w:before="120" w:after="120" w:line="288" w:lineRule="auto"/>
              <w:ind w:left="0"/>
              <w:jc w:val="left"/>
            </w:pPr>
            <w:r>
              <w:rPr>
                <w:rFonts w:ascii="Arial" w:hAnsi="Arial" w:eastAsia="等线" w:cs="Arial"/>
                <w:sz w:val="22"/>
              </w:rPr>
              <w:t>描述</w:t>
            </w:r>
          </w:p>
        </w:tc>
      </w:tr>
      <w:tr w14:paraId="72B73DE4">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110" w:type="dxa"/>
            <w:tcMar>
              <w:top w:w="60" w:type="dxa"/>
              <w:left w:w="120" w:type="dxa"/>
              <w:bottom w:w="30" w:type="dxa"/>
              <w:right w:w="120" w:type="dxa"/>
            </w:tcMar>
          </w:tcPr>
          <w:p w14:paraId="1A16E82C">
            <w:pPr>
              <w:spacing w:before="120" w:after="120" w:line="288" w:lineRule="auto"/>
              <w:ind w:left="0"/>
              <w:jc w:val="left"/>
            </w:pPr>
            <w:r>
              <w:rPr>
                <w:rFonts w:ascii="Arial" w:hAnsi="Arial" w:eastAsia="等线" w:cs="Arial"/>
                <w:sz w:val="22"/>
              </w:rPr>
              <w:t>租户</w:t>
            </w:r>
          </w:p>
        </w:tc>
        <w:tc>
          <w:tcPr>
            <w:tcW w:w="1575" w:type="dxa"/>
            <w:tcMar>
              <w:top w:w="60" w:type="dxa"/>
              <w:left w:w="120" w:type="dxa"/>
              <w:bottom w:w="30" w:type="dxa"/>
              <w:right w:w="120" w:type="dxa"/>
            </w:tcMar>
          </w:tcPr>
          <w:p w14:paraId="15AC2D5B">
            <w:pPr>
              <w:spacing w:before="120" w:after="120" w:line="288" w:lineRule="auto"/>
              <w:ind w:left="0"/>
              <w:jc w:val="left"/>
            </w:pPr>
            <w:r>
              <w:rPr>
                <w:rFonts w:ascii="Arial" w:hAnsi="Arial" w:eastAsia="等线" w:cs="Arial"/>
                <w:sz w:val="22"/>
              </w:rPr>
              <w:t>tenant</w:t>
            </w:r>
          </w:p>
        </w:tc>
        <w:tc>
          <w:tcPr>
            <w:tcW w:w="5595" w:type="dxa"/>
            <w:tcMar>
              <w:top w:w="60" w:type="dxa"/>
              <w:left w:w="120" w:type="dxa"/>
              <w:bottom w:w="30" w:type="dxa"/>
              <w:right w:w="120" w:type="dxa"/>
            </w:tcMar>
          </w:tcPr>
          <w:p w14:paraId="4FC5A523">
            <w:pPr>
              <w:spacing w:before="120" w:after="120" w:line="288" w:lineRule="auto"/>
              <w:ind w:left="0"/>
              <w:jc w:val="left"/>
            </w:pPr>
            <w:r>
              <w:rPr>
                <w:rFonts w:ascii="Arial" w:hAnsi="Arial" w:eastAsia="等线" w:cs="Arial"/>
                <w:sz w:val="22"/>
              </w:rPr>
              <w:t>在多租户架构中，租户指的是使用系统资源的独立实体，通常对应一个用户或一组用户，他们共享系统资源但保持数据隔离。</w:t>
            </w:r>
          </w:p>
        </w:tc>
      </w:tr>
      <w:tr w14:paraId="4087718F">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110" w:type="dxa"/>
            <w:tcMar>
              <w:top w:w="60" w:type="dxa"/>
              <w:left w:w="120" w:type="dxa"/>
              <w:bottom w:w="30" w:type="dxa"/>
              <w:right w:w="120" w:type="dxa"/>
            </w:tcMar>
          </w:tcPr>
          <w:p w14:paraId="689123F2">
            <w:pPr>
              <w:spacing w:before="120" w:after="120" w:line="288" w:lineRule="auto"/>
              <w:ind w:left="0"/>
              <w:jc w:val="left"/>
            </w:pPr>
            <w:r>
              <w:rPr>
                <w:rFonts w:ascii="Arial" w:hAnsi="Arial" w:eastAsia="等线" w:cs="Arial"/>
                <w:sz w:val="22"/>
              </w:rPr>
              <w:t>订阅</w:t>
            </w:r>
          </w:p>
        </w:tc>
        <w:tc>
          <w:tcPr>
            <w:tcW w:w="1575" w:type="dxa"/>
            <w:tcMar>
              <w:top w:w="60" w:type="dxa"/>
              <w:left w:w="120" w:type="dxa"/>
              <w:bottom w:w="30" w:type="dxa"/>
              <w:right w:w="120" w:type="dxa"/>
            </w:tcMar>
          </w:tcPr>
          <w:p w14:paraId="642DCE46">
            <w:pPr>
              <w:spacing w:before="120" w:after="120" w:line="288" w:lineRule="auto"/>
              <w:ind w:left="0"/>
              <w:jc w:val="left"/>
            </w:pPr>
            <w:r>
              <w:rPr>
                <w:rFonts w:ascii="Arial" w:hAnsi="Arial" w:eastAsia="等线" w:cs="Arial"/>
                <w:sz w:val="22"/>
              </w:rPr>
              <w:t>subscribe</w:t>
            </w:r>
          </w:p>
        </w:tc>
        <w:tc>
          <w:tcPr>
            <w:tcW w:w="5595" w:type="dxa"/>
            <w:tcMar>
              <w:top w:w="60" w:type="dxa"/>
              <w:left w:w="120" w:type="dxa"/>
              <w:bottom w:w="30" w:type="dxa"/>
              <w:right w:w="120" w:type="dxa"/>
            </w:tcMar>
          </w:tcPr>
          <w:p w14:paraId="3CA8ACBE">
            <w:pPr>
              <w:spacing w:before="120" w:after="120" w:line="288" w:lineRule="auto"/>
              <w:ind w:left="0"/>
              <w:jc w:val="left"/>
            </w:pPr>
            <w:r>
              <w:rPr>
                <w:rFonts w:ascii="Arial" w:hAnsi="Arial" w:eastAsia="等线" w:cs="Arial"/>
                <w:sz w:val="22"/>
              </w:rPr>
              <w:t>指用户选择并付费使用软件或服务的过程。在SaaS模型中，订阅通常涉及对特定服务级别的定期付费。</w:t>
            </w:r>
          </w:p>
        </w:tc>
      </w:tr>
      <w:tr w14:paraId="2D099B33">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110" w:type="dxa"/>
            <w:tcMar>
              <w:top w:w="60" w:type="dxa"/>
              <w:left w:w="120" w:type="dxa"/>
              <w:bottom w:w="30" w:type="dxa"/>
              <w:right w:w="120" w:type="dxa"/>
            </w:tcMar>
          </w:tcPr>
          <w:p w14:paraId="164BCB0E">
            <w:pPr>
              <w:spacing w:before="120" w:after="120" w:line="288" w:lineRule="auto"/>
              <w:ind w:left="0"/>
              <w:jc w:val="left"/>
            </w:pPr>
            <w:r>
              <w:rPr>
                <w:rFonts w:ascii="Arial" w:hAnsi="Arial" w:eastAsia="等线" w:cs="Arial"/>
                <w:sz w:val="22"/>
              </w:rPr>
              <w:t>配置</w:t>
            </w:r>
          </w:p>
        </w:tc>
        <w:tc>
          <w:tcPr>
            <w:tcW w:w="1575" w:type="dxa"/>
            <w:tcMar>
              <w:top w:w="60" w:type="dxa"/>
              <w:left w:w="120" w:type="dxa"/>
              <w:bottom w:w="30" w:type="dxa"/>
              <w:right w:w="120" w:type="dxa"/>
            </w:tcMar>
          </w:tcPr>
          <w:p w14:paraId="2AB0F8DA">
            <w:pPr>
              <w:spacing w:before="120" w:after="120" w:line="288" w:lineRule="auto"/>
              <w:ind w:left="0"/>
              <w:jc w:val="left"/>
            </w:pPr>
            <w:r>
              <w:rPr>
                <w:rFonts w:ascii="Arial" w:hAnsi="Arial" w:eastAsia="等线" w:cs="Arial"/>
                <w:sz w:val="22"/>
              </w:rPr>
              <w:t>provision</w:t>
            </w:r>
          </w:p>
        </w:tc>
        <w:tc>
          <w:tcPr>
            <w:tcW w:w="5595" w:type="dxa"/>
            <w:tcMar>
              <w:top w:w="60" w:type="dxa"/>
              <w:left w:w="120" w:type="dxa"/>
              <w:bottom w:w="30" w:type="dxa"/>
              <w:right w:w="120" w:type="dxa"/>
            </w:tcMar>
          </w:tcPr>
          <w:p w14:paraId="7E5D7D0C">
            <w:pPr>
              <w:spacing w:before="120" w:after="120" w:line="288" w:lineRule="auto"/>
              <w:ind w:left="0"/>
              <w:jc w:val="left"/>
            </w:pPr>
            <w:r>
              <w:rPr>
                <w:rFonts w:ascii="Arial" w:hAnsi="Arial" w:eastAsia="等线" w:cs="Arial"/>
                <w:sz w:val="22"/>
              </w:rPr>
              <w:t>在IT领域，配置通常指为用户或系统设置和准备必要的服务和资源的过程，以使其达到可操作状态。</w:t>
            </w:r>
          </w:p>
        </w:tc>
      </w:tr>
      <w:tr w14:paraId="4A06405B">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110" w:type="dxa"/>
            <w:tcMar>
              <w:top w:w="60" w:type="dxa"/>
              <w:left w:w="120" w:type="dxa"/>
              <w:bottom w:w="30" w:type="dxa"/>
              <w:right w:w="120" w:type="dxa"/>
            </w:tcMar>
          </w:tcPr>
          <w:p w14:paraId="359BA8ED">
            <w:pPr>
              <w:spacing w:before="120" w:after="120" w:line="288" w:lineRule="auto"/>
              <w:ind w:left="0"/>
              <w:jc w:val="left"/>
            </w:pPr>
            <w:r>
              <w:rPr>
                <w:rFonts w:ascii="Arial" w:hAnsi="Arial" w:eastAsia="等线" w:cs="Arial"/>
                <w:sz w:val="22"/>
              </w:rPr>
              <w:t>软件即服务</w:t>
            </w:r>
          </w:p>
        </w:tc>
        <w:tc>
          <w:tcPr>
            <w:tcW w:w="1575" w:type="dxa"/>
            <w:tcMar>
              <w:top w:w="60" w:type="dxa"/>
              <w:left w:w="120" w:type="dxa"/>
              <w:bottom w:w="30" w:type="dxa"/>
              <w:right w:w="120" w:type="dxa"/>
            </w:tcMar>
          </w:tcPr>
          <w:p w14:paraId="77224DBA">
            <w:pPr>
              <w:spacing w:before="120" w:after="120" w:line="288" w:lineRule="auto"/>
              <w:ind w:left="0"/>
              <w:jc w:val="left"/>
            </w:pPr>
            <w:r>
              <w:rPr>
                <w:rFonts w:ascii="Arial" w:hAnsi="Arial" w:eastAsia="等线" w:cs="Arial"/>
                <w:sz w:val="22"/>
              </w:rPr>
              <w:t>SaaS</w:t>
            </w:r>
          </w:p>
        </w:tc>
        <w:tc>
          <w:tcPr>
            <w:tcW w:w="5595" w:type="dxa"/>
            <w:tcMar>
              <w:top w:w="60" w:type="dxa"/>
              <w:left w:w="120" w:type="dxa"/>
              <w:bottom w:w="30" w:type="dxa"/>
              <w:right w:w="120" w:type="dxa"/>
            </w:tcMar>
          </w:tcPr>
          <w:p w14:paraId="66472CD2">
            <w:pPr>
              <w:spacing w:before="120" w:after="120" w:line="288" w:lineRule="auto"/>
              <w:ind w:left="0"/>
              <w:jc w:val="left"/>
            </w:pPr>
            <w:r>
              <w:rPr>
                <w:rFonts w:ascii="Arial" w:hAnsi="Arial" w:eastAsia="等线" w:cs="Arial"/>
                <w:sz w:val="22"/>
              </w:rPr>
              <w:t>是一种软件分发模型，在这种模型中，软件应用托管在云中，并通过互联网提供给用户使用，通常基于订阅制。</w:t>
            </w:r>
          </w:p>
        </w:tc>
      </w:tr>
      <w:tr w14:paraId="6DDDCF06">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110" w:type="dxa"/>
            <w:tcMar>
              <w:top w:w="60" w:type="dxa"/>
              <w:left w:w="120" w:type="dxa"/>
              <w:bottom w:w="30" w:type="dxa"/>
              <w:right w:w="120" w:type="dxa"/>
            </w:tcMar>
          </w:tcPr>
          <w:p w14:paraId="2413437B">
            <w:pPr>
              <w:spacing w:before="120" w:after="120" w:line="288" w:lineRule="auto"/>
              <w:ind w:left="0"/>
              <w:jc w:val="left"/>
            </w:pPr>
            <w:r>
              <w:rPr>
                <w:rFonts w:ascii="Arial" w:hAnsi="Arial" w:eastAsia="等线" w:cs="Arial"/>
                <w:sz w:val="22"/>
              </w:rPr>
              <w:t>无状态服务</w:t>
            </w:r>
          </w:p>
        </w:tc>
        <w:tc>
          <w:tcPr>
            <w:tcW w:w="1575" w:type="dxa"/>
            <w:tcMar>
              <w:top w:w="60" w:type="dxa"/>
              <w:left w:w="120" w:type="dxa"/>
              <w:bottom w:w="30" w:type="dxa"/>
              <w:right w:w="120" w:type="dxa"/>
            </w:tcMar>
          </w:tcPr>
          <w:p w14:paraId="751C7C21">
            <w:pPr>
              <w:spacing w:before="120" w:after="120" w:line="288" w:lineRule="auto"/>
              <w:ind w:left="0"/>
              <w:jc w:val="left"/>
            </w:pPr>
            <w:r>
              <w:rPr>
                <w:rFonts w:ascii="Arial" w:hAnsi="Arial" w:eastAsia="等线" w:cs="Arial"/>
                <w:sz w:val="22"/>
              </w:rPr>
              <w:t>Stateless Service</w:t>
            </w:r>
          </w:p>
        </w:tc>
        <w:tc>
          <w:tcPr>
            <w:tcW w:w="5595" w:type="dxa"/>
            <w:tcMar>
              <w:top w:w="60" w:type="dxa"/>
              <w:left w:w="120" w:type="dxa"/>
              <w:bottom w:w="30" w:type="dxa"/>
              <w:right w:w="120" w:type="dxa"/>
            </w:tcMar>
          </w:tcPr>
          <w:p w14:paraId="4D7A9B52">
            <w:pPr>
              <w:spacing w:before="120" w:after="120" w:line="288" w:lineRule="auto"/>
              <w:ind w:left="0"/>
              <w:jc w:val="left"/>
            </w:pPr>
            <w:r>
              <w:rPr>
                <w:rFonts w:ascii="Arial" w:hAnsi="Arial" w:eastAsia="等线" w:cs="Arial"/>
                <w:sz w:val="22"/>
              </w:rPr>
              <w:t>一种服务架构模式，其中服务不保留任何用户会话信息。这种设计使得服务在每次请求之间不保留数据或状态，有利于提高可扩展性和容错能力。</w:t>
            </w:r>
          </w:p>
        </w:tc>
      </w:tr>
    </w:tbl>
    <w:p w14:paraId="5DC9D2C4">
      <w:pPr>
        <w:spacing w:before="120" w:after="120" w:line="288" w:lineRule="auto"/>
        <w:ind w:left="0"/>
        <w:jc w:val="left"/>
      </w:pPr>
    </w:p>
    <w:p w14:paraId="4A7D355D">
      <w:pPr>
        <w:spacing w:before="120" w:after="120" w:line="288" w:lineRule="auto"/>
        <w:ind w:left="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CC45B1"/>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637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singleLevel"/>
    <w:tmpl w:val="804E4E29"/>
    <w:lvl w:ilvl="0" w:tentative="0">
      <w:start w:val="1"/>
      <w:numFmt w:val="decimal"/>
      <w:lvlText w:val="%1."/>
      <w:lvlJc w:val="left"/>
      <w:rPr>
        <w:color w:val="3370FF"/>
      </w:rPr>
    </w:lvl>
  </w:abstractNum>
  <w:abstractNum w:abstractNumId="1">
    <w:nsid w:val="813A4B87"/>
    <w:multiLevelType w:val="singleLevel"/>
    <w:tmpl w:val="813A4B87"/>
    <w:lvl w:ilvl="0" w:tentative="0">
      <w:start w:val="4"/>
      <w:numFmt w:val="decimal"/>
      <w:lvlText w:val="%1."/>
      <w:lvlJc w:val="left"/>
      <w:rPr>
        <w:color w:val="3370FF"/>
      </w:rPr>
    </w:lvl>
  </w:abstractNum>
  <w:abstractNum w:abstractNumId="2">
    <w:nsid w:val="825EC3C5"/>
    <w:multiLevelType w:val="singleLevel"/>
    <w:tmpl w:val="825EC3C5"/>
    <w:lvl w:ilvl="0" w:tentative="0">
      <w:start w:val="0"/>
      <w:numFmt w:val="bullet"/>
      <w:lvlText w:val="•"/>
      <w:lvlJc w:val="left"/>
      <w:rPr>
        <w:color w:val="3370FF"/>
      </w:rPr>
    </w:lvl>
  </w:abstractNum>
  <w:abstractNum w:abstractNumId="3">
    <w:nsid w:val="845B5372"/>
    <w:multiLevelType w:val="singleLevel"/>
    <w:tmpl w:val="845B5372"/>
    <w:lvl w:ilvl="0" w:tentative="0">
      <w:start w:val="4"/>
      <w:numFmt w:val="lowerLetter"/>
      <w:lvlText w:val="%1."/>
      <w:lvlJc w:val="left"/>
      <w:rPr>
        <w:color w:val="3370FF"/>
      </w:rPr>
    </w:lvl>
  </w:abstractNum>
  <w:abstractNum w:abstractNumId="4">
    <w:nsid w:val="8461FADE"/>
    <w:multiLevelType w:val="singleLevel"/>
    <w:tmpl w:val="8461FADE"/>
    <w:lvl w:ilvl="0" w:tentative="0">
      <w:start w:val="4"/>
      <w:numFmt w:val="lowerLetter"/>
      <w:lvlText w:val="%1."/>
      <w:lvlJc w:val="left"/>
      <w:rPr>
        <w:color w:val="3370FF"/>
      </w:rPr>
    </w:lvl>
  </w:abstractNum>
  <w:abstractNum w:abstractNumId="5">
    <w:nsid w:val="883B3669"/>
    <w:multiLevelType w:val="singleLevel"/>
    <w:tmpl w:val="883B3669"/>
    <w:lvl w:ilvl="0" w:tentative="0">
      <w:start w:val="0"/>
      <w:numFmt w:val="bullet"/>
      <w:lvlText w:val="•"/>
      <w:lvlJc w:val="left"/>
      <w:rPr>
        <w:color w:val="3370FF"/>
      </w:rPr>
    </w:lvl>
  </w:abstractNum>
  <w:abstractNum w:abstractNumId="6">
    <w:nsid w:val="8CAEB125"/>
    <w:multiLevelType w:val="singleLevel"/>
    <w:tmpl w:val="8CAEB125"/>
    <w:lvl w:ilvl="0" w:tentative="0">
      <w:start w:val="1"/>
      <w:numFmt w:val="decimal"/>
      <w:lvlText w:val="%1."/>
      <w:lvlJc w:val="left"/>
      <w:rPr>
        <w:color w:val="3370FF"/>
      </w:rPr>
    </w:lvl>
  </w:abstractNum>
  <w:abstractNum w:abstractNumId="7">
    <w:nsid w:val="91995D4F"/>
    <w:multiLevelType w:val="singleLevel"/>
    <w:tmpl w:val="91995D4F"/>
    <w:lvl w:ilvl="0" w:tentative="0">
      <w:start w:val="1"/>
      <w:numFmt w:val="lowerLetter"/>
      <w:lvlText w:val="%1."/>
      <w:lvlJc w:val="left"/>
      <w:rPr>
        <w:color w:val="3370FF"/>
      </w:rPr>
    </w:lvl>
  </w:abstractNum>
  <w:abstractNum w:abstractNumId="8">
    <w:nsid w:val="91B69C97"/>
    <w:multiLevelType w:val="singleLevel"/>
    <w:tmpl w:val="91B69C97"/>
    <w:lvl w:ilvl="0" w:tentative="0">
      <w:start w:val="0"/>
      <w:numFmt w:val="bullet"/>
      <w:lvlText w:val="￮"/>
      <w:lvlJc w:val="left"/>
      <w:rPr>
        <w:color w:val="3370FF"/>
      </w:rPr>
    </w:lvl>
  </w:abstractNum>
  <w:abstractNum w:abstractNumId="9">
    <w:nsid w:val="9239341B"/>
    <w:multiLevelType w:val="singleLevel"/>
    <w:tmpl w:val="9239341B"/>
    <w:lvl w:ilvl="0" w:tentative="0">
      <w:start w:val="1"/>
      <w:numFmt w:val="decimal"/>
      <w:lvlText w:val="%1."/>
      <w:lvlJc w:val="left"/>
      <w:rPr>
        <w:color w:val="3370FF"/>
      </w:rPr>
    </w:lvl>
  </w:abstractNum>
  <w:abstractNum w:abstractNumId="10">
    <w:nsid w:val="9288B902"/>
    <w:multiLevelType w:val="singleLevel"/>
    <w:tmpl w:val="9288B902"/>
    <w:lvl w:ilvl="0" w:tentative="0">
      <w:start w:val="2"/>
      <w:numFmt w:val="lowerLetter"/>
      <w:lvlText w:val="%1."/>
      <w:lvlJc w:val="left"/>
      <w:rPr>
        <w:color w:val="3370FF"/>
      </w:rPr>
    </w:lvl>
  </w:abstractNum>
  <w:abstractNum w:abstractNumId="11">
    <w:nsid w:val="9377BC45"/>
    <w:multiLevelType w:val="singleLevel"/>
    <w:tmpl w:val="9377BC45"/>
    <w:lvl w:ilvl="0" w:tentative="0">
      <w:start w:val="0"/>
      <w:numFmt w:val="bullet"/>
      <w:lvlText w:val="￮"/>
      <w:lvlJc w:val="left"/>
      <w:rPr>
        <w:color w:val="3370FF"/>
      </w:rPr>
    </w:lvl>
  </w:abstractNum>
  <w:abstractNum w:abstractNumId="12">
    <w:nsid w:val="9ACF65A0"/>
    <w:multiLevelType w:val="singleLevel"/>
    <w:tmpl w:val="9ACF65A0"/>
    <w:lvl w:ilvl="0" w:tentative="0">
      <w:start w:val="2"/>
      <w:numFmt w:val="decimal"/>
      <w:lvlText w:val="%1."/>
      <w:lvlJc w:val="left"/>
      <w:rPr>
        <w:color w:val="3370FF"/>
      </w:rPr>
    </w:lvl>
  </w:abstractNum>
  <w:abstractNum w:abstractNumId="13">
    <w:nsid w:val="9C11E984"/>
    <w:multiLevelType w:val="singleLevel"/>
    <w:tmpl w:val="9C11E984"/>
    <w:lvl w:ilvl="0" w:tentative="0">
      <w:start w:val="0"/>
      <w:numFmt w:val="bullet"/>
      <w:lvlText w:val="￮"/>
      <w:lvlJc w:val="left"/>
      <w:rPr>
        <w:color w:val="3370FF"/>
      </w:rPr>
    </w:lvl>
  </w:abstractNum>
  <w:abstractNum w:abstractNumId="14">
    <w:nsid w:val="9C8AC8EF"/>
    <w:multiLevelType w:val="singleLevel"/>
    <w:tmpl w:val="9C8AC8EF"/>
    <w:lvl w:ilvl="0" w:tentative="0">
      <w:start w:val="6"/>
      <w:numFmt w:val="lowerLetter"/>
      <w:lvlText w:val="%1."/>
      <w:lvlJc w:val="left"/>
      <w:rPr>
        <w:color w:val="3370FF"/>
      </w:rPr>
    </w:lvl>
  </w:abstractNum>
  <w:abstractNum w:abstractNumId="15">
    <w:nsid w:val="9D5D7490"/>
    <w:multiLevelType w:val="singleLevel"/>
    <w:tmpl w:val="9D5D7490"/>
    <w:lvl w:ilvl="0" w:tentative="0">
      <w:start w:val="3"/>
      <w:numFmt w:val="decimal"/>
      <w:lvlText w:val="%1."/>
      <w:lvlJc w:val="left"/>
      <w:rPr>
        <w:color w:val="3370FF"/>
      </w:rPr>
    </w:lvl>
  </w:abstractNum>
  <w:abstractNum w:abstractNumId="16">
    <w:nsid w:val="9F81B9F9"/>
    <w:multiLevelType w:val="singleLevel"/>
    <w:tmpl w:val="9F81B9F9"/>
    <w:lvl w:ilvl="0" w:tentative="0">
      <w:start w:val="0"/>
      <w:numFmt w:val="bullet"/>
      <w:lvlText w:val="•"/>
      <w:lvlJc w:val="left"/>
      <w:rPr>
        <w:color w:val="3370FF"/>
      </w:rPr>
    </w:lvl>
  </w:abstractNum>
  <w:abstractNum w:abstractNumId="17">
    <w:nsid w:val="A0C93552"/>
    <w:multiLevelType w:val="singleLevel"/>
    <w:tmpl w:val="A0C93552"/>
    <w:lvl w:ilvl="0" w:tentative="0">
      <w:start w:val="0"/>
      <w:numFmt w:val="bullet"/>
      <w:lvlText w:val="￮"/>
      <w:lvlJc w:val="left"/>
      <w:rPr>
        <w:color w:val="3370FF"/>
      </w:rPr>
    </w:lvl>
  </w:abstractNum>
  <w:abstractNum w:abstractNumId="18">
    <w:nsid w:val="A0F05207"/>
    <w:multiLevelType w:val="singleLevel"/>
    <w:tmpl w:val="A0F05207"/>
    <w:lvl w:ilvl="0" w:tentative="0">
      <w:start w:val="0"/>
      <w:numFmt w:val="bullet"/>
      <w:lvlText w:val="￮"/>
      <w:lvlJc w:val="left"/>
      <w:rPr>
        <w:color w:val="3370FF"/>
      </w:rPr>
    </w:lvl>
  </w:abstractNum>
  <w:abstractNum w:abstractNumId="19">
    <w:nsid w:val="A9AC3AA7"/>
    <w:multiLevelType w:val="singleLevel"/>
    <w:tmpl w:val="A9AC3AA7"/>
    <w:lvl w:ilvl="0" w:tentative="0">
      <w:start w:val="0"/>
      <w:numFmt w:val="bullet"/>
      <w:lvlText w:val="•"/>
      <w:lvlJc w:val="left"/>
      <w:rPr>
        <w:color w:val="3370FF"/>
      </w:rPr>
    </w:lvl>
  </w:abstractNum>
  <w:abstractNum w:abstractNumId="20">
    <w:nsid w:val="AAF3F3FA"/>
    <w:multiLevelType w:val="singleLevel"/>
    <w:tmpl w:val="AAF3F3FA"/>
    <w:lvl w:ilvl="0" w:tentative="0">
      <w:start w:val="0"/>
      <w:numFmt w:val="bullet"/>
      <w:lvlText w:val="￮"/>
      <w:lvlJc w:val="left"/>
      <w:rPr>
        <w:color w:val="3370FF"/>
      </w:rPr>
    </w:lvl>
  </w:abstractNum>
  <w:abstractNum w:abstractNumId="21">
    <w:nsid w:val="B0ED9BEA"/>
    <w:multiLevelType w:val="singleLevel"/>
    <w:tmpl w:val="B0ED9BEA"/>
    <w:lvl w:ilvl="0" w:tentative="0">
      <w:start w:val="0"/>
      <w:numFmt w:val="bullet"/>
      <w:lvlText w:val="￮"/>
      <w:lvlJc w:val="left"/>
      <w:rPr>
        <w:color w:val="3370FF"/>
      </w:rPr>
    </w:lvl>
  </w:abstractNum>
  <w:abstractNum w:abstractNumId="22">
    <w:nsid w:val="B0F1ACD9"/>
    <w:multiLevelType w:val="singleLevel"/>
    <w:tmpl w:val="B0F1ACD9"/>
    <w:lvl w:ilvl="0" w:tentative="0">
      <w:start w:val="3"/>
      <w:numFmt w:val="lowerLetter"/>
      <w:lvlText w:val="%1."/>
      <w:lvlJc w:val="left"/>
      <w:rPr>
        <w:color w:val="3370FF"/>
      </w:rPr>
    </w:lvl>
  </w:abstractNum>
  <w:abstractNum w:abstractNumId="23">
    <w:nsid w:val="B23A94A9"/>
    <w:multiLevelType w:val="singleLevel"/>
    <w:tmpl w:val="B23A94A9"/>
    <w:lvl w:ilvl="0" w:tentative="0">
      <w:start w:val="0"/>
      <w:numFmt w:val="bullet"/>
      <w:lvlText w:val="￮"/>
      <w:lvlJc w:val="left"/>
      <w:rPr>
        <w:color w:val="3370FF"/>
      </w:rPr>
    </w:lvl>
  </w:abstractNum>
  <w:abstractNum w:abstractNumId="24">
    <w:nsid w:val="B53F3350"/>
    <w:multiLevelType w:val="singleLevel"/>
    <w:tmpl w:val="B53F3350"/>
    <w:lvl w:ilvl="0" w:tentative="0">
      <w:start w:val="6"/>
      <w:numFmt w:val="decimal"/>
      <w:lvlText w:val="%1."/>
      <w:lvlJc w:val="left"/>
      <w:rPr>
        <w:color w:val="3370FF"/>
      </w:rPr>
    </w:lvl>
  </w:abstractNum>
  <w:abstractNum w:abstractNumId="25">
    <w:nsid w:val="B5E306ED"/>
    <w:multiLevelType w:val="singleLevel"/>
    <w:tmpl w:val="B5E306ED"/>
    <w:lvl w:ilvl="0" w:tentative="0">
      <w:start w:val="0"/>
      <w:numFmt w:val="bullet"/>
      <w:lvlText w:val="•"/>
      <w:lvlJc w:val="left"/>
      <w:rPr>
        <w:color w:val="3370FF"/>
      </w:rPr>
    </w:lvl>
  </w:abstractNum>
  <w:abstractNum w:abstractNumId="26">
    <w:nsid w:val="B88D21A8"/>
    <w:multiLevelType w:val="singleLevel"/>
    <w:tmpl w:val="B88D21A8"/>
    <w:lvl w:ilvl="0" w:tentative="0">
      <w:start w:val="0"/>
      <w:numFmt w:val="bullet"/>
      <w:lvlText w:val="￮"/>
      <w:lvlJc w:val="left"/>
      <w:rPr>
        <w:color w:val="3370FF"/>
      </w:rPr>
    </w:lvl>
  </w:abstractNum>
  <w:abstractNum w:abstractNumId="27">
    <w:nsid w:val="B8CEF35B"/>
    <w:multiLevelType w:val="singleLevel"/>
    <w:tmpl w:val="B8CEF35B"/>
    <w:lvl w:ilvl="0" w:tentative="0">
      <w:start w:val="2"/>
      <w:numFmt w:val="lowerLetter"/>
      <w:lvlText w:val="%1."/>
      <w:lvlJc w:val="left"/>
      <w:rPr>
        <w:color w:val="3370FF"/>
      </w:rPr>
    </w:lvl>
  </w:abstractNum>
  <w:abstractNum w:abstractNumId="28">
    <w:nsid w:val="BB64CFA9"/>
    <w:multiLevelType w:val="singleLevel"/>
    <w:tmpl w:val="BB64CFA9"/>
    <w:lvl w:ilvl="0" w:tentative="0">
      <w:start w:val="5"/>
      <w:numFmt w:val="decimal"/>
      <w:lvlText w:val="%1."/>
      <w:lvlJc w:val="left"/>
      <w:rPr>
        <w:color w:val="3370FF"/>
      </w:rPr>
    </w:lvl>
  </w:abstractNum>
  <w:abstractNum w:abstractNumId="29">
    <w:nsid w:val="BCECA0B4"/>
    <w:multiLevelType w:val="singleLevel"/>
    <w:tmpl w:val="BCECA0B4"/>
    <w:lvl w:ilvl="0" w:tentative="0">
      <w:start w:val="0"/>
      <w:numFmt w:val="bullet"/>
      <w:lvlText w:val="￮"/>
      <w:lvlJc w:val="left"/>
      <w:rPr>
        <w:color w:val="3370FF"/>
      </w:rPr>
    </w:lvl>
  </w:abstractNum>
  <w:abstractNum w:abstractNumId="30">
    <w:nsid w:val="BDA1395C"/>
    <w:multiLevelType w:val="singleLevel"/>
    <w:tmpl w:val="BDA1395C"/>
    <w:lvl w:ilvl="0" w:tentative="0">
      <w:start w:val="0"/>
      <w:numFmt w:val="bullet"/>
      <w:lvlText w:val="￮"/>
      <w:lvlJc w:val="left"/>
      <w:rPr>
        <w:color w:val="3370FF"/>
      </w:rPr>
    </w:lvl>
  </w:abstractNum>
  <w:abstractNum w:abstractNumId="31">
    <w:nsid w:val="BE8A4F4C"/>
    <w:multiLevelType w:val="singleLevel"/>
    <w:tmpl w:val="BE8A4F4C"/>
    <w:lvl w:ilvl="0" w:tentative="0">
      <w:start w:val="0"/>
      <w:numFmt w:val="bullet"/>
      <w:lvlText w:val="•"/>
      <w:lvlJc w:val="left"/>
      <w:rPr>
        <w:color w:val="3370FF"/>
      </w:rPr>
    </w:lvl>
  </w:abstractNum>
  <w:abstractNum w:abstractNumId="32">
    <w:nsid w:val="BE923771"/>
    <w:multiLevelType w:val="singleLevel"/>
    <w:tmpl w:val="BE923771"/>
    <w:lvl w:ilvl="0" w:tentative="0">
      <w:start w:val="3"/>
      <w:numFmt w:val="decimal"/>
      <w:lvlText w:val="%1."/>
      <w:lvlJc w:val="left"/>
      <w:rPr>
        <w:color w:val="3370FF"/>
      </w:rPr>
    </w:lvl>
  </w:abstractNum>
  <w:abstractNum w:abstractNumId="33">
    <w:nsid w:val="BF205925"/>
    <w:multiLevelType w:val="singleLevel"/>
    <w:tmpl w:val="BF205925"/>
    <w:lvl w:ilvl="0" w:tentative="0">
      <w:start w:val="0"/>
      <w:numFmt w:val="bullet"/>
      <w:lvlText w:val="•"/>
      <w:lvlJc w:val="left"/>
      <w:rPr>
        <w:color w:val="3370FF"/>
      </w:rPr>
    </w:lvl>
  </w:abstractNum>
  <w:abstractNum w:abstractNumId="34">
    <w:nsid w:val="BF50FE6B"/>
    <w:multiLevelType w:val="singleLevel"/>
    <w:tmpl w:val="BF50FE6B"/>
    <w:lvl w:ilvl="0" w:tentative="0">
      <w:start w:val="0"/>
      <w:numFmt w:val="bullet"/>
      <w:lvlText w:val="￮"/>
      <w:lvlJc w:val="left"/>
      <w:rPr>
        <w:color w:val="3370FF"/>
      </w:rPr>
    </w:lvl>
  </w:abstractNum>
  <w:abstractNum w:abstractNumId="35">
    <w:nsid w:val="C0915F4F"/>
    <w:multiLevelType w:val="singleLevel"/>
    <w:tmpl w:val="C0915F4F"/>
    <w:lvl w:ilvl="0" w:tentative="0">
      <w:start w:val="0"/>
      <w:numFmt w:val="bullet"/>
      <w:lvlText w:val="￮"/>
      <w:lvlJc w:val="left"/>
      <w:rPr>
        <w:color w:val="3370FF"/>
      </w:rPr>
    </w:lvl>
  </w:abstractNum>
  <w:abstractNum w:abstractNumId="36">
    <w:nsid w:val="C4E0D24A"/>
    <w:multiLevelType w:val="singleLevel"/>
    <w:tmpl w:val="C4E0D24A"/>
    <w:lvl w:ilvl="0" w:tentative="0">
      <w:start w:val="0"/>
      <w:numFmt w:val="bullet"/>
      <w:lvlText w:val="￮"/>
      <w:lvlJc w:val="left"/>
      <w:rPr>
        <w:color w:val="3370FF"/>
      </w:rPr>
    </w:lvl>
  </w:abstractNum>
  <w:abstractNum w:abstractNumId="37">
    <w:nsid w:val="C8879AEF"/>
    <w:multiLevelType w:val="singleLevel"/>
    <w:tmpl w:val="C8879AEF"/>
    <w:lvl w:ilvl="0" w:tentative="0">
      <w:start w:val="1"/>
      <w:numFmt w:val="decimal"/>
      <w:lvlText w:val="%1."/>
      <w:lvlJc w:val="left"/>
      <w:rPr>
        <w:color w:val="3370FF"/>
      </w:rPr>
    </w:lvl>
  </w:abstractNum>
  <w:abstractNum w:abstractNumId="38">
    <w:nsid w:val="C90D1B09"/>
    <w:multiLevelType w:val="singleLevel"/>
    <w:tmpl w:val="C90D1B09"/>
    <w:lvl w:ilvl="0" w:tentative="0">
      <w:start w:val="0"/>
      <w:numFmt w:val="bullet"/>
      <w:lvlText w:val="•"/>
      <w:lvlJc w:val="left"/>
      <w:rPr>
        <w:color w:val="3370FF"/>
      </w:rPr>
    </w:lvl>
  </w:abstractNum>
  <w:abstractNum w:abstractNumId="39">
    <w:nsid w:val="CF092B84"/>
    <w:multiLevelType w:val="singleLevel"/>
    <w:tmpl w:val="CF092B84"/>
    <w:lvl w:ilvl="0" w:tentative="0">
      <w:start w:val="0"/>
      <w:numFmt w:val="bullet"/>
      <w:lvlText w:val="•"/>
      <w:lvlJc w:val="left"/>
      <w:rPr>
        <w:color w:val="3370FF"/>
      </w:rPr>
    </w:lvl>
  </w:abstractNum>
  <w:abstractNum w:abstractNumId="40">
    <w:nsid w:val="D1EB1714"/>
    <w:multiLevelType w:val="singleLevel"/>
    <w:tmpl w:val="D1EB1714"/>
    <w:lvl w:ilvl="0" w:tentative="0">
      <w:start w:val="0"/>
      <w:numFmt w:val="bullet"/>
      <w:lvlText w:val="•"/>
      <w:lvlJc w:val="left"/>
      <w:rPr>
        <w:color w:val="3370FF"/>
      </w:rPr>
    </w:lvl>
  </w:abstractNum>
  <w:abstractNum w:abstractNumId="41">
    <w:nsid w:val="D7D140E4"/>
    <w:multiLevelType w:val="singleLevel"/>
    <w:tmpl w:val="D7D140E4"/>
    <w:lvl w:ilvl="0" w:tentative="0">
      <w:start w:val="0"/>
      <w:numFmt w:val="bullet"/>
      <w:lvlText w:val="￮"/>
      <w:lvlJc w:val="left"/>
      <w:rPr>
        <w:color w:val="3370FF"/>
      </w:rPr>
    </w:lvl>
  </w:abstractNum>
  <w:abstractNum w:abstractNumId="42">
    <w:nsid w:val="D7F9FE59"/>
    <w:multiLevelType w:val="singleLevel"/>
    <w:tmpl w:val="D7F9FE59"/>
    <w:lvl w:ilvl="0" w:tentative="0">
      <w:start w:val="5"/>
      <w:numFmt w:val="lowerLetter"/>
      <w:lvlText w:val="%1."/>
      <w:lvlJc w:val="left"/>
      <w:rPr>
        <w:color w:val="3370FF"/>
      </w:rPr>
    </w:lvl>
  </w:abstractNum>
  <w:abstractNum w:abstractNumId="43">
    <w:nsid w:val="DAD3A854"/>
    <w:multiLevelType w:val="singleLevel"/>
    <w:tmpl w:val="DAD3A854"/>
    <w:lvl w:ilvl="0" w:tentative="0">
      <w:start w:val="0"/>
      <w:numFmt w:val="bullet"/>
      <w:lvlText w:val="￮"/>
      <w:lvlJc w:val="left"/>
      <w:rPr>
        <w:color w:val="3370FF"/>
      </w:rPr>
    </w:lvl>
  </w:abstractNum>
  <w:abstractNum w:abstractNumId="44">
    <w:nsid w:val="DCBA6B53"/>
    <w:multiLevelType w:val="singleLevel"/>
    <w:tmpl w:val="DCBA6B53"/>
    <w:lvl w:ilvl="0" w:tentative="0">
      <w:start w:val="4"/>
      <w:numFmt w:val="lowerLetter"/>
      <w:lvlText w:val="%1."/>
      <w:lvlJc w:val="left"/>
      <w:rPr>
        <w:color w:val="3370FF"/>
      </w:rPr>
    </w:lvl>
  </w:abstractNum>
  <w:abstractNum w:abstractNumId="45">
    <w:nsid w:val="E0294EC7"/>
    <w:multiLevelType w:val="singleLevel"/>
    <w:tmpl w:val="E0294EC7"/>
    <w:lvl w:ilvl="0" w:tentative="0">
      <w:start w:val="0"/>
      <w:numFmt w:val="bullet"/>
      <w:lvlText w:val="•"/>
      <w:lvlJc w:val="left"/>
      <w:rPr>
        <w:color w:val="3370FF"/>
      </w:rPr>
    </w:lvl>
  </w:abstractNum>
  <w:abstractNum w:abstractNumId="46">
    <w:nsid w:val="E093A4B0"/>
    <w:multiLevelType w:val="singleLevel"/>
    <w:tmpl w:val="E093A4B0"/>
    <w:lvl w:ilvl="0" w:tentative="0">
      <w:start w:val="4"/>
      <w:numFmt w:val="lowerLetter"/>
      <w:lvlText w:val="%1."/>
      <w:lvlJc w:val="left"/>
      <w:rPr>
        <w:color w:val="3370FF"/>
      </w:rPr>
    </w:lvl>
  </w:abstractNum>
  <w:abstractNum w:abstractNumId="47">
    <w:nsid w:val="E504947C"/>
    <w:multiLevelType w:val="singleLevel"/>
    <w:tmpl w:val="E504947C"/>
    <w:lvl w:ilvl="0" w:tentative="0">
      <w:start w:val="0"/>
      <w:numFmt w:val="bullet"/>
      <w:lvlText w:val="￮"/>
      <w:lvlJc w:val="left"/>
      <w:rPr>
        <w:color w:val="3370FF"/>
      </w:rPr>
    </w:lvl>
  </w:abstractNum>
  <w:abstractNum w:abstractNumId="48">
    <w:nsid w:val="E7B27C5B"/>
    <w:multiLevelType w:val="singleLevel"/>
    <w:tmpl w:val="E7B27C5B"/>
    <w:lvl w:ilvl="0" w:tentative="0">
      <w:start w:val="0"/>
      <w:numFmt w:val="bullet"/>
      <w:lvlText w:val="￮"/>
      <w:lvlJc w:val="left"/>
      <w:rPr>
        <w:color w:val="3370FF"/>
      </w:rPr>
    </w:lvl>
  </w:abstractNum>
  <w:abstractNum w:abstractNumId="49">
    <w:nsid w:val="F0E89278"/>
    <w:multiLevelType w:val="singleLevel"/>
    <w:tmpl w:val="F0E89278"/>
    <w:lvl w:ilvl="0" w:tentative="0">
      <w:start w:val="5"/>
      <w:numFmt w:val="decimal"/>
      <w:lvlText w:val="%1."/>
      <w:lvlJc w:val="left"/>
      <w:rPr>
        <w:color w:val="3370FF"/>
      </w:rPr>
    </w:lvl>
  </w:abstractNum>
  <w:abstractNum w:abstractNumId="50">
    <w:nsid w:val="F3A33954"/>
    <w:multiLevelType w:val="singleLevel"/>
    <w:tmpl w:val="F3A33954"/>
    <w:lvl w:ilvl="0" w:tentative="0">
      <w:start w:val="0"/>
      <w:numFmt w:val="bullet"/>
      <w:lvlText w:val="•"/>
      <w:lvlJc w:val="left"/>
      <w:rPr>
        <w:color w:val="3370FF"/>
      </w:rPr>
    </w:lvl>
  </w:abstractNum>
  <w:abstractNum w:abstractNumId="51">
    <w:nsid w:val="F4A942FE"/>
    <w:multiLevelType w:val="singleLevel"/>
    <w:tmpl w:val="F4A942FE"/>
    <w:lvl w:ilvl="0" w:tentative="0">
      <w:start w:val="0"/>
      <w:numFmt w:val="bullet"/>
      <w:lvlText w:val="•"/>
      <w:lvlJc w:val="left"/>
      <w:rPr>
        <w:color w:val="3370FF"/>
      </w:rPr>
    </w:lvl>
  </w:abstractNum>
  <w:abstractNum w:abstractNumId="52">
    <w:nsid w:val="F4B5D9F5"/>
    <w:multiLevelType w:val="singleLevel"/>
    <w:tmpl w:val="F4B5D9F5"/>
    <w:lvl w:ilvl="0" w:tentative="0">
      <w:start w:val="2"/>
      <w:numFmt w:val="lowerLetter"/>
      <w:lvlText w:val="%1."/>
      <w:lvlJc w:val="left"/>
      <w:rPr>
        <w:color w:val="3370FF"/>
      </w:rPr>
    </w:lvl>
  </w:abstractNum>
  <w:abstractNum w:abstractNumId="53">
    <w:nsid w:val="F585BF25"/>
    <w:multiLevelType w:val="singleLevel"/>
    <w:tmpl w:val="F585BF25"/>
    <w:lvl w:ilvl="0" w:tentative="0">
      <w:start w:val="2"/>
      <w:numFmt w:val="decimal"/>
      <w:lvlText w:val="%1."/>
      <w:lvlJc w:val="left"/>
      <w:rPr>
        <w:color w:val="3370FF"/>
      </w:rPr>
    </w:lvl>
  </w:abstractNum>
  <w:abstractNum w:abstractNumId="54">
    <w:nsid w:val="F689643B"/>
    <w:multiLevelType w:val="singleLevel"/>
    <w:tmpl w:val="F689643B"/>
    <w:lvl w:ilvl="0" w:tentative="0">
      <w:start w:val="0"/>
      <w:numFmt w:val="bullet"/>
      <w:lvlText w:val="￮"/>
      <w:lvlJc w:val="left"/>
      <w:rPr>
        <w:color w:val="3370FF"/>
      </w:rPr>
    </w:lvl>
  </w:abstractNum>
  <w:abstractNum w:abstractNumId="55">
    <w:nsid w:val="F7735DC9"/>
    <w:multiLevelType w:val="singleLevel"/>
    <w:tmpl w:val="F7735DC9"/>
    <w:lvl w:ilvl="0" w:tentative="0">
      <w:start w:val="3"/>
      <w:numFmt w:val="lowerLetter"/>
      <w:lvlText w:val="%1."/>
      <w:lvlJc w:val="left"/>
      <w:rPr>
        <w:color w:val="3370FF"/>
      </w:rPr>
    </w:lvl>
  </w:abstractNum>
  <w:abstractNum w:abstractNumId="56">
    <w:nsid w:val="FEC2EA36"/>
    <w:multiLevelType w:val="singleLevel"/>
    <w:tmpl w:val="FEC2EA36"/>
    <w:lvl w:ilvl="0" w:tentative="0">
      <w:start w:val="0"/>
      <w:numFmt w:val="bullet"/>
      <w:lvlText w:val="￮"/>
      <w:lvlJc w:val="left"/>
      <w:rPr>
        <w:color w:val="3370FF"/>
      </w:rPr>
    </w:lvl>
  </w:abstractNum>
  <w:abstractNum w:abstractNumId="57">
    <w:nsid w:val="0053208E"/>
    <w:multiLevelType w:val="singleLevel"/>
    <w:tmpl w:val="0053208E"/>
    <w:lvl w:ilvl="0" w:tentative="0">
      <w:start w:val="0"/>
      <w:numFmt w:val="bullet"/>
      <w:lvlText w:val="•"/>
      <w:lvlJc w:val="left"/>
      <w:rPr>
        <w:color w:val="3370FF"/>
      </w:rPr>
    </w:lvl>
  </w:abstractNum>
  <w:abstractNum w:abstractNumId="58">
    <w:nsid w:val="01836A6D"/>
    <w:multiLevelType w:val="singleLevel"/>
    <w:tmpl w:val="01836A6D"/>
    <w:lvl w:ilvl="0" w:tentative="0">
      <w:start w:val="0"/>
      <w:numFmt w:val="bullet"/>
      <w:lvlText w:val="￮"/>
      <w:lvlJc w:val="left"/>
      <w:rPr>
        <w:color w:val="3370FF"/>
      </w:rPr>
    </w:lvl>
  </w:abstractNum>
  <w:abstractNum w:abstractNumId="59">
    <w:nsid w:val="0248C179"/>
    <w:multiLevelType w:val="singleLevel"/>
    <w:tmpl w:val="0248C179"/>
    <w:lvl w:ilvl="0" w:tentative="0">
      <w:start w:val="0"/>
      <w:numFmt w:val="bullet"/>
      <w:lvlText w:val="•"/>
      <w:lvlJc w:val="left"/>
      <w:rPr>
        <w:color w:val="3370FF"/>
      </w:rPr>
    </w:lvl>
  </w:abstractNum>
  <w:abstractNum w:abstractNumId="60">
    <w:nsid w:val="03A63A41"/>
    <w:multiLevelType w:val="singleLevel"/>
    <w:tmpl w:val="03A63A41"/>
    <w:lvl w:ilvl="0" w:tentative="0">
      <w:start w:val="0"/>
      <w:numFmt w:val="bullet"/>
      <w:lvlText w:val="￮"/>
      <w:lvlJc w:val="left"/>
      <w:rPr>
        <w:color w:val="3370FF"/>
      </w:rPr>
    </w:lvl>
  </w:abstractNum>
  <w:abstractNum w:abstractNumId="61">
    <w:nsid w:val="03D62ECE"/>
    <w:multiLevelType w:val="singleLevel"/>
    <w:tmpl w:val="03D62ECE"/>
    <w:lvl w:ilvl="0" w:tentative="0">
      <w:start w:val="0"/>
      <w:numFmt w:val="bullet"/>
      <w:lvlText w:val="•"/>
      <w:lvlJc w:val="left"/>
      <w:rPr>
        <w:color w:val="3370FF"/>
      </w:rPr>
    </w:lvl>
  </w:abstractNum>
  <w:abstractNum w:abstractNumId="62">
    <w:nsid w:val="0709FD3E"/>
    <w:multiLevelType w:val="singleLevel"/>
    <w:tmpl w:val="0709FD3E"/>
    <w:lvl w:ilvl="0" w:tentative="0">
      <w:start w:val="0"/>
      <w:numFmt w:val="bullet"/>
      <w:lvlText w:val="￮"/>
      <w:lvlJc w:val="left"/>
      <w:rPr>
        <w:color w:val="3370FF"/>
      </w:rPr>
    </w:lvl>
  </w:abstractNum>
  <w:abstractNum w:abstractNumId="63">
    <w:nsid w:val="0CEF100B"/>
    <w:multiLevelType w:val="singleLevel"/>
    <w:tmpl w:val="0CEF100B"/>
    <w:lvl w:ilvl="0" w:tentative="0">
      <w:start w:val="3"/>
      <w:numFmt w:val="decimal"/>
      <w:lvlText w:val="%1."/>
      <w:lvlJc w:val="left"/>
      <w:rPr>
        <w:color w:val="3370FF"/>
      </w:rPr>
    </w:lvl>
  </w:abstractNum>
  <w:abstractNum w:abstractNumId="64">
    <w:nsid w:val="0E640482"/>
    <w:multiLevelType w:val="singleLevel"/>
    <w:tmpl w:val="0E640482"/>
    <w:lvl w:ilvl="0" w:tentative="0">
      <w:start w:val="1"/>
      <w:numFmt w:val="lowerLetter"/>
      <w:lvlText w:val="%1."/>
      <w:lvlJc w:val="left"/>
      <w:rPr>
        <w:color w:val="3370FF"/>
      </w:rPr>
    </w:lvl>
  </w:abstractNum>
  <w:abstractNum w:abstractNumId="65">
    <w:nsid w:val="0F9F9CCA"/>
    <w:multiLevelType w:val="singleLevel"/>
    <w:tmpl w:val="0F9F9CCA"/>
    <w:lvl w:ilvl="0" w:tentative="0">
      <w:start w:val="0"/>
      <w:numFmt w:val="bullet"/>
      <w:lvlText w:val="￮"/>
      <w:lvlJc w:val="left"/>
      <w:rPr>
        <w:color w:val="3370FF"/>
      </w:rPr>
    </w:lvl>
  </w:abstractNum>
  <w:abstractNum w:abstractNumId="66">
    <w:nsid w:val="10D591E5"/>
    <w:multiLevelType w:val="singleLevel"/>
    <w:tmpl w:val="10D591E5"/>
    <w:lvl w:ilvl="0" w:tentative="0">
      <w:start w:val="3"/>
      <w:numFmt w:val="decimal"/>
      <w:lvlText w:val="%1."/>
      <w:lvlJc w:val="left"/>
      <w:rPr>
        <w:color w:val="3370FF"/>
      </w:rPr>
    </w:lvl>
  </w:abstractNum>
  <w:abstractNum w:abstractNumId="67">
    <w:nsid w:val="12EADF99"/>
    <w:multiLevelType w:val="singleLevel"/>
    <w:tmpl w:val="12EADF99"/>
    <w:lvl w:ilvl="0" w:tentative="0">
      <w:start w:val="0"/>
      <w:numFmt w:val="bullet"/>
      <w:lvlText w:val="￮"/>
      <w:lvlJc w:val="left"/>
      <w:rPr>
        <w:color w:val="3370FF"/>
      </w:rPr>
    </w:lvl>
  </w:abstractNum>
  <w:abstractNum w:abstractNumId="68">
    <w:nsid w:val="1450273B"/>
    <w:multiLevelType w:val="singleLevel"/>
    <w:tmpl w:val="1450273B"/>
    <w:lvl w:ilvl="0" w:tentative="0">
      <w:start w:val="0"/>
      <w:numFmt w:val="bullet"/>
      <w:lvlText w:val="•"/>
      <w:lvlJc w:val="left"/>
      <w:rPr>
        <w:color w:val="3370FF"/>
      </w:rPr>
    </w:lvl>
  </w:abstractNum>
  <w:abstractNum w:abstractNumId="69">
    <w:nsid w:val="18F74015"/>
    <w:multiLevelType w:val="singleLevel"/>
    <w:tmpl w:val="18F74015"/>
    <w:lvl w:ilvl="0" w:tentative="0">
      <w:start w:val="0"/>
      <w:numFmt w:val="bullet"/>
      <w:lvlText w:val="￮"/>
      <w:lvlJc w:val="left"/>
      <w:rPr>
        <w:color w:val="3370FF"/>
      </w:rPr>
    </w:lvl>
  </w:abstractNum>
  <w:abstractNum w:abstractNumId="70">
    <w:nsid w:val="1ACDE60F"/>
    <w:multiLevelType w:val="singleLevel"/>
    <w:tmpl w:val="1ACDE60F"/>
    <w:lvl w:ilvl="0" w:tentative="0">
      <w:start w:val="0"/>
      <w:numFmt w:val="bullet"/>
      <w:lvlText w:val="•"/>
      <w:lvlJc w:val="left"/>
      <w:rPr>
        <w:color w:val="3370FF"/>
      </w:rPr>
    </w:lvl>
  </w:abstractNum>
  <w:abstractNum w:abstractNumId="71">
    <w:nsid w:val="1AD50295"/>
    <w:multiLevelType w:val="singleLevel"/>
    <w:tmpl w:val="1AD50295"/>
    <w:lvl w:ilvl="0" w:tentative="0">
      <w:start w:val="0"/>
      <w:numFmt w:val="bullet"/>
      <w:lvlText w:val="•"/>
      <w:lvlJc w:val="left"/>
      <w:rPr>
        <w:color w:val="3370FF"/>
      </w:rPr>
    </w:lvl>
  </w:abstractNum>
  <w:abstractNum w:abstractNumId="72">
    <w:nsid w:val="1BCBBCF0"/>
    <w:multiLevelType w:val="singleLevel"/>
    <w:tmpl w:val="1BCBBCF0"/>
    <w:lvl w:ilvl="0" w:tentative="0">
      <w:start w:val="0"/>
      <w:numFmt w:val="bullet"/>
      <w:lvlText w:val="￮"/>
      <w:lvlJc w:val="left"/>
      <w:rPr>
        <w:color w:val="3370FF"/>
      </w:rPr>
    </w:lvl>
  </w:abstractNum>
  <w:abstractNum w:abstractNumId="73">
    <w:nsid w:val="1C257C7B"/>
    <w:multiLevelType w:val="singleLevel"/>
    <w:tmpl w:val="1C257C7B"/>
    <w:lvl w:ilvl="0" w:tentative="0">
      <w:start w:val="0"/>
      <w:numFmt w:val="bullet"/>
      <w:lvlText w:val="￮"/>
      <w:lvlJc w:val="left"/>
      <w:rPr>
        <w:color w:val="3370FF"/>
      </w:rPr>
    </w:lvl>
  </w:abstractNum>
  <w:abstractNum w:abstractNumId="74">
    <w:nsid w:val="23E97754"/>
    <w:multiLevelType w:val="singleLevel"/>
    <w:tmpl w:val="23E97754"/>
    <w:lvl w:ilvl="0" w:tentative="0">
      <w:start w:val="0"/>
      <w:numFmt w:val="bullet"/>
      <w:lvlText w:val="￮"/>
      <w:lvlJc w:val="left"/>
      <w:rPr>
        <w:color w:val="3370FF"/>
      </w:rPr>
    </w:lvl>
  </w:abstractNum>
  <w:abstractNum w:abstractNumId="75">
    <w:nsid w:val="243FCF68"/>
    <w:multiLevelType w:val="singleLevel"/>
    <w:tmpl w:val="243FCF68"/>
    <w:lvl w:ilvl="0" w:tentative="0">
      <w:start w:val="1"/>
      <w:numFmt w:val="lowerLetter"/>
      <w:lvlText w:val="%1."/>
      <w:lvlJc w:val="left"/>
      <w:rPr>
        <w:color w:val="3370FF"/>
      </w:rPr>
    </w:lvl>
  </w:abstractNum>
  <w:abstractNum w:abstractNumId="76">
    <w:nsid w:val="2470EC97"/>
    <w:multiLevelType w:val="singleLevel"/>
    <w:tmpl w:val="2470EC97"/>
    <w:lvl w:ilvl="0" w:tentative="0">
      <w:start w:val="3"/>
      <w:numFmt w:val="lowerLetter"/>
      <w:lvlText w:val="%1."/>
      <w:lvlJc w:val="left"/>
      <w:rPr>
        <w:color w:val="3370FF"/>
      </w:rPr>
    </w:lvl>
  </w:abstractNum>
  <w:abstractNum w:abstractNumId="77">
    <w:nsid w:val="25B654F3"/>
    <w:multiLevelType w:val="singleLevel"/>
    <w:tmpl w:val="25B654F3"/>
    <w:lvl w:ilvl="0" w:tentative="0">
      <w:start w:val="0"/>
      <w:numFmt w:val="bullet"/>
      <w:lvlText w:val="•"/>
      <w:lvlJc w:val="left"/>
      <w:rPr>
        <w:color w:val="3370FF"/>
      </w:rPr>
    </w:lvl>
  </w:abstractNum>
  <w:abstractNum w:abstractNumId="78">
    <w:nsid w:val="2A8F537B"/>
    <w:multiLevelType w:val="singleLevel"/>
    <w:tmpl w:val="2A8F537B"/>
    <w:lvl w:ilvl="0" w:tentative="0">
      <w:start w:val="2"/>
      <w:numFmt w:val="decimal"/>
      <w:lvlText w:val="%1."/>
      <w:lvlJc w:val="left"/>
      <w:rPr>
        <w:color w:val="3370FF"/>
      </w:rPr>
    </w:lvl>
  </w:abstractNum>
  <w:abstractNum w:abstractNumId="79">
    <w:nsid w:val="2F2D79CE"/>
    <w:multiLevelType w:val="singleLevel"/>
    <w:tmpl w:val="2F2D79CE"/>
    <w:lvl w:ilvl="0" w:tentative="0">
      <w:start w:val="0"/>
      <w:numFmt w:val="bullet"/>
      <w:lvlText w:val="￮"/>
      <w:lvlJc w:val="left"/>
      <w:rPr>
        <w:color w:val="3370FF"/>
      </w:rPr>
    </w:lvl>
  </w:abstractNum>
  <w:abstractNum w:abstractNumId="80">
    <w:nsid w:val="30A0AC00"/>
    <w:multiLevelType w:val="singleLevel"/>
    <w:tmpl w:val="30A0AC00"/>
    <w:lvl w:ilvl="0" w:tentative="0">
      <w:start w:val="2"/>
      <w:numFmt w:val="decimal"/>
      <w:lvlText w:val="%1."/>
      <w:lvlJc w:val="left"/>
      <w:rPr>
        <w:color w:val="3370FF"/>
      </w:rPr>
    </w:lvl>
  </w:abstractNum>
  <w:abstractNum w:abstractNumId="81">
    <w:nsid w:val="30FC5B15"/>
    <w:multiLevelType w:val="singleLevel"/>
    <w:tmpl w:val="30FC5B15"/>
    <w:lvl w:ilvl="0" w:tentative="0">
      <w:start w:val="5"/>
      <w:numFmt w:val="lowerLetter"/>
      <w:lvlText w:val="%1."/>
      <w:lvlJc w:val="left"/>
      <w:rPr>
        <w:color w:val="3370FF"/>
      </w:rPr>
    </w:lvl>
  </w:abstractNum>
  <w:abstractNum w:abstractNumId="82">
    <w:nsid w:val="322D85CA"/>
    <w:multiLevelType w:val="singleLevel"/>
    <w:tmpl w:val="322D85CA"/>
    <w:lvl w:ilvl="0" w:tentative="0">
      <w:start w:val="0"/>
      <w:numFmt w:val="bullet"/>
      <w:lvlText w:val="￮"/>
      <w:lvlJc w:val="left"/>
      <w:rPr>
        <w:color w:val="3370FF"/>
      </w:rPr>
    </w:lvl>
  </w:abstractNum>
  <w:abstractNum w:abstractNumId="83">
    <w:nsid w:val="32A7AF2D"/>
    <w:multiLevelType w:val="singleLevel"/>
    <w:tmpl w:val="32A7AF2D"/>
    <w:lvl w:ilvl="0" w:tentative="0">
      <w:start w:val="4"/>
      <w:numFmt w:val="decimal"/>
      <w:lvlText w:val="%1."/>
      <w:lvlJc w:val="left"/>
      <w:rPr>
        <w:color w:val="3370FF"/>
      </w:rPr>
    </w:lvl>
  </w:abstractNum>
  <w:abstractNum w:abstractNumId="84">
    <w:nsid w:val="35E83B33"/>
    <w:multiLevelType w:val="singleLevel"/>
    <w:tmpl w:val="35E83B33"/>
    <w:lvl w:ilvl="0" w:tentative="0">
      <w:start w:val="0"/>
      <w:numFmt w:val="bullet"/>
      <w:lvlText w:val="￮"/>
      <w:lvlJc w:val="left"/>
      <w:rPr>
        <w:color w:val="3370FF"/>
      </w:rPr>
    </w:lvl>
  </w:abstractNum>
  <w:abstractNum w:abstractNumId="85">
    <w:nsid w:val="39A0D9AC"/>
    <w:multiLevelType w:val="singleLevel"/>
    <w:tmpl w:val="39A0D9AC"/>
    <w:lvl w:ilvl="0" w:tentative="0">
      <w:start w:val="3"/>
      <w:numFmt w:val="lowerLetter"/>
      <w:lvlText w:val="%1."/>
      <w:lvlJc w:val="left"/>
      <w:rPr>
        <w:color w:val="3370FF"/>
      </w:rPr>
    </w:lvl>
  </w:abstractNum>
  <w:abstractNum w:abstractNumId="86">
    <w:nsid w:val="3B8127DF"/>
    <w:multiLevelType w:val="singleLevel"/>
    <w:tmpl w:val="3B8127DF"/>
    <w:lvl w:ilvl="0" w:tentative="0">
      <w:start w:val="1"/>
      <w:numFmt w:val="decimal"/>
      <w:lvlText w:val="%1."/>
      <w:lvlJc w:val="left"/>
      <w:rPr>
        <w:color w:val="3370FF"/>
      </w:rPr>
    </w:lvl>
  </w:abstractNum>
  <w:abstractNum w:abstractNumId="87">
    <w:nsid w:val="40B249F9"/>
    <w:multiLevelType w:val="singleLevel"/>
    <w:tmpl w:val="40B249F9"/>
    <w:lvl w:ilvl="0" w:tentative="0">
      <w:start w:val="0"/>
      <w:numFmt w:val="bullet"/>
      <w:lvlText w:val="￮"/>
      <w:lvlJc w:val="left"/>
      <w:rPr>
        <w:color w:val="3370FF"/>
      </w:rPr>
    </w:lvl>
  </w:abstractNum>
  <w:abstractNum w:abstractNumId="88">
    <w:nsid w:val="46A08BB8"/>
    <w:multiLevelType w:val="singleLevel"/>
    <w:tmpl w:val="46A08BB8"/>
    <w:lvl w:ilvl="0" w:tentative="0">
      <w:start w:val="2"/>
      <w:numFmt w:val="lowerLetter"/>
      <w:lvlText w:val="%1."/>
      <w:lvlJc w:val="left"/>
      <w:rPr>
        <w:color w:val="3370FF"/>
      </w:rPr>
    </w:lvl>
  </w:abstractNum>
  <w:abstractNum w:abstractNumId="89">
    <w:nsid w:val="4A51D704"/>
    <w:multiLevelType w:val="singleLevel"/>
    <w:tmpl w:val="4A51D704"/>
    <w:lvl w:ilvl="0" w:tentative="0">
      <w:start w:val="0"/>
      <w:numFmt w:val="bullet"/>
      <w:lvlText w:val="•"/>
      <w:lvlJc w:val="left"/>
      <w:rPr>
        <w:color w:val="3370FF"/>
      </w:rPr>
    </w:lvl>
  </w:abstractNum>
  <w:abstractNum w:abstractNumId="90">
    <w:nsid w:val="4C1BAE26"/>
    <w:multiLevelType w:val="singleLevel"/>
    <w:tmpl w:val="4C1BAE26"/>
    <w:lvl w:ilvl="0" w:tentative="0">
      <w:start w:val="7"/>
      <w:numFmt w:val="lowerLetter"/>
      <w:lvlText w:val="%1."/>
      <w:lvlJc w:val="left"/>
      <w:rPr>
        <w:color w:val="3370FF"/>
      </w:rPr>
    </w:lvl>
  </w:abstractNum>
  <w:abstractNum w:abstractNumId="91">
    <w:nsid w:val="4C3D7A74"/>
    <w:multiLevelType w:val="singleLevel"/>
    <w:tmpl w:val="4C3D7A74"/>
    <w:lvl w:ilvl="0" w:tentative="0">
      <w:start w:val="1"/>
      <w:numFmt w:val="decimal"/>
      <w:lvlText w:val="%1."/>
      <w:lvlJc w:val="left"/>
      <w:rPr>
        <w:color w:val="3370FF"/>
      </w:rPr>
    </w:lvl>
  </w:abstractNum>
  <w:abstractNum w:abstractNumId="92">
    <w:nsid w:val="4CD1E351"/>
    <w:multiLevelType w:val="singleLevel"/>
    <w:tmpl w:val="4CD1E351"/>
    <w:lvl w:ilvl="0" w:tentative="0">
      <w:start w:val="0"/>
      <w:numFmt w:val="bullet"/>
      <w:lvlText w:val="￮"/>
      <w:lvlJc w:val="left"/>
      <w:rPr>
        <w:color w:val="3370FF"/>
      </w:rPr>
    </w:lvl>
  </w:abstractNum>
  <w:abstractNum w:abstractNumId="93">
    <w:nsid w:val="4D4DC07F"/>
    <w:multiLevelType w:val="singleLevel"/>
    <w:tmpl w:val="4D4DC07F"/>
    <w:lvl w:ilvl="0" w:tentative="0">
      <w:start w:val="1"/>
      <w:numFmt w:val="lowerLetter"/>
      <w:lvlText w:val="%1."/>
      <w:lvlJc w:val="left"/>
      <w:rPr>
        <w:color w:val="3370FF"/>
      </w:rPr>
    </w:lvl>
  </w:abstractNum>
  <w:abstractNum w:abstractNumId="94">
    <w:nsid w:val="4D94DA66"/>
    <w:multiLevelType w:val="singleLevel"/>
    <w:tmpl w:val="4D94DA66"/>
    <w:lvl w:ilvl="0" w:tentative="0">
      <w:start w:val="2"/>
      <w:numFmt w:val="lowerLetter"/>
      <w:lvlText w:val="%1."/>
      <w:lvlJc w:val="left"/>
      <w:rPr>
        <w:color w:val="3370FF"/>
      </w:rPr>
    </w:lvl>
  </w:abstractNum>
  <w:abstractNum w:abstractNumId="95">
    <w:nsid w:val="54701CA1"/>
    <w:multiLevelType w:val="singleLevel"/>
    <w:tmpl w:val="54701CA1"/>
    <w:lvl w:ilvl="0" w:tentative="0">
      <w:start w:val="0"/>
      <w:numFmt w:val="bullet"/>
      <w:lvlText w:val="•"/>
      <w:lvlJc w:val="left"/>
      <w:rPr>
        <w:color w:val="3370FF"/>
      </w:rPr>
    </w:lvl>
  </w:abstractNum>
  <w:abstractNum w:abstractNumId="96">
    <w:nsid w:val="58765686"/>
    <w:multiLevelType w:val="singleLevel"/>
    <w:tmpl w:val="58765686"/>
    <w:lvl w:ilvl="0" w:tentative="0">
      <w:start w:val="5"/>
      <w:numFmt w:val="lowerLetter"/>
      <w:lvlText w:val="%1."/>
      <w:lvlJc w:val="left"/>
      <w:rPr>
        <w:color w:val="3370FF"/>
      </w:rPr>
    </w:lvl>
  </w:abstractNum>
  <w:abstractNum w:abstractNumId="97">
    <w:nsid w:val="59ADCABA"/>
    <w:multiLevelType w:val="singleLevel"/>
    <w:tmpl w:val="59ADCABA"/>
    <w:lvl w:ilvl="0" w:tentative="0">
      <w:start w:val="0"/>
      <w:numFmt w:val="bullet"/>
      <w:lvlText w:val="•"/>
      <w:lvlJc w:val="left"/>
      <w:rPr>
        <w:color w:val="3370FF"/>
      </w:rPr>
    </w:lvl>
  </w:abstractNum>
  <w:abstractNum w:abstractNumId="98">
    <w:nsid w:val="59EEFD2A"/>
    <w:multiLevelType w:val="singleLevel"/>
    <w:tmpl w:val="59EEFD2A"/>
    <w:lvl w:ilvl="0" w:tentative="0">
      <w:start w:val="0"/>
      <w:numFmt w:val="bullet"/>
      <w:lvlText w:val="￮"/>
      <w:lvlJc w:val="left"/>
      <w:rPr>
        <w:color w:val="3370FF"/>
      </w:rPr>
    </w:lvl>
  </w:abstractNum>
  <w:abstractNum w:abstractNumId="99">
    <w:nsid w:val="5A241D34"/>
    <w:multiLevelType w:val="singleLevel"/>
    <w:tmpl w:val="5A241D34"/>
    <w:lvl w:ilvl="0" w:tentative="0">
      <w:start w:val="3"/>
      <w:numFmt w:val="decimal"/>
      <w:lvlText w:val="%1."/>
      <w:lvlJc w:val="left"/>
      <w:rPr>
        <w:color w:val="3370FF"/>
      </w:rPr>
    </w:lvl>
  </w:abstractNum>
  <w:abstractNum w:abstractNumId="100">
    <w:nsid w:val="5E29AB5A"/>
    <w:multiLevelType w:val="singleLevel"/>
    <w:tmpl w:val="5E29AB5A"/>
    <w:lvl w:ilvl="0" w:tentative="0">
      <w:start w:val="3"/>
      <w:numFmt w:val="lowerLetter"/>
      <w:lvlText w:val="%1."/>
      <w:lvlJc w:val="left"/>
      <w:rPr>
        <w:color w:val="3370FF"/>
      </w:rPr>
    </w:lvl>
  </w:abstractNum>
  <w:abstractNum w:abstractNumId="101">
    <w:nsid w:val="5FCE4367"/>
    <w:multiLevelType w:val="singleLevel"/>
    <w:tmpl w:val="5FCE4367"/>
    <w:lvl w:ilvl="0" w:tentative="0">
      <w:start w:val="0"/>
      <w:numFmt w:val="bullet"/>
      <w:lvlText w:val="•"/>
      <w:lvlJc w:val="left"/>
      <w:rPr>
        <w:color w:val="3370FF"/>
      </w:rPr>
    </w:lvl>
  </w:abstractNum>
  <w:abstractNum w:abstractNumId="102">
    <w:nsid w:val="5FFFB1A7"/>
    <w:multiLevelType w:val="singleLevel"/>
    <w:tmpl w:val="5FFFB1A7"/>
    <w:lvl w:ilvl="0" w:tentative="0">
      <w:start w:val="2"/>
      <w:numFmt w:val="decimal"/>
      <w:lvlText w:val="%1."/>
      <w:lvlJc w:val="left"/>
      <w:rPr>
        <w:color w:val="3370FF"/>
      </w:rPr>
    </w:lvl>
  </w:abstractNum>
  <w:abstractNum w:abstractNumId="103">
    <w:nsid w:val="60382F6E"/>
    <w:multiLevelType w:val="singleLevel"/>
    <w:tmpl w:val="60382F6E"/>
    <w:lvl w:ilvl="0" w:tentative="0">
      <w:start w:val="2"/>
      <w:numFmt w:val="decimal"/>
      <w:lvlText w:val="%1."/>
      <w:lvlJc w:val="left"/>
      <w:rPr>
        <w:color w:val="3370FF"/>
      </w:rPr>
    </w:lvl>
  </w:abstractNum>
  <w:abstractNum w:abstractNumId="104">
    <w:nsid w:val="610EFE5C"/>
    <w:multiLevelType w:val="singleLevel"/>
    <w:tmpl w:val="610EFE5C"/>
    <w:lvl w:ilvl="0" w:tentative="0">
      <w:start w:val="0"/>
      <w:numFmt w:val="bullet"/>
      <w:lvlText w:val="•"/>
      <w:lvlJc w:val="left"/>
      <w:rPr>
        <w:color w:val="3370FF"/>
      </w:rPr>
    </w:lvl>
  </w:abstractNum>
  <w:abstractNum w:abstractNumId="105">
    <w:nsid w:val="629F7852"/>
    <w:multiLevelType w:val="singleLevel"/>
    <w:tmpl w:val="629F7852"/>
    <w:lvl w:ilvl="0" w:tentative="0">
      <w:start w:val="1"/>
      <w:numFmt w:val="lowerLetter"/>
      <w:lvlText w:val="%1."/>
      <w:lvlJc w:val="left"/>
      <w:rPr>
        <w:color w:val="3370FF"/>
      </w:rPr>
    </w:lvl>
  </w:abstractNum>
  <w:abstractNum w:abstractNumId="106">
    <w:nsid w:val="65CD0074"/>
    <w:multiLevelType w:val="singleLevel"/>
    <w:tmpl w:val="65CD0074"/>
    <w:lvl w:ilvl="0" w:tentative="0">
      <w:start w:val="2"/>
      <w:numFmt w:val="decimal"/>
      <w:lvlText w:val="%1."/>
      <w:lvlJc w:val="left"/>
      <w:rPr>
        <w:color w:val="3370FF"/>
      </w:rPr>
    </w:lvl>
  </w:abstractNum>
  <w:abstractNum w:abstractNumId="107">
    <w:nsid w:val="68B298F7"/>
    <w:multiLevelType w:val="singleLevel"/>
    <w:tmpl w:val="68B298F7"/>
    <w:lvl w:ilvl="0" w:tentative="0">
      <w:start w:val="0"/>
      <w:numFmt w:val="bullet"/>
      <w:lvlText w:val="•"/>
      <w:lvlJc w:val="left"/>
      <w:rPr>
        <w:color w:val="3370FF"/>
      </w:rPr>
    </w:lvl>
  </w:abstractNum>
  <w:abstractNum w:abstractNumId="108">
    <w:nsid w:val="700FDCEF"/>
    <w:multiLevelType w:val="singleLevel"/>
    <w:tmpl w:val="700FDCEF"/>
    <w:lvl w:ilvl="0" w:tentative="0">
      <w:start w:val="3"/>
      <w:numFmt w:val="decimal"/>
      <w:lvlText w:val="%1."/>
      <w:lvlJc w:val="left"/>
      <w:rPr>
        <w:color w:val="3370FF"/>
      </w:rPr>
    </w:lvl>
  </w:abstractNum>
  <w:abstractNum w:abstractNumId="109">
    <w:nsid w:val="72183CF9"/>
    <w:multiLevelType w:val="singleLevel"/>
    <w:tmpl w:val="72183CF9"/>
    <w:lvl w:ilvl="0" w:tentative="0">
      <w:start w:val="0"/>
      <w:numFmt w:val="bullet"/>
      <w:lvlText w:val="•"/>
      <w:lvlJc w:val="left"/>
      <w:rPr>
        <w:color w:val="3370FF"/>
      </w:rPr>
    </w:lvl>
  </w:abstractNum>
  <w:abstractNum w:abstractNumId="110">
    <w:nsid w:val="74C28B35"/>
    <w:multiLevelType w:val="singleLevel"/>
    <w:tmpl w:val="74C28B35"/>
    <w:lvl w:ilvl="0" w:tentative="0">
      <w:start w:val="3"/>
      <w:numFmt w:val="decimal"/>
      <w:lvlText w:val="%1."/>
      <w:lvlJc w:val="left"/>
      <w:rPr>
        <w:color w:val="3370FF"/>
      </w:rPr>
    </w:lvl>
  </w:abstractNum>
  <w:abstractNum w:abstractNumId="111">
    <w:nsid w:val="77633216"/>
    <w:multiLevelType w:val="singleLevel"/>
    <w:tmpl w:val="77633216"/>
    <w:lvl w:ilvl="0" w:tentative="0">
      <w:start w:val="1"/>
      <w:numFmt w:val="decimal"/>
      <w:lvlText w:val="%1."/>
      <w:lvlJc w:val="left"/>
      <w:rPr>
        <w:color w:val="3370FF"/>
      </w:rPr>
    </w:lvl>
  </w:abstractNum>
  <w:abstractNum w:abstractNumId="112">
    <w:nsid w:val="77ECEA79"/>
    <w:multiLevelType w:val="singleLevel"/>
    <w:tmpl w:val="77ECEA79"/>
    <w:lvl w:ilvl="0" w:tentative="0">
      <w:start w:val="5"/>
      <w:numFmt w:val="lowerLetter"/>
      <w:lvlText w:val="%1."/>
      <w:lvlJc w:val="left"/>
      <w:rPr>
        <w:color w:val="3370FF"/>
      </w:rPr>
    </w:lvl>
  </w:abstractNum>
  <w:abstractNum w:abstractNumId="113">
    <w:nsid w:val="79AA4FA4"/>
    <w:multiLevelType w:val="singleLevel"/>
    <w:tmpl w:val="79AA4FA4"/>
    <w:lvl w:ilvl="0" w:tentative="0">
      <w:start w:val="6"/>
      <w:numFmt w:val="lowerLetter"/>
      <w:lvlText w:val="%1."/>
      <w:lvlJc w:val="left"/>
      <w:rPr>
        <w:color w:val="3370FF"/>
      </w:rPr>
    </w:lvl>
  </w:abstractNum>
  <w:abstractNum w:abstractNumId="114">
    <w:nsid w:val="7C246926"/>
    <w:multiLevelType w:val="singleLevel"/>
    <w:tmpl w:val="7C246926"/>
    <w:lvl w:ilvl="0" w:tentative="0">
      <w:start w:val="4"/>
      <w:numFmt w:val="lowerLetter"/>
      <w:lvlText w:val="%1."/>
      <w:lvlJc w:val="left"/>
      <w:rPr>
        <w:color w:val="3370FF"/>
      </w:rPr>
    </w:lvl>
  </w:abstractNum>
  <w:abstractNum w:abstractNumId="115">
    <w:nsid w:val="7DEC2089"/>
    <w:multiLevelType w:val="singleLevel"/>
    <w:tmpl w:val="7DEC2089"/>
    <w:lvl w:ilvl="0" w:tentative="0">
      <w:start w:val="6"/>
      <w:numFmt w:val="lowerLetter"/>
      <w:lvlText w:val="%1."/>
      <w:lvlJc w:val="left"/>
      <w:rPr>
        <w:color w:val="3370FF"/>
      </w:rPr>
    </w:lvl>
  </w:abstractNum>
  <w:num w:numId="1">
    <w:abstractNumId w:val="57"/>
  </w:num>
  <w:num w:numId="2">
    <w:abstractNumId w:val="39"/>
  </w:num>
  <w:num w:numId="3">
    <w:abstractNumId w:val="97"/>
  </w:num>
  <w:num w:numId="4">
    <w:abstractNumId w:val="33"/>
  </w:num>
  <w:num w:numId="5">
    <w:abstractNumId w:val="25"/>
  </w:num>
  <w:num w:numId="6">
    <w:abstractNumId w:val="61"/>
  </w:num>
  <w:num w:numId="7">
    <w:abstractNumId w:val="77"/>
  </w:num>
  <w:num w:numId="8">
    <w:abstractNumId w:val="109"/>
  </w:num>
  <w:num w:numId="9">
    <w:abstractNumId w:val="59"/>
  </w:num>
  <w:num w:numId="10">
    <w:abstractNumId w:val="9"/>
  </w:num>
  <w:num w:numId="11">
    <w:abstractNumId w:val="78"/>
  </w:num>
  <w:num w:numId="12">
    <w:abstractNumId w:val="99"/>
  </w:num>
  <w:num w:numId="13">
    <w:abstractNumId w:val="37"/>
  </w:num>
  <w:num w:numId="14">
    <w:abstractNumId w:val="93"/>
  </w:num>
  <w:num w:numId="15">
    <w:abstractNumId w:val="52"/>
  </w:num>
  <w:num w:numId="16">
    <w:abstractNumId w:val="76"/>
  </w:num>
  <w:num w:numId="17">
    <w:abstractNumId w:val="44"/>
  </w:num>
  <w:num w:numId="18">
    <w:abstractNumId w:val="42"/>
  </w:num>
  <w:num w:numId="19">
    <w:abstractNumId w:val="14"/>
  </w:num>
  <w:num w:numId="20">
    <w:abstractNumId w:val="90"/>
  </w:num>
  <w:num w:numId="21">
    <w:abstractNumId w:val="103"/>
  </w:num>
  <w:num w:numId="22">
    <w:abstractNumId w:val="64"/>
  </w:num>
  <w:num w:numId="23">
    <w:abstractNumId w:val="88"/>
  </w:num>
  <w:num w:numId="24">
    <w:abstractNumId w:val="22"/>
  </w:num>
  <w:num w:numId="25">
    <w:abstractNumId w:val="114"/>
  </w:num>
  <w:num w:numId="26">
    <w:abstractNumId w:val="112"/>
  </w:num>
  <w:num w:numId="27">
    <w:abstractNumId w:val="32"/>
  </w:num>
  <w:num w:numId="28">
    <w:abstractNumId w:val="105"/>
  </w:num>
  <w:num w:numId="29">
    <w:abstractNumId w:val="10"/>
  </w:num>
  <w:num w:numId="30">
    <w:abstractNumId w:val="85"/>
  </w:num>
  <w:num w:numId="31">
    <w:abstractNumId w:val="4"/>
  </w:num>
  <w:num w:numId="32">
    <w:abstractNumId w:val="96"/>
  </w:num>
  <w:num w:numId="33">
    <w:abstractNumId w:val="115"/>
  </w:num>
  <w:num w:numId="34">
    <w:abstractNumId w:val="1"/>
  </w:num>
  <w:num w:numId="35">
    <w:abstractNumId w:val="75"/>
  </w:num>
  <w:num w:numId="36">
    <w:abstractNumId w:val="94"/>
  </w:num>
  <w:num w:numId="37">
    <w:abstractNumId w:val="55"/>
  </w:num>
  <w:num w:numId="38">
    <w:abstractNumId w:val="46"/>
  </w:num>
  <w:num w:numId="39">
    <w:abstractNumId w:val="81"/>
  </w:num>
  <w:num w:numId="40">
    <w:abstractNumId w:val="113"/>
  </w:num>
  <w:num w:numId="41">
    <w:abstractNumId w:val="28"/>
  </w:num>
  <w:num w:numId="42">
    <w:abstractNumId w:val="7"/>
  </w:num>
  <w:num w:numId="43">
    <w:abstractNumId w:val="27"/>
  </w:num>
  <w:num w:numId="44">
    <w:abstractNumId w:val="100"/>
  </w:num>
  <w:num w:numId="45">
    <w:abstractNumId w:val="3"/>
  </w:num>
  <w:num w:numId="46">
    <w:abstractNumId w:val="70"/>
  </w:num>
  <w:num w:numId="47">
    <w:abstractNumId w:val="6"/>
  </w:num>
  <w:num w:numId="48">
    <w:abstractNumId w:val="102"/>
  </w:num>
  <w:num w:numId="49">
    <w:abstractNumId w:val="110"/>
  </w:num>
  <w:num w:numId="50">
    <w:abstractNumId w:val="91"/>
  </w:num>
  <w:num w:numId="51">
    <w:abstractNumId w:val="82"/>
  </w:num>
  <w:num w:numId="52">
    <w:abstractNumId w:val="106"/>
  </w:num>
  <w:num w:numId="53">
    <w:abstractNumId w:val="62"/>
  </w:num>
  <w:num w:numId="54">
    <w:abstractNumId w:val="63"/>
  </w:num>
  <w:num w:numId="55">
    <w:abstractNumId w:val="41"/>
  </w:num>
  <w:num w:numId="56">
    <w:abstractNumId w:val="83"/>
  </w:num>
  <w:num w:numId="57">
    <w:abstractNumId w:val="73"/>
  </w:num>
  <w:num w:numId="58">
    <w:abstractNumId w:val="49"/>
  </w:num>
  <w:num w:numId="59">
    <w:abstractNumId w:val="74"/>
  </w:num>
  <w:num w:numId="60">
    <w:abstractNumId w:val="24"/>
  </w:num>
  <w:num w:numId="61">
    <w:abstractNumId w:val="87"/>
  </w:num>
  <w:num w:numId="62">
    <w:abstractNumId w:val="65"/>
  </w:num>
  <w:num w:numId="63">
    <w:abstractNumId w:val="84"/>
  </w:num>
  <w:num w:numId="64">
    <w:abstractNumId w:val="60"/>
  </w:num>
  <w:num w:numId="65">
    <w:abstractNumId w:val="35"/>
  </w:num>
  <w:num w:numId="66">
    <w:abstractNumId w:val="67"/>
  </w:num>
  <w:num w:numId="67">
    <w:abstractNumId w:val="23"/>
  </w:num>
  <w:num w:numId="68">
    <w:abstractNumId w:val="86"/>
  </w:num>
  <w:num w:numId="69">
    <w:abstractNumId w:val="18"/>
  </w:num>
  <w:num w:numId="70">
    <w:abstractNumId w:val="54"/>
  </w:num>
  <w:num w:numId="71">
    <w:abstractNumId w:val="80"/>
  </w:num>
  <w:num w:numId="72">
    <w:abstractNumId w:val="56"/>
  </w:num>
  <w:num w:numId="73">
    <w:abstractNumId w:val="69"/>
  </w:num>
  <w:num w:numId="74">
    <w:abstractNumId w:val="108"/>
  </w:num>
  <w:num w:numId="75">
    <w:abstractNumId w:val="47"/>
  </w:num>
  <w:num w:numId="76">
    <w:abstractNumId w:val="36"/>
  </w:num>
  <w:num w:numId="77">
    <w:abstractNumId w:val="17"/>
  </w:num>
  <w:num w:numId="78">
    <w:abstractNumId w:val="111"/>
  </w:num>
  <w:num w:numId="79">
    <w:abstractNumId w:val="43"/>
  </w:num>
  <w:num w:numId="80">
    <w:abstractNumId w:val="26"/>
  </w:num>
  <w:num w:numId="81">
    <w:abstractNumId w:val="79"/>
  </w:num>
  <w:num w:numId="82">
    <w:abstractNumId w:val="48"/>
  </w:num>
  <w:num w:numId="83">
    <w:abstractNumId w:val="12"/>
  </w:num>
  <w:num w:numId="84">
    <w:abstractNumId w:val="98"/>
  </w:num>
  <w:num w:numId="85">
    <w:abstractNumId w:val="30"/>
  </w:num>
  <w:num w:numId="86">
    <w:abstractNumId w:val="21"/>
  </w:num>
  <w:num w:numId="87">
    <w:abstractNumId w:val="11"/>
  </w:num>
  <w:num w:numId="88">
    <w:abstractNumId w:val="15"/>
  </w:num>
  <w:num w:numId="89">
    <w:abstractNumId w:val="20"/>
  </w:num>
  <w:num w:numId="90">
    <w:abstractNumId w:val="8"/>
  </w:num>
  <w:num w:numId="91">
    <w:abstractNumId w:val="72"/>
  </w:num>
  <w:num w:numId="92">
    <w:abstractNumId w:val="31"/>
  </w:num>
  <w:num w:numId="93">
    <w:abstractNumId w:val="68"/>
  </w:num>
  <w:num w:numId="94">
    <w:abstractNumId w:val="40"/>
  </w:num>
  <w:num w:numId="95">
    <w:abstractNumId w:val="107"/>
  </w:num>
  <w:num w:numId="96">
    <w:abstractNumId w:val="0"/>
  </w:num>
  <w:num w:numId="97">
    <w:abstractNumId w:val="29"/>
  </w:num>
  <w:num w:numId="98">
    <w:abstractNumId w:val="53"/>
  </w:num>
  <w:num w:numId="99">
    <w:abstractNumId w:val="92"/>
  </w:num>
  <w:num w:numId="100">
    <w:abstractNumId w:val="66"/>
  </w:num>
  <w:num w:numId="101">
    <w:abstractNumId w:val="13"/>
  </w:num>
  <w:num w:numId="102">
    <w:abstractNumId w:val="45"/>
  </w:num>
  <w:num w:numId="103">
    <w:abstractNumId w:val="71"/>
  </w:num>
  <w:num w:numId="104">
    <w:abstractNumId w:val="89"/>
  </w:num>
  <w:num w:numId="105">
    <w:abstractNumId w:val="19"/>
  </w:num>
  <w:num w:numId="106">
    <w:abstractNumId w:val="104"/>
  </w:num>
  <w:num w:numId="107">
    <w:abstractNumId w:val="2"/>
  </w:num>
  <w:num w:numId="108">
    <w:abstractNumId w:val="5"/>
  </w:num>
  <w:num w:numId="109">
    <w:abstractNumId w:val="58"/>
  </w:num>
  <w:num w:numId="110">
    <w:abstractNumId w:val="16"/>
  </w:num>
  <w:num w:numId="111">
    <w:abstractNumId w:val="34"/>
  </w:num>
  <w:num w:numId="112">
    <w:abstractNumId w:val="38"/>
  </w:num>
  <w:num w:numId="113">
    <w:abstractNumId w:val="51"/>
  </w:num>
  <w:num w:numId="114">
    <w:abstractNumId w:val="101"/>
  </w:num>
  <w:num w:numId="115">
    <w:abstractNumId w:val="50"/>
  </w:num>
  <w:num w:numId="116">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compat>
    <w:useFELayout/>
    <w:splitPgBreakAndParaMark/>
    <w:compatSetting w:name="compatibilityMode" w:uri="http://schemas.microsoft.com/office/word" w:val="12"/>
  </w:compat>
  <w:docVars>
    <w:docVar w:name="commondata" w:val="eyJoZGlkIjoiZWM2ODI0NTE3NzE4NGExOTE5OWYzMTJkYmY1NTY1MDMifQ=="/>
  </w:docVars>
  <w:rsids>
    <w:rsidRoot w:val="00000000"/>
    <w:rsid w:val="56EA1F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16</Pages>
  <Words>6608</Words>
  <Characters>6901</Characters>
  <TotalTime>0</TotalTime>
  <ScaleCrop>false</ScaleCrop>
  <LinksUpToDate>false</LinksUpToDate>
  <CharactersWithSpaces>6932</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2024-09-20T07:08:00Z</dcterms:created>
  <dc:creator>Apache POI</dc:creator>
  <cp:lastModifiedBy>希望，。光辉~</cp:lastModifiedBy>
  <dcterms:modified xsi:type="dcterms:W3CDTF">2024-09-20T07:16:40Z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663202041B4049E2B7BEEAD5D88EBBE8_12</vt:lpwstr>
  </property>
</Properties>
</file>