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B40D0" w14:textId="77777777" w:rsidR="001F6023" w:rsidRPr="001F6023" w:rsidRDefault="001F6023" w:rsidP="001F6023">
      <w:pPr>
        <w:rPr>
          <w:b/>
          <w:bCs/>
        </w:rPr>
      </w:pPr>
      <w:r w:rsidRPr="001F6023">
        <w:rPr>
          <w:rFonts w:ascii="Segoe UI Emoji" w:hAnsi="Segoe UI Emoji" w:cs="Segoe UI Emoji"/>
          <w:b/>
          <w:bCs/>
        </w:rPr>
        <w:t>🧩</w:t>
      </w:r>
      <w:r w:rsidRPr="001F6023">
        <w:rPr>
          <w:b/>
          <w:bCs/>
        </w:rPr>
        <w:t xml:space="preserve"> 1. Définition du diagramme d’état-transition (UML)</w:t>
      </w:r>
    </w:p>
    <w:p w14:paraId="251274C2" w14:textId="77777777" w:rsidR="001F6023" w:rsidRPr="001F6023" w:rsidRDefault="001F6023" w:rsidP="001F6023">
      <w:r w:rsidRPr="001F6023">
        <w:t xml:space="preserve">Un </w:t>
      </w:r>
      <w:r w:rsidRPr="001F6023">
        <w:rPr>
          <w:b/>
          <w:bCs/>
        </w:rPr>
        <w:t>diagramme d’état (ou d’état-transition)</w:t>
      </w:r>
      <w:r w:rsidRPr="001F6023">
        <w:t xml:space="preserve"> permet de </w:t>
      </w:r>
      <w:r w:rsidRPr="001F6023">
        <w:rPr>
          <w:b/>
          <w:bCs/>
        </w:rPr>
        <w:t>décrire le comportement dynamique d’un objet</w:t>
      </w:r>
      <w:r w:rsidRPr="001F6023">
        <w:t xml:space="preserve"> au cours de son </w:t>
      </w:r>
      <w:r w:rsidRPr="001F6023">
        <w:rPr>
          <w:b/>
          <w:bCs/>
        </w:rPr>
        <w:t>cycle de vie</w:t>
      </w:r>
      <w:r w:rsidRPr="001F6023">
        <w:t xml:space="preserve">, en fonction des </w:t>
      </w:r>
      <w:r w:rsidRPr="001F6023">
        <w:rPr>
          <w:b/>
          <w:bCs/>
        </w:rPr>
        <w:t>événements</w:t>
      </w:r>
      <w:r w:rsidRPr="001F6023">
        <w:t xml:space="preserve"> qui lui arrivent.</w:t>
      </w:r>
    </w:p>
    <w:p w14:paraId="5016006E" w14:textId="65E970A4" w:rsidR="001F6023" w:rsidRPr="001F6023" w:rsidRDefault="001F6023" w:rsidP="001F6023">
      <w:r w:rsidRPr="001F6023">
        <w:t xml:space="preserve">Il </w:t>
      </w:r>
      <w:r w:rsidRPr="001F6023">
        <w:t>montre :</w:t>
      </w:r>
    </w:p>
    <w:p w14:paraId="771B6083" w14:textId="77777777" w:rsidR="001F6023" w:rsidRPr="001F6023" w:rsidRDefault="001F6023" w:rsidP="001F6023">
      <w:pPr>
        <w:numPr>
          <w:ilvl w:val="0"/>
          <w:numId w:val="1"/>
        </w:numPr>
      </w:pPr>
      <w:r w:rsidRPr="001F6023">
        <w:t xml:space="preserve">Les </w:t>
      </w:r>
      <w:r w:rsidRPr="001F6023">
        <w:rPr>
          <w:b/>
          <w:bCs/>
        </w:rPr>
        <w:t>états</w:t>
      </w:r>
      <w:r w:rsidRPr="001F6023">
        <w:t xml:space="preserve"> possibles de l’objet,</w:t>
      </w:r>
    </w:p>
    <w:p w14:paraId="705278A6" w14:textId="77777777" w:rsidR="001F6023" w:rsidRPr="001F6023" w:rsidRDefault="001F6023" w:rsidP="001F6023">
      <w:pPr>
        <w:numPr>
          <w:ilvl w:val="0"/>
          <w:numId w:val="1"/>
        </w:numPr>
      </w:pPr>
      <w:r w:rsidRPr="001F6023">
        <w:t xml:space="preserve">Les </w:t>
      </w:r>
      <w:r w:rsidRPr="001F6023">
        <w:rPr>
          <w:b/>
          <w:bCs/>
        </w:rPr>
        <w:t>transitions</w:t>
      </w:r>
      <w:r w:rsidRPr="001F6023">
        <w:t xml:space="preserve"> entre ces états,</w:t>
      </w:r>
    </w:p>
    <w:p w14:paraId="26EB6A46" w14:textId="77777777" w:rsidR="001F6023" w:rsidRPr="001F6023" w:rsidRDefault="001F6023" w:rsidP="001F6023">
      <w:pPr>
        <w:numPr>
          <w:ilvl w:val="0"/>
          <w:numId w:val="1"/>
        </w:numPr>
      </w:pPr>
      <w:r w:rsidRPr="001F6023">
        <w:t xml:space="preserve">Les </w:t>
      </w:r>
      <w:r w:rsidRPr="001F6023">
        <w:rPr>
          <w:b/>
          <w:bCs/>
        </w:rPr>
        <w:t>événements</w:t>
      </w:r>
      <w:r w:rsidRPr="001F6023">
        <w:t xml:space="preserve"> et </w:t>
      </w:r>
      <w:r w:rsidRPr="001F6023">
        <w:rPr>
          <w:b/>
          <w:bCs/>
        </w:rPr>
        <w:t>conditions</w:t>
      </w:r>
      <w:r w:rsidRPr="001F6023">
        <w:t xml:space="preserve"> qui déclenchent ces transitions.</w:t>
      </w:r>
    </w:p>
    <w:p w14:paraId="3058BD8C" w14:textId="77777777" w:rsidR="001F6023" w:rsidRPr="001F6023" w:rsidRDefault="001F6023" w:rsidP="001F6023">
      <w:r w:rsidRPr="001F6023">
        <w:pict w14:anchorId="37A44F9C">
          <v:rect id="_x0000_i1049" style="width:0;height:1.5pt" o:hralign="center" o:hrstd="t" o:hr="t" fillcolor="#a0a0a0" stroked="f"/>
        </w:pict>
      </w:r>
    </w:p>
    <w:p w14:paraId="576C6D96" w14:textId="77777777" w:rsidR="001F6023" w:rsidRPr="001F6023" w:rsidRDefault="001F6023" w:rsidP="001F6023">
      <w:pPr>
        <w:rPr>
          <w:b/>
          <w:bCs/>
        </w:rPr>
      </w:pPr>
      <w:r w:rsidRPr="001F6023">
        <w:rPr>
          <w:rFonts w:ascii="Segoe UI Emoji" w:hAnsi="Segoe UI Emoji" w:cs="Segoe UI Emoji"/>
          <w:b/>
          <w:bCs/>
        </w:rPr>
        <w:t>⚙️</w:t>
      </w:r>
      <w:r w:rsidRPr="001F6023">
        <w:rPr>
          <w:b/>
          <w:bCs/>
        </w:rPr>
        <w:t xml:space="preserve"> 2. Composants d’un diagramme d’état-transition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9579"/>
      </w:tblGrid>
      <w:tr w:rsidR="001F6023" w:rsidRPr="001F6023" w14:paraId="06F12C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50980" w14:textId="77777777" w:rsidR="001F6023" w:rsidRPr="001F6023" w:rsidRDefault="001F6023" w:rsidP="001F6023">
            <w:pPr>
              <w:rPr>
                <w:b/>
                <w:bCs/>
              </w:rPr>
            </w:pPr>
            <w:r w:rsidRPr="001F6023"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3D3A76ED" w14:textId="77777777" w:rsidR="001F6023" w:rsidRPr="001F6023" w:rsidRDefault="001F6023" w:rsidP="001F6023">
            <w:pPr>
              <w:rPr>
                <w:b/>
                <w:bCs/>
              </w:rPr>
            </w:pPr>
            <w:r w:rsidRPr="001F6023">
              <w:rPr>
                <w:b/>
                <w:bCs/>
              </w:rPr>
              <w:t>Description</w:t>
            </w:r>
          </w:p>
        </w:tc>
      </w:tr>
      <w:tr w:rsidR="001F6023" w:rsidRPr="001F6023" w14:paraId="75B6FD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D23D" w14:textId="77777777" w:rsidR="001F6023" w:rsidRPr="001F6023" w:rsidRDefault="001F6023" w:rsidP="001F6023">
            <w:r w:rsidRPr="001F6023">
              <w:rPr>
                <w:b/>
                <w:bCs/>
              </w:rPr>
              <w:t>État initial</w:t>
            </w:r>
          </w:p>
        </w:tc>
        <w:tc>
          <w:tcPr>
            <w:tcW w:w="0" w:type="auto"/>
            <w:vAlign w:val="center"/>
            <w:hideMark/>
          </w:tcPr>
          <w:p w14:paraId="6A706A9D" w14:textId="77777777" w:rsidR="001F6023" w:rsidRPr="001F6023" w:rsidRDefault="001F6023" w:rsidP="001F6023">
            <w:r w:rsidRPr="001F6023">
              <w:t>Le point de départ du cycle de vie de l’objet. Représenté par un rond noir ●</w:t>
            </w:r>
          </w:p>
        </w:tc>
      </w:tr>
      <w:tr w:rsidR="001F6023" w:rsidRPr="001F6023" w14:paraId="2C8813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0E3C" w14:textId="77777777" w:rsidR="001F6023" w:rsidRPr="001F6023" w:rsidRDefault="001F6023" w:rsidP="001F6023">
            <w:r w:rsidRPr="001F6023">
              <w:rPr>
                <w:b/>
                <w:bCs/>
              </w:rPr>
              <w:t>État</w:t>
            </w:r>
          </w:p>
        </w:tc>
        <w:tc>
          <w:tcPr>
            <w:tcW w:w="0" w:type="auto"/>
            <w:vAlign w:val="center"/>
            <w:hideMark/>
          </w:tcPr>
          <w:p w14:paraId="5C9DCB2B" w14:textId="77777777" w:rsidR="001F6023" w:rsidRPr="001F6023" w:rsidRDefault="001F6023" w:rsidP="001F6023">
            <w:r w:rsidRPr="001F6023">
              <w:t>Une situation stable pendant laquelle l’objet attend un événement ou exécute une activité. Représenté par un rectangle arrondi.</w:t>
            </w:r>
          </w:p>
        </w:tc>
      </w:tr>
      <w:tr w:rsidR="001F6023" w:rsidRPr="001F6023" w14:paraId="2CBCE8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C3325" w14:textId="77777777" w:rsidR="001F6023" w:rsidRPr="001F6023" w:rsidRDefault="001F6023" w:rsidP="001F6023">
            <w:r w:rsidRPr="001F6023">
              <w:rPr>
                <w:b/>
                <w:bCs/>
              </w:rPr>
              <w:t>Transition</w:t>
            </w:r>
          </w:p>
        </w:tc>
        <w:tc>
          <w:tcPr>
            <w:tcW w:w="0" w:type="auto"/>
            <w:vAlign w:val="center"/>
            <w:hideMark/>
          </w:tcPr>
          <w:p w14:paraId="1B231A84" w14:textId="77777777" w:rsidR="001F6023" w:rsidRPr="001F6023" w:rsidRDefault="001F6023" w:rsidP="001F6023">
            <w:r w:rsidRPr="001F6023">
              <w:t xml:space="preserve">Passage d’un état à un autre, déclenché par un </w:t>
            </w:r>
            <w:r w:rsidRPr="001F6023">
              <w:rPr>
                <w:b/>
                <w:bCs/>
              </w:rPr>
              <w:t>événement</w:t>
            </w:r>
            <w:r w:rsidRPr="001F6023">
              <w:t xml:space="preserve"> (et éventuellement conditionné).</w:t>
            </w:r>
          </w:p>
        </w:tc>
      </w:tr>
      <w:tr w:rsidR="001F6023" w:rsidRPr="001F6023" w14:paraId="3B8F40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E6FF1" w14:textId="77777777" w:rsidR="001F6023" w:rsidRPr="001F6023" w:rsidRDefault="001F6023" w:rsidP="001F6023">
            <w:r w:rsidRPr="001F6023">
              <w:rPr>
                <w:b/>
                <w:bCs/>
              </w:rPr>
              <w:t>Événement</w:t>
            </w:r>
          </w:p>
        </w:tc>
        <w:tc>
          <w:tcPr>
            <w:tcW w:w="0" w:type="auto"/>
            <w:vAlign w:val="center"/>
            <w:hideMark/>
          </w:tcPr>
          <w:p w14:paraId="38B9661D" w14:textId="77777777" w:rsidR="001F6023" w:rsidRPr="001F6023" w:rsidRDefault="001F6023" w:rsidP="001F6023">
            <w:r w:rsidRPr="001F6023">
              <w:t>Ce qui provoque le changement d’état (ex : commande validée, paiement reçu, etc.).</w:t>
            </w:r>
          </w:p>
        </w:tc>
      </w:tr>
      <w:tr w:rsidR="001F6023" w:rsidRPr="001F6023" w14:paraId="6F7F8C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D4F0" w14:textId="77777777" w:rsidR="001F6023" w:rsidRPr="001F6023" w:rsidRDefault="001F6023" w:rsidP="001F6023">
            <w:r w:rsidRPr="001F6023">
              <w:rPr>
                <w:b/>
                <w:bCs/>
              </w:rPr>
              <w:t>État final</w:t>
            </w:r>
          </w:p>
        </w:tc>
        <w:tc>
          <w:tcPr>
            <w:tcW w:w="0" w:type="auto"/>
            <w:vAlign w:val="center"/>
            <w:hideMark/>
          </w:tcPr>
          <w:p w14:paraId="78A1BA93" w14:textId="77777777" w:rsidR="001F6023" w:rsidRPr="001F6023" w:rsidRDefault="001F6023" w:rsidP="001F6023">
            <w:r w:rsidRPr="001F6023">
              <w:t xml:space="preserve">Fin du cycle de vie de l’objet. Représenté par un rond noir entouré d’un cercle blanc </w:t>
            </w:r>
            <w:r w:rsidRPr="001F6023">
              <w:rPr>
                <w:rFonts w:ascii="Cambria Math" w:hAnsi="Cambria Math" w:cs="Cambria Math"/>
              </w:rPr>
              <w:t>◎</w:t>
            </w:r>
          </w:p>
        </w:tc>
      </w:tr>
      <w:tr w:rsidR="001F6023" w:rsidRPr="001F6023" w14:paraId="26650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C0295" w14:textId="77777777" w:rsidR="001F6023" w:rsidRPr="001F6023" w:rsidRDefault="001F6023" w:rsidP="001F6023">
            <w:r w:rsidRPr="001F6023">
              <w:rPr>
                <w:b/>
                <w:bCs/>
              </w:rPr>
              <w:t>Fork / Join</w:t>
            </w:r>
          </w:p>
        </w:tc>
        <w:tc>
          <w:tcPr>
            <w:tcW w:w="0" w:type="auto"/>
            <w:vAlign w:val="center"/>
            <w:hideMark/>
          </w:tcPr>
          <w:p w14:paraId="7E0BD130" w14:textId="77777777" w:rsidR="001F6023" w:rsidRPr="001F6023" w:rsidRDefault="001F6023" w:rsidP="001F6023">
            <w:r w:rsidRPr="001F6023">
              <w:t xml:space="preserve">Utilisés pour représenter le </w:t>
            </w:r>
            <w:r w:rsidRPr="001F6023">
              <w:rPr>
                <w:b/>
                <w:bCs/>
              </w:rPr>
              <w:t>parallélisme</w:t>
            </w:r>
            <w:r w:rsidRPr="001F6023">
              <w:t xml:space="preserve"> :</w:t>
            </w:r>
            <w:r w:rsidRPr="001F6023">
              <w:br/>
              <w:t xml:space="preserve">- </w:t>
            </w:r>
            <w:r w:rsidRPr="001F6023">
              <w:rPr>
                <w:i/>
                <w:iCs/>
              </w:rPr>
              <w:t>Fork</w:t>
            </w:r>
            <w:r w:rsidRPr="001F6023">
              <w:t xml:space="preserve"> : division d’un flux en plusieurs transitions simultanées.</w:t>
            </w:r>
            <w:r w:rsidRPr="001F6023">
              <w:br/>
              <w:t xml:space="preserve">- </w:t>
            </w:r>
            <w:r w:rsidRPr="001F6023">
              <w:rPr>
                <w:i/>
                <w:iCs/>
              </w:rPr>
              <w:t>Join</w:t>
            </w:r>
            <w:r w:rsidRPr="001F6023">
              <w:t xml:space="preserve"> : synchronisation de plusieurs transitions vers une seule.</w:t>
            </w:r>
          </w:p>
        </w:tc>
      </w:tr>
      <w:tr w:rsidR="001F6023" w:rsidRPr="001F6023" w14:paraId="0AEE8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A07FC" w14:textId="77777777" w:rsidR="001F6023" w:rsidRPr="001F6023" w:rsidRDefault="001F6023" w:rsidP="001F6023">
            <w:r w:rsidRPr="001F6023">
              <w:rPr>
                <w:b/>
                <w:bCs/>
              </w:rPr>
              <w:t>Garde (condition)</w:t>
            </w:r>
          </w:p>
        </w:tc>
        <w:tc>
          <w:tcPr>
            <w:tcW w:w="0" w:type="auto"/>
            <w:vAlign w:val="center"/>
            <w:hideMark/>
          </w:tcPr>
          <w:p w14:paraId="0071058C" w14:textId="77777777" w:rsidR="001F6023" w:rsidRPr="001F6023" w:rsidRDefault="001F6023" w:rsidP="001F6023">
            <w:r w:rsidRPr="001F6023">
              <w:t>Une condition qui doit être vraie pour que la transition se fasse. Écrite entre crochets [condition].</w:t>
            </w:r>
          </w:p>
        </w:tc>
      </w:tr>
    </w:tbl>
    <w:p w14:paraId="7C750272" w14:textId="77777777" w:rsidR="001F6023" w:rsidRPr="001F6023" w:rsidRDefault="001F6023" w:rsidP="001F6023">
      <w:r w:rsidRPr="001F6023">
        <w:pict w14:anchorId="358ED96E">
          <v:rect id="_x0000_i1145" style="width:0;height:1.5pt" o:hralign="center" o:hrstd="t" o:hr="t" fillcolor="#a0a0a0" stroked="f"/>
        </w:pict>
      </w:r>
    </w:p>
    <w:p w14:paraId="2FEBBAC0" w14:textId="77777777" w:rsidR="001F6023" w:rsidRPr="001F6023" w:rsidRDefault="001F6023" w:rsidP="001F6023">
      <w:pPr>
        <w:rPr>
          <w:b/>
          <w:bCs/>
        </w:rPr>
      </w:pPr>
      <w:r w:rsidRPr="001F6023">
        <w:rPr>
          <w:rFonts w:ascii="Segoe UI Emoji" w:hAnsi="Segoe UI Emoji" w:cs="Segoe UI Emoji"/>
          <w:b/>
          <w:bCs/>
        </w:rPr>
        <w:t>📦</w:t>
      </w:r>
      <w:r w:rsidRPr="001F6023">
        <w:rPr>
          <w:b/>
          <w:bCs/>
        </w:rPr>
        <w:t xml:space="preserve"> 3. Exemple : Cycle de vie d’un colis (plateforme e-commerce)</w:t>
      </w:r>
    </w:p>
    <w:p w14:paraId="01682634" w14:textId="77777777" w:rsidR="001F6023" w:rsidRPr="001F6023" w:rsidRDefault="001F6023" w:rsidP="001F6023">
      <w:pPr>
        <w:rPr>
          <w:b/>
          <w:bCs/>
        </w:rPr>
      </w:pPr>
      <w:r w:rsidRPr="001F6023">
        <w:rPr>
          <w:rFonts w:ascii="Segoe UI Emoji" w:hAnsi="Segoe UI Emoji" w:cs="Segoe UI Emoji"/>
          <w:b/>
          <w:bCs/>
        </w:rPr>
        <w:t>🔄</w:t>
      </w:r>
      <w:r w:rsidRPr="001F6023">
        <w:rPr>
          <w:b/>
          <w:bCs/>
        </w:rPr>
        <w:t xml:space="preserve"> Description des états</w:t>
      </w:r>
    </w:p>
    <w:p w14:paraId="138E5330" w14:textId="77777777" w:rsidR="001F6023" w:rsidRPr="001F6023" w:rsidRDefault="001F6023" w:rsidP="001F6023">
      <w:r w:rsidRPr="001F6023">
        <w:t xml:space="preserve">Un </w:t>
      </w:r>
      <w:r w:rsidRPr="001F6023">
        <w:rPr>
          <w:b/>
          <w:bCs/>
        </w:rPr>
        <w:t>colis</w:t>
      </w:r>
      <w:r w:rsidRPr="001F6023">
        <w:t xml:space="preserve"> passe par plusieurs étapes dans son cycle de vie :</w:t>
      </w:r>
    </w:p>
    <w:p w14:paraId="561A180D" w14:textId="77777777" w:rsidR="001F6023" w:rsidRPr="001F6023" w:rsidRDefault="001F6023" w:rsidP="001F6023">
      <w:pPr>
        <w:numPr>
          <w:ilvl w:val="0"/>
          <w:numId w:val="2"/>
        </w:numPr>
      </w:pPr>
      <w:r w:rsidRPr="001F6023">
        <w:rPr>
          <w:b/>
          <w:bCs/>
        </w:rPr>
        <w:t>Créé</w:t>
      </w:r>
      <w:r w:rsidRPr="001F6023">
        <w:t xml:space="preserve"> → lorsque la commande est enregistrée.</w:t>
      </w:r>
    </w:p>
    <w:p w14:paraId="4219983B" w14:textId="77777777" w:rsidR="001F6023" w:rsidRPr="001F6023" w:rsidRDefault="001F6023" w:rsidP="001F6023">
      <w:pPr>
        <w:numPr>
          <w:ilvl w:val="0"/>
          <w:numId w:val="2"/>
        </w:numPr>
      </w:pPr>
      <w:r w:rsidRPr="001F6023">
        <w:rPr>
          <w:b/>
          <w:bCs/>
        </w:rPr>
        <w:t>En préparation</w:t>
      </w:r>
      <w:r w:rsidRPr="001F6023">
        <w:t xml:space="preserve"> → l’entrepôt prépare le colis.</w:t>
      </w:r>
    </w:p>
    <w:p w14:paraId="6AF1E7FF" w14:textId="77777777" w:rsidR="001F6023" w:rsidRPr="001F6023" w:rsidRDefault="001F6023" w:rsidP="001F6023">
      <w:pPr>
        <w:numPr>
          <w:ilvl w:val="0"/>
          <w:numId w:val="2"/>
        </w:numPr>
      </w:pPr>
      <w:r w:rsidRPr="001F6023">
        <w:rPr>
          <w:b/>
          <w:bCs/>
        </w:rPr>
        <w:t>Expédié</w:t>
      </w:r>
      <w:r w:rsidRPr="001F6023">
        <w:t xml:space="preserve"> → le colis est remis au transporteur.</w:t>
      </w:r>
    </w:p>
    <w:p w14:paraId="5D5E164C" w14:textId="77777777" w:rsidR="001F6023" w:rsidRPr="001F6023" w:rsidRDefault="001F6023" w:rsidP="001F6023">
      <w:pPr>
        <w:numPr>
          <w:ilvl w:val="0"/>
          <w:numId w:val="2"/>
        </w:numPr>
      </w:pPr>
      <w:r w:rsidRPr="001F6023">
        <w:rPr>
          <w:b/>
          <w:bCs/>
        </w:rPr>
        <w:t>En transit</w:t>
      </w:r>
      <w:r w:rsidRPr="001F6023">
        <w:t xml:space="preserve"> → le colis est en cours de livraison.</w:t>
      </w:r>
    </w:p>
    <w:p w14:paraId="7D8A5AC4" w14:textId="77777777" w:rsidR="001F6023" w:rsidRPr="001F6023" w:rsidRDefault="001F6023" w:rsidP="001F6023">
      <w:pPr>
        <w:numPr>
          <w:ilvl w:val="0"/>
          <w:numId w:val="2"/>
        </w:numPr>
      </w:pPr>
      <w:r w:rsidRPr="001F6023">
        <w:rPr>
          <w:b/>
          <w:bCs/>
        </w:rPr>
        <w:t>En attente de livraison</w:t>
      </w:r>
      <w:r w:rsidRPr="001F6023">
        <w:t xml:space="preserve"> → le livreur est proche ou le colis est au point relais.</w:t>
      </w:r>
    </w:p>
    <w:p w14:paraId="3FC90664" w14:textId="77777777" w:rsidR="001F6023" w:rsidRPr="001F6023" w:rsidRDefault="001F6023" w:rsidP="001F6023">
      <w:pPr>
        <w:numPr>
          <w:ilvl w:val="0"/>
          <w:numId w:val="2"/>
        </w:numPr>
      </w:pPr>
      <w:r w:rsidRPr="001F6023">
        <w:rPr>
          <w:b/>
          <w:bCs/>
        </w:rPr>
        <w:t>Livré</w:t>
      </w:r>
      <w:r w:rsidRPr="001F6023">
        <w:t xml:space="preserve"> → le colis est remis au client.</w:t>
      </w:r>
    </w:p>
    <w:p w14:paraId="1E070777" w14:textId="77777777" w:rsidR="001F6023" w:rsidRPr="001F6023" w:rsidRDefault="001F6023" w:rsidP="001F6023">
      <w:pPr>
        <w:numPr>
          <w:ilvl w:val="0"/>
          <w:numId w:val="2"/>
        </w:numPr>
      </w:pPr>
      <w:r w:rsidRPr="001F6023">
        <w:rPr>
          <w:b/>
          <w:bCs/>
        </w:rPr>
        <w:lastRenderedPageBreak/>
        <w:t>Retour</w:t>
      </w:r>
      <w:r w:rsidRPr="001F6023">
        <w:t xml:space="preserve"> (facultatif) → si le client renvoie le produit.</w:t>
      </w:r>
    </w:p>
    <w:p w14:paraId="0EB6319B" w14:textId="77777777" w:rsidR="001F6023" w:rsidRPr="001F6023" w:rsidRDefault="001F6023" w:rsidP="001F6023">
      <w:pPr>
        <w:numPr>
          <w:ilvl w:val="0"/>
          <w:numId w:val="2"/>
        </w:numPr>
      </w:pPr>
      <w:r w:rsidRPr="001F6023">
        <w:rPr>
          <w:b/>
          <w:bCs/>
        </w:rPr>
        <w:t>Terminé</w:t>
      </w:r>
      <w:r w:rsidRPr="001F6023">
        <w:t xml:space="preserve"> → fin du cycle.</w:t>
      </w:r>
    </w:p>
    <w:p w14:paraId="7E99C4D2" w14:textId="77777777" w:rsidR="001F6023" w:rsidRPr="001F6023" w:rsidRDefault="001F6023" w:rsidP="001F6023">
      <w:r w:rsidRPr="001F6023">
        <w:pict w14:anchorId="44382EEC">
          <v:rect id="_x0000_i1146" style="width:0;height:1.5pt" o:hralign="center" o:hrstd="t" o:hr="t" fillcolor="#a0a0a0" stroked="f"/>
        </w:pict>
      </w:r>
    </w:p>
    <w:p w14:paraId="20DFF8A8" w14:textId="49BD520A" w:rsidR="001F6023" w:rsidRPr="001F6023" w:rsidRDefault="001F6023" w:rsidP="001F6023">
      <w:pPr>
        <w:rPr>
          <w:b/>
          <w:bCs/>
        </w:rPr>
      </w:pPr>
      <w:r w:rsidRPr="001F6023">
        <w:rPr>
          <w:rFonts w:ascii="Segoe UI Emoji" w:hAnsi="Segoe UI Emoji" w:cs="Segoe UI Emoji"/>
          <w:b/>
          <w:bCs/>
        </w:rPr>
        <w:t>🧭</w:t>
      </w:r>
      <w:r w:rsidRPr="001F6023">
        <w:rPr>
          <w:b/>
          <w:bCs/>
        </w:rPr>
        <w:t xml:space="preserve"> 4. Schéma textuel du diagramme d’état-transition</w:t>
      </w:r>
    </w:p>
    <w:p w14:paraId="376FCC7A" w14:textId="388D5418" w:rsidR="001F6023" w:rsidRPr="001F6023" w:rsidRDefault="001F6023" w:rsidP="001F6023">
      <w:pPr>
        <w:rPr>
          <w:b/>
          <w:bCs/>
        </w:rPr>
      </w:pPr>
      <w:r w:rsidRPr="001F6023">
        <w:rPr>
          <w:b/>
          <w:bCs/>
        </w:rPr>
        <w:drawing>
          <wp:inline distT="0" distB="0" distL="0" distR="0" wp14:anchorId="735AC8C0" wp14:editId="30B3D6BB">
            <wp:extent cx="6572250" cy="6200775"/>
            <wp:effectExtent l="0" t="0" r="0" b="9525"/>
            <wp:docPr id="1345057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5759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l="1681" t="6211" r="1681" b="1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20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02342" w14:textId="77777777" w:rsidR="001F6023" w:rsidRPr="001F6023" w:rsidRDefault="001F6023" w:rsidP="001F6023">
      <w:r w:rsidRPr="001F6023">
        <w:pict w14:anchorId="3A6CE508">
          <v:rect id="_x0000_i1147" style="width:0;height:1.5pt" o:hralign="center" o:hrstd="t" o:hr="t" fillcolor="#a0a0a0" stroked="f"/>
        </w:pict>
      </w:r>
    </w:p>
    <w:p w14:paraId="68E56501" w14:textId="77777777" w:rsidR="001F6023" w:rsidRPr="001F6023" w:rsidRDefault="001F6023" w:rsidP="001F6023">
      <w:pPr>
        <w:rPr>
          <w:b/>
          <w:bCs/>
        </w:rPr>
      </w:pPr>
      <w:r w:rsidRPr="001F6023">
        <w:rPr>
          <w:rFonts w:ascii="Segoe UI Emoji" w:hAnsi="Segoe UI Emoji" w:cs="Segoe UI Emoji"/>
          <w:b/>
          <w:bCs/>
        </w:rPr>
        <w:t>🧠</w:t>
      </w:r>
      <w:r w:rsidRPr="001F6023">
        <w:rPr>
          <w:b/>
          <w:bCs/>
        </w:rPr>
        <w:t xml:space="preserve"> 5. Explications supplémentaires</w:t>
      </w:r>
    </w:p>
    <w:p w14:paraId="4360C2E3" w14:textId="77777777" w:rsidR="001F6023" w:rsidRPr="001F6023" w:rsidRDefault="001F6023" w:rsidP="001F6023">
      <w:pPr>
        <w:numPr>
          <w:ilvl w:val="0"/>
          <w:numId w:val="3"/>
        </w:numPr>
      </w:pPr>
      <w:r w:rsidRPr="001F6023">
        <w:t xml:space="preserve">Le </w:t>
      </w:r>
      <w:r w:rsidRPr="001F6023">
        <w:rPr>
          <w:b/>
          <w:bCs/>
        </w:rPr>
        <w:t>fork</w:t>
      </w:r>
      <w:r w:rsidRPr="001F6023">
        <w:t xml:space="preserve"> pourrait être utilisé si, après l’expédition, le système gère </w:t>
      </w:r>
      <w:r w:rsidRPr="001F6023">
        <w:rPr>
          <w:b/>
          <w:bCs/>
        </w:rPr>
        <w:t>en parallèle</w:t>
      </w:r>
      <w:r w:rsidRPr="001F6023">
        <w:t xml:space="preserve"> :</w:t>
      </w:r>
    </w:p>
    <w:p w14:paraId="72214B0A" w14:textId="77777777" w:rsidR="001F6023" w:rsidRPr="001F6023" w:rsidRDefault="001F6023" w:rsidP="001F6023">
      <w:pPr>
        <w:numPr>
          <w:ilvl w:val="1"/>
          <w:numId w:val="3"/>
        </w:numPr>
      </w:pPr>
      <w:r w:rsidRPr="001F6023">
        <w:t xml:space="preserve">la </w:t>
      </w:r>
      <w:r w:rsidRPr="001F6023">
        <w:rPr>
          <w:b/>
          <w:bCs/>
        </w:rPr>
        <w:t>mise à jour du suivi en ligne</w:t>
      </w:r>
      <w:r w:rsidRPr="001F6023">
        <w:t>,</w:t>
      </w:r>
    </w:p>
    <w:p w14:paraId="0248B0E7" w14:textId="77777777" w:rsidR="001F6023" w:rsidRPr="001F6023" w:rsidRDefault="001F6023" w:rsidP="001F6023">
      <w:pPr>
        <w:numPr>
          <w:ilvl w:val="1"/>
          <w:numId w:val="3"/>
        </w:numPr>
      </w:pPr>
      <w:r w:rsidRPr="001F6023">
        <w:t xml:space="preserve">la </w:t>
      </w:r>
      <w:r w:rsidRPr="001F6023">
        <w:rPr>
          <w:b/>
          <w:bCs/>
        </w:rPr>
        <w:t>notification du client</w:t>
      </w:r>
      <w:r w:rsidRPr="001F6023">
        <w:t>.</w:t>
      </w:r>
    </w:p>
    <w:p w14:paraId="158F8D5C" w14:textId="32AEF50A" w:rsidR="001F6023" w:rsidRDefault="001F6023" w:rsidP="00A57138">
      <w:pPr>
        <w:numPr>
          <w:ilvl w:val="0"/>
          <w:numId w:val="3"/>
        </w:numPr>
      </w:pPr>
      <w:r w:rsidRPr="001F6023">
        <w:t xml:space="preserve">Le </w:t>
      </w:r>
      <w:r w:rsidRPr="001F6023">
        <w:rPr>
          <w:b/>
          <w:bCs/>
        </w:rPr>
        <w:t>join</w:t>
      </w:r>
      <w:r w:rsidRPr="001F6023">
        <w:t xml:space="preserve"> pourrait être utilisé avant de marquer le colis comme “livré” lorsque </w:t>
      </w:r>
      <w:r w:rsidRPr="001F6023">
        <w:rPr>
          <w:b/>
          <w:bCs/>
        </w:rPr>
        <w:t>toutes les étapes parallèles</w:t>
      </w:r>
      <w:r w:rsidRPr="001F6023">
        <w:t xml:space="preserve"> sont terminées.</w:t>
      </w:r>
    </w:p>
    <w:p w14:paraId="4B9A006B" w14:textId="77777777" w:rsidR="00EC221E" w:rsidRDefault="00EC221E" w:rsidP="00EC221E"/>
    <w:p w14:paraId="4F74CB40" w14:textId="39E7E995" w:rsidR="00EC221E" w:rsidRDefault="00EC221E" w:rsidP="00EC221E">
      <w:pPr>
        <w:rPr>
          <w:b/>
          <w:bCs/>
        </w:rPr>
      </w:pPr>
      <w:r>
        <w:rPr>
          <w:b/>
          <w:bCs/>
        </w:rPr>
        <w:t>6.Exemples :</w:t>
      </w:r>
    </w:p>
    <w:p w14:paraId="32A2FE36" w14:textId="3CEC446B" w:rsidR="00EC221E" w:rsidRDefault="00EC221E" w:rsidP="00EC221E">
      <w:pPr>
        <w:rPr>
          <w:b/>
          <w:bCs/>
        </w:rPr>
      </w:pPr>
      <w:r>
        <w:rPr>
          <w:b/>
          <w:bCs/>
        </w:rPr>
        <w:tab/>
      </w:r>
      <w:r w:rsidRPr="00EC221E">
        <w:rPr>
          <w:b/>
          <w:bCs/>
        </w:rPr>
        <w:t xml:space="preserve">1- </w:t>
      </w:r>
      <w:r w:rsidRPr="00EC221E">
        <w:rPr>
          <w:b/>
          <w:bCs/>
        </w:rPr>
        <w:t>Feux de circulation</w:t>
      </w:r>
      <w:r>
        <w:rPr>
          <w:b/>
          <w:bCs/>
        </w:rPr>
        <w:t> :</w:t>
      </w:r>
    </w:p>
    <w:p w14:paraId="3ABA1A64" w14:textId="04981C66" w:rsidR="00EC221E" w:rsidRDefault="00EC221E" w:rsidP="00EC221E">
      <w:pPr>
        <w:rPr>
          <w:b/>
          <w:bCs/>
        </w:rPr>
      </w:pPr>
      <w:r w:rsidRPr="00EC221E">
        <w:rPr>
          <w:b/>
          <w:bCs/>
        </w:rPr>
        <w:drawing>
          <wp:inline distT="0" distB="0" distL="0" distR="0" wp14:anchorId="5A8614E6" wp14:editId="64A2A297">
            <wp:extent cx="6934200" cy="3067050"/>
            <wp:effectExtent l="0" t="0" r="0" b="0"/>
            <wp:docPr id="66235120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5120" name="Picture 1" descr="A black rectangular object with white text&#10;&#10;AI-generated content may be incorrect."/>
                    <pic:cNvPicPr/>
                  </pic:nvPicPr>
                  <pic:blipFill rotWithShape="1">
                    <a:blip r:embed="rId7"/>
                    <a:srcRect l="1059" t="13568" r="2646" b="2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D17D7" w14:textId="484A5C9B" w:rsidR="00EC221E" w:rsidRDefault="00EC221E" w:rsidP="00EC221E">
      <w:pPr>
        <w:rPr>
          <w:b/>
          <w:bCs/>
        </w:rPr>
      </w:pPr>
      <w:r>
        <w:rPr>
          <w:b/>
          <w:bCs/>
        </w:rPr>
        <w:tab/>
        <w:t>2-</w:t>
      </w:r>
      <w:r w:rsidRPr="00EC221E">
        <w:t xml:space="preserve"> </w:t>
      </w:r>
      <w:r w:rsidRPr="00EC221E">
        <w:rPr>
          <w:b/>
          <w:bCs/>
        </w:rPr>
        <w:t>ATM (Distributeur automatique de billets)</w:t>
      </w:r>
      <w:r>
        <w:rPr>
          <w:b/>
          <w:bCs/>
        </w:rPr>
        <w:t> :</w:t>
      </w:r>
    </w:p>
    <w:p w14:paraId="1CD6161A" w14:textId="1B10DB8A" w:rsidR="00EC221E" w:rsidRPr="00EC221E" w:rsidRDefault="00EC221E" w:rsidP="00EC221E">
      <w:pPr>
        <w:rPr>
          <w:b/>
          <w:bCs/>
        </w:rPr>
      </w:pPr>
      <w:r w:rsidRPr="00EC221E">
        <w:rPr>
          <w:b/>
          <w:bCs/>
        </w:rPr>
        <w:drawing>
          <wp:inline distT="0" distB="0" distL="0" distR="0" wp14:anchorId="70C30D3A" wp14:editId="4ED6BE76">
            <wp:extent cx="6943725" cy="4991100"/>
            <wp:effectExtent l="0" t="0" r="9525" b="0"/>
            <wp:docPr id="313371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71309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l="1455" t="2364" r="2117" b="2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221E" w:rsidRPr="00EC221E" w:rsidSect="00A57138">
      <w:pgSz w:w="12240" w:h="15840"/>
      <w:pgMar w:top="180" w:right="45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9420B"/>
    <w:multiLevelType w:val="multilevel"/>
    <w:tmpl w:val="B4AC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2792A"/>
    <w:multiLevelType w:val="multilevel"/>
    <w:tmpl w:val="1892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B3193"/>
    <w:multiLevelType w:val="multilevel"/>
    <w:tmpl w:val="1A64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948499">
    <w:abstractNumId w:val="0"/>
  </w:num>
  <w:num w:numId="2" w16cid:durableId="111480464">
    <w:abstractNumId w:val="1"/>
  </w:num>
  <w:num w:numId="3" w16cid:durableId="450363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23"/>
    <w:rsid w:val="001F6023"/>
    <w:rsid w:val="003829CB"/>
    <w:rsid w:val="00A57138"/>
    <w:rsid w:val="00CA34B4"/>
    <w:rsid w:val="00EC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13EB"/>
  <w15:chartTrackingRefBased/>
  <w15:docId w15:val="{9A5436F2-D4EA-46CE-92D2-54290737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BF094-2B9B-4704-AD85-755C94EA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Essaih</dc:creator>
  <cp:keywords/>
  <dc:description/>
  <cp:lastModifiedBy>Yasser Essaih</cp:lastModifiedBy>
  <cp:revision>5</cp:revision>
  <dcterms:created xsi:type="dcterms:W3CDTF">2025-10-17T09:14:00Z</dcterms:created>
  <dcterms:modified xsi:type="dcterms:W3CDTF">2025-10-17T10:10:00Z</dcterms:modified>
</cp:coreProperties>
</file>