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F852" w14:textId="77777777" w:rsidR="009D1738" w:rsidRPr="009D1738" w:rsidRDefault="009D1738" w:rsidP="009D1738">
      <w:pPr>
        <w:rPr>
          <w:rFonts w:asciiTheme="majorBidi" w:hAnsiTheme="majorBidi" w:cstheme="majorBidi"/>
          <w:b/>
          <w:bCs/>
          <w:sz w:val="36"/>
          <w:szCs w:val="36"/>
          <w:lang w:val="fr-FR"/>
        </w:rPr>
      </w:pPr>
      <w:r w:rsidRPr="009D1738">
        <w:rPr>
          <w:rFonts w:asciiTheme="majorBidi" w:hAnsiTheme="majorBidi" w:cstheme="majorBidi"/>
          <w:b/>
          <w:bCs/>
          <w:sz w:val="36"/>
          <w:szCs w:val="36"/>
          <w:lang w:val="fr-FR"/>
        </w:rPr>
        <w:t>1) Lois UX/UI</w:t>
      </w:r>
    </w:p>
    <w:p w14:paraId="2DF42CB8" w14:textId="77777777" w:rsidR="009D1738" w:rsidRPr="009D1738" w:rsidRDefault="009D1738" w:rsidP="009D1738">
      <w:pPr>
        <w:rPr>
          <w:rFonts w:asciiTheme="majorBidi" w:hAnsiTheme="majorBidi" w:cstheme="majorBidi"/>
          <w:sz w:val="28"/>
          <w:szCs w:val="28"/>
          <w:lang w:val="fr-FR"/>
        </w:rPr>
      </w:pPr>
      <w:r w:rsidRPr="009D1738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Loi de </w:t>
      </w:r>
      <w:proofErr w:type="spellStart"/>
      <w:r w:rsidRPr="009D1738">
        <w:rPr>
          <w:rFonts w:asciiTheme="majorBidi" w:hAnsiTheme="majorBidi" w:cstheme="majorBidi"/>
          <w:b/>
          <w:bCs/>
          <w:sz w:val="28"/>
          <w:szCs w:val="28"/>
          <w:lang w:val="fr-FR"/>
        </w:rPr>
        <w:t>Hick</w:t>
      </w:r>
      <w:proofErr w:type="spellEnd"/>
      <w:r w:rsidRPr="009D1738">
        <w:rPr>
          <w:rFonts w:asciiTheme="majorBidi" w:hAnsiTheme="majorBidi" w:cstheme="majorBidi"/>
          <w:sz w:val="28"/>
          <w:szCs w:val="28"/>
          <w:lang w:val="fr-FR"/>
        </w:rPr>
        <w:br/>
        <w:t>Plus il y a de choix visibles en même temps, plus la décision est lente. → Limiter les options affichées, regrouper, proposer des “raccourcis” clairs.</w:t>
      </w:r>
    </w:p>
    <w:p w14:paraId="0B645AE6" w14:textId="77777777" w:rsidR="009D1738" w:rsidRPr="009D1738" w:rsidRDefault="009D1738" w:rsidP="009D1738">
      <w:pPr>
        <w:rPr>
          <w:rFonts w:asciiTheme="majorBidi" w:hAnsiTheme="majorBidi" w:cstheme="majorBidi"/>
          <w:sz w:val="28"/>
          <w:szCs w:val="28"/>
          <w:lang w:val="fr-FR"/>
        </w:rPr>
      </w:pPr>
      <w:r w:rsidRPr="009D1738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Loi de </w:t>
      </w:r>
      <w:proofErr w:type="spellStart"/>
      <w:r w:rsidRPr="009D1738">
        <w:rPr>
          <w:rFonts w:asciiTheme="majorBidi" w:hAnsiTheme="majorBidi" w:cstheme="majorBidi"/>
          <w:b/>
          <w:bCs/>
          <w:sz w:val="28"/>
          <w:szCs w:val="28"/>
          <w:lang w:val="fr-FR"/>
        </w:rPr>
        <w:t>Fitts</w:t>
      </w:r>
      <w:proofErr w:type="spellEnd"/>
      <w:r w:rsidRPr="009D1738">
        <w:rPr>
          <w:rFonts w:asciiTheme="majorBidi" w:hAnsiTheme="majorBidi" w:cstheme="majorBidi"/>
          <w:sz w:val="28"/>
          <w:szCs w:val="28"/>
          <w:lang w:val="fr-FR"/>
        </w:rPr>
        <w:br/>
        <w:t>Plus une cible est grande et proche, plus elle est facile/rapide à toucher. → Boutons principaux larges, zones tactiles ≥ 44px, actions clés en bas (</w:t>
      </w:r>
      <w:proofErr w:type="spellStart"/>
      <w:r w:rsidRPr="009D1738">
        <w:rPr>
          <w:rFonts w:asciiTheme="majorBidi" w:hAnsiTheme="majorBidi" w:cstheme="majorBidi"/>
          <w:sz w:val="28"/>
          <w:szCs w:val="28"/>
          <w:lang w:val="fr-FR"/>
        </w:rPr>
        <w:t>thumb</w:t>
      </w:r>
      <w:proofErr w:type="spellEnd"/>
      <w:r w:rsidRPr="009D1738">
        <w:rPr>
          <w:rFonts w:asciiTheme="majorBidi" w:hAnsiTheme="majorBidi" w:cstheme="majorBidi"/>
          <w:sz w:val="28"/>
          <w:szCs w:val="28"/>
          <w:lang w:val="fr-FR"/>
        </w:rPr>
        <w:t xml:space="preserve"> zone).</w:t>
      </w:r>
    </w:p>
    <w:p w14:paraId="23FFEB0B" w14:textId="77777777" w:rsidR="009D1738" w:rsidRPr="009D1738" w:rsidRDefault="009D1738" w:rsidP="009D1738">
      <w:pPr>
        <w:rPr>
          <w:rFonts w:asciiTheme="majorBidi" w:hAnsiTheme="majorBidi" w:cstheme="majorBidi"/>
          <w:sz w:val="28"/>
          <w:szCs w:val="28"/>
          <w:lang w:val="fr-FR"/>
        </w:rPr>
      </w:pPr>
      <w:r w:rsidRPr="009D1738">
        <w:rPr>
          <w:rFonts w:asciiTheme="majorBidi" w:hAnsiTheme="majorBidi" w:cstheme="majorBidi"/>
          <w:b/>
          <w:bCs/>
          <w:sz w:val="28"/>
          <w:szCs w:val="28"/>
          <w:lang w:val="fr-FR"/>
        </w:rPr>
        <w:t>Loi de Proximité (Gestalt)</w:t>
      </w:r>
      <w:r w:rsidRPr="009D1738">
        <w:rPr>
          <w:rFonts w:asciiTheme="majorBidi" w:hAnsiTheme="majorBidi" w:cstheme="majorBidi"/>
          <w:sz w:val="28"/>
          <w:szCs w:val="28"/>
          <w:lang w:val="fr-FR"/>
        </w:rPr>
        <w:br/>
        <w:t>Les éléments proches sont perçus comme liés. → Regrouper infos d’un même bloc (carte), espacer clairement les sections.</w:t>
      </w:r>
    </w:p>
    <w:p w14:paraId="2BE8D565" w14:textId="77777777" w:rsidR="009D1738" w:rsidRPr="009D1738" w:rsidRDefault="009D1738" w:rsidP="009D1738">
      <w:pPr>
        <w:rPr>
          <w:rFonts w:asciiTheme="majorBidi" w:hAnsiTheme="majorBidi" w:cstheme="majorBidi"/>
          <w:sz w:val="28"/>
          <w:szCs w:val="28"/>
          <w:lang w:val="fr-FR"/>
        </w:rPr>
      </w:pPr>
      <w:r w:rsidRPr="009D1738">
        <w:rPr>
          <w:rFonts w:asciiTheme="majorBidi" w:hAnsiTheme="majorBidi" w:cstheme="majorBidi"/>
          <w:b/>
          <w:bCs/>
          <w:sz w:val="28"/>
          <w:szCs w:val="28"/>
          <w:lang w:val="fr-FR"/>
        </w:rPr>
        <w:t>Loi de Cohérence / Consistance</w:t>
      </w:r>
      <w:r w:rsidRPr="009D1738">
        <w:rPr>
          <w:rFonts w:asciiTheme="majorBidi" w:hAnsiTheme="majorBidi" w:cstheme="majorBidi"/>
          <w:sz w:val="28"/>
          <w:szCs w:val="28"/>
          <w:lang w:val="fr-FR"/>
        </w:rPr>
        <w:br/>
        <w:t>Des patterns identiques = apprentissage plus rapide. → Même navigation, mêmes composants (cartes, boutons), mêmes libellés et icônes partout.</w:t>
      </w:r>
    </w:p>
    <w:p w14:paraId="212B1859" w14:textId="77777777" w:rsidR="009D1738" w:rsidRPr="009D1738" w:rsidRDefault="009D1738" w:rsidP="009D1738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19D1B6D5" w14:textId="72ED6F9A" w:rsidR="009D1738" w:rsidRPr="009D1738" w:rsidRDefault="009D1738" w:rsidP="009D1738">
      <w:pPr>
        <w:rPr>
          <w:rFonts w:asciiTheme="majorBidi" w:hAnsiTheme="majorBidi" w:cstheme="majorBidi"/>
          <w:sz w:val="28"/>
          <w:szCs w:val="28"/>
          <w:lang w:val="fr-FR" w:bidi="ar-MA"/>
        </w:rPr>
      </w:pPr>
    </w:p>
    <w:p w14:paraId="202443A8" w14:textId="77777777" w:rsidR="009D1738" w:rsidRPr="009D1738" w:rsidRDefault="009D1738">
      <w:pPr>
        <w:rPr>
          <w:lang w:val="fr-FR"/>
        </w:rPr>
      </w:pPr>
    </w:p>
    <w:sectPr w:rsidR="009D1738" w:rsidRPr="009D1738" w:rsidSect="009D1738">
      <w:pgSz w:w="12240" w:h="15840"/>
      <w:pgMar w:top="540" w:right="54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38"/>
    <w:rsid w:val="000E589E"/>
    <w:rsid w:val="002F3C69"/>
    <w:rsid w:val="009D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B986"/>
  <w15:chartTrackingRefBased/>
  <w15:docId w15:val="{951D7F3A-E17A-4D09-8952-F4CB37A0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2025-12-16T09:31:00Z</dcterms:created>
  <dcterms:modified xsi:type="dcterms:W3CDTF">2025-12-16T11:06:00Z</dcterms:modified>
</cp:coreProperties>
</file>