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>
      <w:r>
        <w:t>Supplier / issuer: Atlas Wharf Services</w:t>
      </w:r>
    </w:p>
    <w:p>
      <w:r>
        <w:t>Customer / bill to: Birchwood Components Ltd</w:t>
      </w:r>
    </w:p>
    <w:p>
      <w:r>
        <w:t>Invoice No: INV-H2-003 | Invoice date: 2026-10-22</w:t>
      </w:r>
    </w:p>
    <w:p>
      <w:r>
        <w:t>REGISTER OF COMPLETED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Each entry below represents a separate service delivered.</w:t>
            </w:r>
          </w:p>
        </w:tc>
      </w:tr>
      <w:tr>
        <w:tc>
          <w:tcPr>
            <w:tcW w:type="dxa" w:w="8640"/>
          </w:tcPr>
          <w:p>
            <w:r>
              <w:t>Description: Rail appointment | Amount: 23 USD | Terms: PP | Entry: ENTRY-01</w:t>
            </w:r>
          </w:p>
        </w:tc>
      </w:tr>
      <w:tr>
        <w:tc>
          <w:tcPr>
            <w:tcW w:type="dxa" w:w="8640"/>
          </w:tcPr>
          <w:p>
            <w:r>
              <w:t>Description: Truck waiting | Amount: 14 USD | Terms: PP | Entry: ENTRY-02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