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>
      <w:r>
        <w:t>Document reference = INV-HOLD-008</w:t>
      </w:r>
    </w:p>
    <w:p>
      <w:r>
        <w:t>Issuer = Seaport Meridian Logistics</w:t>
      </w:r>
    </w:p>
    <w:p>
      <w:r>
        <w:t>Recipient (billed customer) = Pinecrest Equipment Limited</w:t>
      </w:r>
    </w:p>
    <w:p>
      <w:r>
        <w:t>Document date = 2026-10-20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ACTUAL SHIPMENT CHARGES</w:t>
            </w:r>
          </w:p>
        </w:tc>
      </w:tr>
      <w:tr>
        <w:tc>
          <w:tcPr>
            <w:tcW w:type="dxa" w:w="8640"/>
          </w:tcPr>
          <w:p>
            <w:r>
              <w:t>HOLD-008-R1 / Local survey / line total USD 15; payment PP; quantity 2; unit price 7.5</w:t>
            </w:r>
          </w:p>
        </w:tc>
      </w:tr>
      <w:tr>
        <w:tc>
          <w:tcPr>
            <w:tcW w:type="dxa" w:w="8640"/>
          </w:tcPr>
          <w:p>
            <w:r>
              <w:t>HOLD-008-R2 / Doc Fee / line total USD 12; payment 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