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Times New Roman" w:hAnsi="Times New Roman" w:eastAsia="宋体" w:cs="Times New Roman"/>
          <w:b/>
          <w:sz w:val="36"/>
        </w:rPr>
        <w:t>Population Insight 14个功能模块说明与核心代码</w:t>
      </w:r>
    </w:p>
    <w:p>
      <w:pPr>
        <w:spacing w:after="240"/>
        <w:jc w:val="center"/>
      </w:pPr>
      <w:r>
        <w:rPr>
          <w:rFonts w:ascii="Times New Roman" w:hAnsi="Times New Roman" w:eastAsia="宋体" w:cs="Times New Roman"/>
          <w:b/>
          <w:sz w:val="28"/>
        </w:rPr>
        <w:t>功能分解图汇总（第3章）</w:t>
      </w:r>
    </w:p>
    <w:p>
      <w:pPr>
        <w:spacing w:after="120"/>
        <w:jc w:val="left"/>
      </w:pPr>
      <w:r>
        <w:rPr>
          <w:rFonts w:ascii="Times New Roman" w:hAnsi="Times New Roman" w:eastAsia="宋体" w:cs="Times New Roman"/>
          <w:b/>
          <w:sz w:val="26"/>
        </w:rPr>
        <w:t>3.1 机器学习人口趋势预测</w:t>
      </w:r>
    </w:p>
    <w:p>
      <w:pPr>
        <w:spacing w:before="0" w:after="0"/>
        <w:jc w:val="center"/>
      </w:pPr>
      <w:r>
        <w:rPr>
          <w:rFonts w:ascii="Times New Roman" w:hAnsi="Times New Roman" w:eastAsia="宋体" w:cs="Times New Roman"/>
          <w:sz w:val="24"/>
        </w:rPr>
        <w:drawing>
          <wp:inline xmlns:a="http://schemas.openxmlformats.org/drawingml/2006/main" xmlns:pic="http://schemas.openxmlformats.org/drawingml/2006/picture">
            <wp:extent cx="8778240" cy="57058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redic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5705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图3-1 机器学习人口趋势预测功能函数分解图</w:t>
      </w:r>
    </w:p>
    <w:p>
      <w:r>
        <w:rPr>
          <w:rFonts w:ascii="Times New Roman" w:hAnsi="Times New Roman" w:eastAsia="宋体" w:cs="Times New Roman"/>
          <w:sz w:val="24"/>
        </w:rPr>
        <w:br w:type="page"/>
      </w:r>
    </w:p>
    <w:p>
      <w:pPr>
        <w:spacing w:after="120"/>
        <w:jc w:val="left"/>
      </w:pPr>
      <w:r>
        <w:rPr>
          <w:rFonts w:ascii="Times New Roman" w:hAnsi="Times New Roman" w:eastAsia="宋体" w:cs="Times New Roman"/>
          <w:b/>
          <w:sz w:val="26"/>
        </w:rPr>
        <w:t>3.2 大模型结果解释分析</w:t>
      </w:r>
    </w:p>
    <w:p>
      <w:pPr>
        <w:spacing w:before="0" w:after="0"/>
        <w:jc w:val="center"/>
      </w:pPr>
      <w:r>
        <w:rPr>
          <w:rFonts w:ascii="Times New Roman" w:hAnsi="Times New Roman" w:eastAsia="宋体" w:cs="Times New Roman"/>
          <w:sz w:val="24"/>
        </w:rPr>
        <w:drawing>
          <wp:inline xmlns:a="http://schemas.openxmlformats.org/drawingml/2006/main" xmlns:pic="http://schemas.openxmlformats.org/drawingml/2006/picture">
            <wp:extent cx="8778240" cy="57058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lm_explan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5705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图3-2 大模型结果解释分析功能函数分解图</w:t>
      </w:r>
    </w:p>
    <w:p>
      <w:r>
        <w:rPr>
          <w:rFonts w:ascii="Times New Roman" w:hAnsi="Times New Roman" w:eastAsia="宋体" w:cs="Times New Roman"/>
          <w:sz w:val="24"/>
        </w:rPr>
        <w:br w:type="page"/>
      </w:r>
    </w:p>
    <w:p>
      <w:pPr>
        <w:spacing w:after="120"/>
        <w:jc w:val="left"/>
      </w:pPr>
      <w:r>
        <w:rPr>
          <w:rFonts w:ascii="Times New Roman" w:hAnsi="Times New Roman" w:eastAsia="宋体" w:cs="Times New Roman"/>
          <w:b/>
          <w:sz w:val="26"/>
        </w:rPr>
        <w:t>3.3 智能风险评估</w:t>
      </w:r>
    </w:p>
    <w:p>
      <w:pPr>
        <w:spacing w:before="0" w:after="0"/>
        <w:jc w:val="center"/>
      </w:pPr>
      <w:r>
        <w:rPr>
          <w:rFonts w:ascii="Times New Roman" w:hAnsi="Times New Roman" w:eastAsia="宋体" w:cs="Times New Roman"/>
          <w:sz w:val="24"/>
        </w:rPr>
        <w:drawing>
          <wp:inline xmlns:a="http://schemas.openxmlformats.org/drawingml/2006/main" xmlns:pic="http://schemas.openxmlformats.org/drawingml/2006/picture">
            <wp:extent cx="8778240" cy="57058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is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5705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图3-3 智能风险评估功能函数分解图</w:t>
      </w:r>
    </w:p>
    <w:p>
      <w:r>
        <w:rPr>
          <w:rFonts w:ascii="Times New Roman" w:hAnsi="Times New Roman" w:eastAsia="宋体" w:cs="Times New Roman"/>
          <w:sz w:val="24"/>
        </w:rPr>
        <w:br w:type="page"/>
      </w:r>
    </w:p>
    <w:p>
      <w:pPr>
        <w:spacing w:after="120"/>
        <w:jc w:val="left"/>
      </w:pPr>
      <w:r>
        <w:rPr>
          <w:rFonts w:ascii="Times New Roman" w:hAnsi="Times New Roman" w:eastAsia="宋体" w:cs="Times New Roman"/>
          <w:b/>
          <w:sz w:val="26"/>
        </w:rPr>
        <w:t>3.4 数据可视化分析</w:t>
      </w:r>
    </w:p>
    <w:p>
      <w:pPr>
        <w:spacing w:before="0" w:after="0"/>
        <w:jc w:val="center"/>
      </w:pPr>
      <w:r>
        <w:rPr>
          <w:rFonts w:ascii="Times New Roman" w:hAnsi="Times New Roman" w:eastAsia="宋体" w:cs="Times New Roman"/>
          <w:sz w:val="24"/>
        </w:rPr>
        <w:drawing>
          <wp:inline xmlns:a="http://schemas.openxmlformats.org/drawingml/2006/main" xmlns:pic="http://schemas.openxmlformats.org/drawingml/2006/picture">
            <wp:extent cx="8778240" cy="57058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visualiz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5705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图3-4 数据可视化分析功能函数分解图</w:t>
      </w:r>
    </w:p>
    <w:p>
      <w:r>
        <w:rPr>
          <w:rFonts w:ascii="Times New Roman" w:hAnsi="Times New Roman" w:eastAsia="宋体" w:cs="Times New Roman"/>
          <w:sz w:val="24"/>
        </w:rPr>
        <w:br w:type="page"/>
      </w:r>
    </w:p>
    <w:p>
      <w:pPr>
        <w:spacing w:after="120"/>
        <w:jc w:val="left"/>
      </w:pPr>
      <w:r>
        <w:rPr>
          <w:rFonts w:ascii="Times New Roman" w:hAnsi="Times New Roman" w:eastAsia="宋体" w:cs="Times New Roman"/>
          <w:b/>
          <w:sz w:val="26"/>
        </w:rPr>
        <w:t>3.5 统计分析与地区排名</w:t>
      </w:r>
    </w:p>
    <w:p>
      <w:pPr>
        <w:spacing w:before="0" w:after="0"/>
        <w:jc w:val="center"/>
      </w:pPr>
      <w:r>
        <w:rPr>
          <w:rFonts w:ascii="Times New Roman" w:hAnsi="Times New Roman" w:eastAsia="宋体" w:cs="Times New Roman"/>
          <w:sz w:val="24"/>
        </w:rPr>
        <w:drawing>
          <wp:inline xmlns:a="http://schemas.openxmlformats.org/drawingml/2006/main" xmlns:pic="http://schemas.openxmlformats.org/drawingml/2006/picture">
            <wp:extent cx="8778240" cy="57058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tatistics_rank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5705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图3-5 统计分析与地区排名功能函数分解图</w:t>
      </w:r>
    </w:p>
    <w:p>
      <w:r>
        <w:rPr>
          <w:rFonts w:ascii="Times New Roman" w:hAnsi="Times New Roman" w:eastAsia="宋体" w:cs="Times New Roman"/>
          <w:sz w:val="24"/>
        </w:rPr>
        <w:br w:type="page"/>
      </w:r>
    </w:p>
    <w:p>
      <w:pPr>
        <w:spacing w:after="120"/>
        <w:jc w:val="left"/>
      </w:pPr>
      <w:r>
        <w:rPr>
          <w:rFonts w:ascii="Times New Roman" w:hAnsi="Times New Roman" w:eastAsia="宋体" w:cs="Times New Roman"/>
          <w:b/>
          <w:sz w:val="26"/>
        </w:rPr>
        <w:t>3.6 人口数据采集</w:t>
      </w:r>
    </w:p>
    <w:p>
      <w:pPr>
        <w:spacing w:before="0" w:after="0"/>
        <w:jc w:val="center"/>
      </w:pPr>
      <w:r>
        <w:rPr>
          <w:rFonts w:ascii="Times New Roman" w:hAnsi="Times New Roman" w:eastAsia="宋体" w:cs="Times New Roman"/>
          <w:sz w:val="24"/>
        </w:rPr>
        <w:drawing>
          <wp:inline xmlns:a="http://schemas.openxmlformats.org/drawingml/2006/main" xmlns:pic="http://schemas.openxmlformats.org/drawingml/2006/picture">
            <wp:extent cx="8778240" cy="57058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llec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5705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图3-6 人口数据采集功能函数分解图</w:t>
      </w:r>
    </w:p>
    <w:p>
      <w:r>
        <w:rPr>
          <w:rFonts w:ascii="Times New Roman" w:hAnsi="Times New Roman" w:eastAsia="宋体" w:cs="Times New Roman"/>
          <w:sz w:val="24"/>
        </w:rPr>
        <w:br w:type="page"/>
      </w:r>
    </w:p>
    <w:p>
      <w:pPr>
        <w:spacing w:after="120"/>
        <w:jc w:val="left"/>
      </w:pPr>
      <w:r>
        <w:rPr>
          <w:rFonts w:ascii="Times New Roman" w:hAnsi="Times New Roman" w:eastAsia="宋体" w:cs="Times New Roman"/>
          <w:b/>
          <w:sz w:val="26"/>
        </w:rPr>
        <w:t>3.7 人口数据管理</w:t>
      </w:r>
    </w:p>
    <w:p>
      <w:pPr>
        <w:spacing w:before="0" w:after="0"/>
        <w:jc w:val="center"/>
      </w:pPr>
      <w:r>
        <w:rPr>
          <w:rFonts w:ascii="Times New Roman" w:hAnsi="Times New Roman" w:eastAsia="宋体" w:cs="Times New Roman"/>
          <w:sz w:val="24"/>
        </w:rPr>
        <w:drawing>
          <wp:inline xmlns:a="http://schemas.openxmlformats.org/drawingml/2006/main" xmlns:pic="http://schemas.openxmlformats.org/drawingml/2006/picture">
            <wp:extent cx="8778240" cy="57058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anage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5705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图3-7 人口数据管理功能函数分解图</w:t>
      </w:r>
    </w:p>
    <w:p>
      <w:r>
        <w:rPr>
          <w:rFonts w:ascii="Times New Roman" w:hAnsi="Times New Roman" w:eastAsia="宋体" w:cs="Times New Roman"/>
          <w:sz w:val="24"/>
        </w:rPr>
        <w:br w:type="page"/>
      </w:r>
    </w:p>
    <w:p>
      <w:pPr>
        <w:spacing w:after="120"/>
        <w:jc w:val="left"/>
      </w:pPr>
      <w:r>
        <w:rPr>
          <w:rFonts w:ascii="Times New Roman" w:hAnsi="Times New Roman" w:eastAsia="宋体" w:cs="Times New Roman"/>
          <w:b/>
          <w:sz w:val="26"/>
        </w:rPr>
        <w:t>3.8 分析报告生成</w:t>
      </w:r>
    </w:p>
    <w:p>
      <w:pPr>
        <w:spacing w:before="0" w:after="0"/>
        <w:jc w:val="center"/>
      </w:pPr>
      <w:r>
        <w:rPr>
          <w:rFonts w:ascii="Times New Roman" w:hAnsi="Times New Roman" w:eastAsia="宋体" w:cs="Times New Roman"/>
          <w:sz w:val="24"/>
        </w:rPr>
        <w:drawing>
          <wp:inline xmlns:a="http://schemas.openxmlformats.org/drawingml/2006/main" xmlns:pic="http://schemas.openxmlformats.org/drawingml/2006/picture">
            <wp:extent cx="8778240" cy="57058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epo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5705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图3-8 分析报告生成功能函数分解图</w:t>
      </w:r>
    </w:p>
    <w:p>
      <w:r>
        <w:rPr>
          <w:rFonts w:ascii="Times New Roman" w:hAnsi="Times New Roman" w:eastAsia="宋体" w:cs="Times New Roman"/>
          <w:sz w:val="24"/>
        </w:rPr>
        <w:br w:type="page"/>
      </w:r>
    </w:p>
    <w:p>
      <w:pPr>
        <w:spacing w:after="120"/>
        <w:jc w:val="left"/>
      </w:pPr>
      <w:r>
        <w:rPr>
          <w:rFonts w:ascii="Times New Roman" w:hAnsi="Times New Roman" w:eastAsia="宋体" w:cs="Times New Roman"/>
          <w:b/>
          <w:sz w:val="26"/>
        </w:rPr>
        <w:t>3.9 多条件查询筛选</w:t>
      </w:r>
    </w:p>
    <w:p>
      <w:pPr>
        <w:spacing w:before="0" w:after="0"/>
        <w:jc w:val="center"/>
      </w:pPr>
      <w:r>
        <w:rPr>
          <w:rFonts w:ascii="Times New Roman" w:hAnsi="Times New Roman" w:eastAsia="宋体" w:cs="Times New Roman"/>
          <w:sz w:val="24"/>
        </w:rPr>
        <w:drawing>
          <wp:inline xmlns:a="http://schemas.openxmlformats.org/drawingml/2006/main" xmlns:pic="http://schemas.openxmlformats.org/drawingml/2006/picture">
            <wp:extent cx="8778240" cy="570585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filt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5705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图3-9 多条件查询筛选功能函数分解图</w:t>
      </w:r>
    </w:p>
    <w:p>
      <w:r>
        <w:rPr>
          <w:rFonts w:ascii="Times New Roman" w:hAnsi="Times New Roman" w:eastAsia="宋体" w:cs="Times New Roman"/>
          <w:sz w:val="24"/>
        </w:rPr>
        <w:br w:type="page"/>
      </w:r>
    </w:p>
    <w:p>
      <w:pPr>
        <w:spacing w:after="120"/>
        <w:jc w:val="left"/>
      </w:pPr>
      <w:r>
        <w:rPr>
          <w:rFonts w:ascii="Times New Roman" w:hAnsi="Times New Roman" w:eastAsia="宋体" w:cs="Times New Roman"/>
          <w:b/>
          <w:sz w:val="26"/>
        </w:rPr>
        <w:t>3.10 数据排序与对比</w:t>
      </w:r>
    </w:p>
    <w:p>
      <w:pPr>
        <w:spacing w:before="0" w:after="0"/>
        <w:jc w:val="center"/>
      </w:pPr>
      <w:r>
        <w:rPr>
          <w:rFonts w:ascii="Times New Roman" w:hAnsi="Times New Roman" w:eastAsia="宋体" w:cs="Times New Roman"/>
          <w:sz w:val="24"/>
        </w:rPr>
        <w:drawing>
          <wp:inline xmlns:a="http://schemas.openxmlformats.org/drawingml/2006/main" xmlns:pic="http://schemas.openxmlformats.org/drawingml/2006/picture">
            <wp:extent cx="8778240" cy="57058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omparis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5705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图3-10 数据排序与对比功能函数分解图</w:t>
      </w:r>
    </w:p>
    <w:p>
      <w:r>
        <w:rPr>
          <w:rFonts w:ascii="Times New Roman" w:hAnsi="Times New Roman" w:eastAsia="宋体" w:cs="Times New Roman"/>
          <w:sz w:val="24"/>
        </w:rPr>
        <w:br w:type="page"/>
      </w:r>
    </w:p>
    <w:p>
      <w:pPr>
        <w:spacing w:after="120"/>
        <w:jc w:val="left"/>
      </w:pPr>
      <w:r>
        <w:rPr>
          <w:rFonts w:ascii="Times New Roman" w:hAnsi="Times New Roman" w:eastAsia="宋体" w:cs="Times New Roman"/>
          <w:b/>
          <w:sz w:val="26"/>
        </w:rPr>
        <w:t>3.11 地区档案管理</w:t>
      </w:r>
    </w:p>
    <w:p>
      <w:pPr>
        <w:spacing w:before="0" w:after="0"/>
        <w:jc w:val="center"/>
      </w:pPr>
      <w:r>
        <w:rPr>
          <w:rFonts w:ascii="Times New Roman" w:hAnsi="Times New Roman" w:eastAsia="宋体" w:cs="Times New Roman"/>
          <w:sz w:val="24"/>
        </w:rPr>
        <w:drawing>
          <wp:inline xmlns:a="http://schemas.openxmlformats.org/drawingml/2006/main" xmlns:pic="http://schemas.openxmlformats.org/drawingml/2006/picture">
            <wp:extent cx="8778240" cy="570585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region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5705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图3-11 地区档案管理功能函数分解图</w:t>
      </w:r>
    </w:p>
    <w:p>
      <w:r>
        <w:rPr>
          <w:rFonts w:ascii="Times New Roman" w:hAnsi="Times New Roman" w:eastAsia="宋体" w:cs="Times New Roman"/>
          <w:sz w:val="24"/>
        </w:rPr>
        <w:br w:type="page"/>
      </w:r>
    </w:p>
    <w:p>
      <w:pPr>
        <w:spacing w:after="120"/>
        <w:jc w:val="left"/>
      </w:pPr>
      <w:r>
        <w:rPr>
          <w:rFonts w:ascii="Times New Roman" w:hAnsi="Times New Roman" w:eastAsia="宋体" w:cs="Times New Roman"/>
          <w:b/>
          <w:sz w:val="26"/>
        </w:rPr>
        <w:t>3.12 数据来源管理</w:t>
      </w:r>
    </w:p>
    <w:p>
      <w:pPr>
        <w:spacing w:before="0" w:after="0"/>
        <w:jc w:val="center"/>
      </w:pPr>
      <w:r>
        <w:rPr>
          <w:rFonts w:ascii="Times New Roman" w:hAnsi="Times New Roman" w:eastAsia="宋体" w:cs="Times New Roman"/>
          <w:sz w:val="24"/>
        </w:rPr>
        <w:drawing>
          <wp:inline xmlns:a="http://schemas.openxmlformats.org/drawingml/2006/main" xmlns:pic="http://schemas.openxmlformats.org/drawingml/2006/picture">
            <wp:extent cx="8778240" cy="570585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ourc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5705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图3-12 数据来源管理功能函数分解图</w:t>
      </w:r>
    </w:p>
    <w:p>
      <w:r>
        <w:rPr>
          <w:rFonts w:ascii="Times New Roman" w:hAnsi="Times New Roman" w:eastAsia="宋体" w:cs="Times New Roman"/>
          <w:sz w:val="24"/>
        </w:rPr>
        <w:br w:type="page"/>
      </w:r>
    </w:p>
    <w:p>
      <w:pPr>
        <w:spacing w:after="120"/>
        <w:jc w:val="left"/>
      </w:pPr>
      <w:r>
        <w:rPr>
          <w:rFonts w:ascii="Times New Roman" w:hAnsi="Times New Roman" w:eastAsia="宋体" w:cs="Times New Roman"/>
          <w:b/>
          <w:sz w:val="26"/>
        </w:rPr>
        <w:t>3.13 扩展指标管理</w:t>
      </w:r>
    </w:p>
    <w:p>
      <w:pPr>
        <w:spacing w:before="0" w:after="0"/>
        <w:jc w:val="center"/>
      </w:pPr>
      <w:r>
        <w:rPr>
          <w:rFonts w:ascii="Times New Roman" w:hAnsi="Times New Roman" w:eastAsia="宋体" w:cs="Times New Roman"/>
          <w:sz w:val="24"/>
        </w:rPr>
        <w:drawing>
          <wp:inline xmlns:a="http://schemas.openxmlformats.org/drawingml/2006/main" xmlns:pic="http://schemas.openxmlformats.org/drawingml/2006/picture">
            <wp:extent cx="8778240" cy="570585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indicator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5705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图3-13 扩展指标管理功能函数分解图</w:t>
      </w:r>
    </w:p>
    <w:p>
      <w:r>
        <w:rPr>
          <w:rFonts w:ascii="Times New Roman" w:hAnsi="Times New Roman" w:eastAsia="宋体" w:cs="Times New Roman"/>
          <w:sz w:val="24"/>
        </w:rPr>
        <w:br w:type="page"/>
      </w:r>
    </w:p>
    <w:p>
      <w:pPr>
        <w:spacing w:after="120"/>
        <w:jc w:val="left"/>
      </w:pPr>
      <w:r>
        <w:rPr>
          <w:rFonts w:ascii="Times New Roman" w:hAnsi="Times New Roman" w:eastAsia="宋体" w:cs="Times New Roman"/>
          <w:b/>
          <w:sz w:val="26"/>
        </w:rPr>
        <w:t>3.14 CSV 数据导出</w:t>
      </w:r>
    </w:p>
    <w:p>
      <w:pPr>
        <w:spacing w:before="0" w:after="0"/>
        <w:jc w:val="center"/>
      </w:pPr>
      <w:r>
        <w:rPr>
          <w:rFonts w:ascii="Times New Roman" w:hAnsi="Times New Roman" w:eastAsia="宋体" w:cs="Times New Roman"/>
          <w:sz w:val="24"/>
        </w:rPr>
        <w:drawing>
          <wp:inline xmlns:a="http://schemas.openxmlformats.org/drawingml/2006/main" xmlns:pic="http://schemas.openxmlformats.org/drawingml/2006/picture">
            <wp:extent cx="8778240" cy="570585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csv_expor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5705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图3-14 CSV 数据导出功能函数分解图</w:t>
      </w:r>
    </w:p>
    <w:sectPr w:rsidR="00FC693F" w:rsidRPr="0006063C" w:rsidSect="00034616">
      <w:pgSz w:w="16834" w:h="11909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 w:cs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 w:cs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 w:cs="Times New Roman"/>
      <w:b/>
      <w:bCs/>
      <w:color w:val="4F81BD" w:themeColor="accent1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