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微服务通信方式</w:t>
      </w:r>
    </w:p>
    <w:p>
      <w:r>
        <w:t xml:space="preserve">微服务之间的通信方式决定了系统的耦合度、性能上限和一致性语义，是微服务架构设计的核心决策之一。</w:t>
      </w:r>
    </w:p>
    <w:p>
      <w:pPr>
        <w:pStyle w:val="Heading2"/>
      </w:pPr>
      <w:r>
        <w:t xml:space="preserve">同步通信</w:t>
      </w:r>
    </w:p>
    <w:p>
      <w:r>
        <w:t xml:space="preserve">REST 基于 HTTP 和 JSON，简单通用、调试方便，适合对外接口和一般内部调用。</w:t>
      </w:r>
    </w:p>
    <w:p>
      <w:r>
        <w:t xml:space="preserve">gRPC 基于 HTTP/2 和 Protobuf，序列化体积小、性能高，支持流式通信，配合代码生成可以保证接口类型安全，适合内部高性能调用。</w:t>
      </w:r>
    </w:p>
    <w:p>
      <w:r>
        <w:t xml:space="preserve">同步调用必须设置合理的超时时间，配合重试、熔断和舱壁隔离，防止一个慢服务拖垮整条调用链。</w:t>
      </w:r>
    </w:p>
    <w:p>
      <w:pPr>
        <w:pStyle w:val="Heading2"/>
      </w:pPr>
      <w:r>
        <w:t xml:space="preserve">异步通信</w:t>
      </w:r>
    </w:p>
    <w:p>
      <w:r>
        <w:t xml:space="preserve">消息队列把请求写入消息后立即返回，消费方异步处理，实现解耦、削峰和最终一致性。</w:t>
      </w:r>
    </w:p>
    <w:p>
      <w:r>
        <w:t xml:space="preserve">事件驱动架构中服务通过发布订阅协作，生产者不需要知道消费者是谁，扩展新的消费者不需要修改生产者。</w:t>
      </w:r>
    </w:p>
    <w:tbl>
      <w:tblPr>
        <w:tblBorders>
          <w:top w:val="single"/>
          <w:left w:val="single"/>
          <w:bottom w:val="single"/>
          <w:right w:val="single"/>
        </w:tblBorders>
      </w:tblPr>
      <w:tr>
        <w:tc>
          <w:p>
            <w:r>
              <w:t>方式</w:t>
            </w:r>
          </w:p>
        </w:tc>
        <w:tc>
          <w:p>
            <w:r>
              <w:t>耦合度</w:t>
            </w:r>
          </w:p>
        </w:tc>
        <w:tc>
          <w:p>
            <w:r>
              <w:t>性能</w:t>
            </w:r>
          </w:p>
        </w:tc>
        <w:tc>
          <w:p>
            <w:r>
              <w:t>一致性</w:t>
            </w:r>
          </w:p>
        </w:tc>
        <w:tc>
          <w:p>
            <w:r>
              <w:t>适用场景</w:t>
            </w:r>
          </w:p>
        </w:tc>
      </w:tr>
      <w:tr>
        <w:tc>
          <w:p>
            <w:r>
              <w:t>REST</w:t>
            </w:r>
          </w:p>
        </w:tc>
        <w:tc>
          <w:p>
            <w:r>
              <w:t>松耦合</w:t>
            </w:r>
          </w:p>
        </w:tc>
        <w:tc>
          <w:p>
            <w:r>
              <w:t>中</w:t>
            </w:r>
          </w:p>
        </w:tc>
        <w:tc>
          <w:p>
            <w:r>
              <w:t>强一致</w:t>
            </w:r>
          </w:p>
        </w:tc>
        <w:tc>
          <w:p>
            <w:r>
              <w:t>对外接口、简单调用</w:t>
            </w:r>
          </w:p>
        </w:tc>
      </w:tr>
      <w:tr>
        <w:tc>
          <w:p>
            <w:r>
              <w:t>gRPC</w:t>
            </w:r>
          </w:p>
        </w:tc>
        <w:tc>
          <w:p>
            <w:r>
              <w:t>较紧</w:t>
            </w:r>
          </w:p>
        </w:tc>
        <w:tc>
          <w:p>
            <w:r>
              <w:t>高</w:t>
            </w:r>
          </w:p>
        </w:tc>
        <w:tc>
          <w:p>
            <w:r>
              <w:t>强一致</w:t>
            </w:r>
          </w:p>
        </w:tc>
        <w:tc>
          <w:p>
            <w:r>
              <w:t>内部高性能调用</w:t>
            </w:r>
          </w:p>
        </w:tc>
      </w:tr>
      <w:tr>
        <w:tc>
          <w:p>
            <w:r>
              <w:t>消息队列</w:t>
            </w:r>
          </w:p>
        </w:tc>
        <w:tc>
          <w:p>
            <w:r>
              <w:t>解耦</w:t>
            </w:r>
          </w:p>
        </w:tc>
        <w:tc>
          <w:p>
            <w:r>
              <w:t>高</w:t>
            </w:r>
          </w:p>
        </w:tc>
        <w:tc>
          <w:p>
            <w:r>
              <w:t>最终一致</w:t>
            </w:r>
          </w:p>
        </w:tc>
        <w:tc>
          <w:p>
            <w:r>
              <w:t>削峰、异步任务、事件广播</w:t>
            </w:r>
          </w:p>
        </w:tc>
      </w:tr>
    </w:tbl>
    <w:p>
      <w:pPr>
        <w:pStyle w:val="Heading2"/>
      </w:pPr>
      <w:r>
        <w:t xml:space="preserve">服务发现与容错</w:t>
      </w:r>
    </w:p>
    <w:p>
      <w:r>
        <w:t xml:space="preserve">服务实例动态变化，调用方通过注册中心获取可用实例列表，结合客户端负载均衡选择节点。</w:t>
      </w:r>
    </w:p>
    <w:p>
      <w:r>
        <w:t xml:space="preserve">熔断器在错误率超阈值时快速失败，避免雪崩；降级在依赖不可用时返回兜底数据；限流保护服务不被突发流量压垮。</w:t>
      </w:r>
    </w:p>
    <w:sectPr/>
  </w:body>
</w:document>
</file>