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 xml:space="preserve">WebSocket 与轮询技术补充知识</w:t>
      </w:r>
    </w:p>
    <w:p/>
    <w:p>
      <w:r>
        <w:t xml:space="preserve">WebSocket 是一种在单个 TCP 连接上进行全双工通信的协议。浏览器和服务器只需要完成一次握手，两者之间就可以创建持久性的连接，并进行双向数据传输。</w:t>
      </w:r>
    </w:p>
    <w:p>
      <w:r>
        <w:t xml:space="preserve">与 WebSocket 不同，短轮询由客户端定时向服务器发起 HTTP 请求，无论是否有新数据都返回结果，实现简单但延迟高，且大量无效请求浪费服务器资源。</w:t>
      </w:r>
    </w:p>
    <w:p>
      <w:r>
        <w:t xml:space="preserve">长轮询是短轮询的改进版本。客户端发起请求后，服务器在有新数据时才响应，如果没有新数据则保持连接一段时间，超时后客户端重新发起请求。长轮询的实时性优于短轮询，但每次响应后仍需重新建立请求。</w:t>
      </w:r>
    </w:p>
    <w:p>
      <w:pPr>
        <w:pStyle w:val="Heading9"/>
      </w:pPr>
      <w:r>
        <w:t xml:space="preserve">轮询与 WebSocket 的对比</w:t>
      </w:r>
    </w:p>
    <w:p>
      <w:pPr>
        <w:pStyle w:val="1"/>
      </w:pPr>
      <w:r>
        <w:t xml:space="preserve">从实时性、服务器开销和实现复杂度三个维度对比，WebSocket 都明显优于轮询方案，是构建聊天、协作编辑、实时行情等应用的首选。</w:t>
      </w:r>
    </w:p>
    <w:p>
      <w:r/>
    </w:p>
    <w:tbl>
      <w:tblPr>
        <w:tblBorders>
          <w:top w:val="single"/>
          <w:left w:val="single"/>
          <w:bottom w:val="single"/>
          <w:right w:val="single"/>
        </w:tblBorders>
      </w:tblPr>
      <w:tr>
        <w:tc>
          <w:p>
            <w:r>
              <w:t>通信方式</w:t>
            </w:r>
          </w:p>
        </w:tc>
        <w:tc>
          <w:p>
            <w:r>
              <w:t>实时性</w:t>
            </w:r>
          </w:p>
        </w:tc>
        <w:tc>
          <w:p>
            <w:r>
              <w:t>服务器开销</w:t>
            </w:r>
          </w:p>
        </w:tc>
        <w:tc>
          <w:p>
            <w:r>
              <w:t>适用场景</w:t>
            </w:r>
          </w:p>
        </w:tc>
      </w:tr>
      <w:tr>
        <w:tc>
          <w:p>
            <w:r>
              <w:t>短轮询</w:t>
            </w:r>
          </w:p>
        </w:tc>
        <w:tc>
          <w:p>
            <w:r>
              <w:t>低</w:t>
            </w:r>
          </w:p>
        </w:tc>
        <w:tc>
          <w:p>
            <w:r>
              <w:t>高，大量无效请求</w:t>
            </w:r>
          </w:p>
        </w:tc>
        <w:tc>
          <w:p>
            <w:r>
              <w:t>数据更新频率很低的页面</w:t>
            </w:r>
          </w:p>
        </w:tc>
      </w:tr>
      <w:tr>
        <w:tc>
          <w:p>
            <w:r>
              <w:t>长轮询</w:t>
            </w:r>
          </w:p>
        </w:tc>
        <w:tc>
          <w:p>
            <w:r>
              <w:t>中</w:t>
            </w:r>
          </w:p>
        </w:tc>
        <w:tc>
          <w:p>
            <w:r>
              <w:t>中，连接保持时间较长</w:t>
            </w:r>
          </w:p>
        </w:tc>
        <w:tc>
          <w:p>
            <w:r>
              <w:t>实时性要求一般的场景</w:t>
            </w:r>
          </w:p>
        </w:tc>
      </w:tr>
      <w:tr>
        <w:tc>
          <w:p>
            <w:r>
              <w:t>WebSocket</w:t>
            </w:r>
          </w:p>
        </w:tc>
        <w:tc>
          <w:p>
            <w:r>
              <w:t>高</w:t>
            </w:r>
          </w:p>
        </w:tc>
        <w:tc>
          <w:p>
            <w:r>
              <w:t>低，连接复用</w:t>
            </w:r>
          </w:p>
        </w:tc>
        <w:tc>
          <w:p>
            <w:r>
              <w:t>聊天室、实时行情、在线协作</w:t>
            </w:r>
          </w:p>
        </w:tc>
      </w:tr>
    </w:tbl>
    <w:p>
      <w:r>
        <w:t xml:space="preserve">选择建议：如果应用需要毫秒级的实时推送，优先选择 WebSocket；如果只是低频的状态检查，短轮询或长轮询的维护成本更低。</w:t>
      </w:r>
    </w:p>
    <w:sectPr/>
  </w:body>
</w:document>
</file>