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3074A476"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proofErr w:type="gramStart"/>
      <w:r w:rsidR="00C8748C">
        <w:rPr>
          <w:rFonts w:ascii="Times New Roman" w:hAnsi="Times New Roman" w:cs="Times New Roman"/>
        </w:rPr>
        <w:t>the publicly</w:t>
      </w:r>
      <w:proofErr w:type="gramEnd"/>
      <w:r w:rsidR="00C8748C">
        <w:rPr>
          <w:rFonts w:ascii="Times New Roman" w:hAnsi="Times New Roman" w:cs="Times New Roman"/>
        </w:rPr>
        <w:t xml:space="preserve"> available information.</w:t>
      </w:r>
    </w:p>
    <w:p w14:paraId="5A541BDC" w14:textId="27CBC1FF"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[17]</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proofErr w:type="gramStart"/>
      <w:r w:rsidR="004544ED">
        <w:rPr>
          <w:rFonts w:ascii="Times New Roman" w:hAnsi="Times New Roman" w:cs="Times New Roman"/>
        </w:rPr>
        <w:t>be</w:t>
      </w:r>
      <w:r w:rsidR="006C5921">
        <w:rPr>
          <w:rFonts w:ascii="Times New Roman" w:hAnsi="Times New Roman" w:cs="Times New Roman"/>
        </w:rPr>
        <w:t>ing</w:t>
      </w:r>
      <w:r w:rsidR="005D7297">
        <w:rPr>
          <w:rFonts w:ascii="Times New Roman" w:hAnsi="Times New Roman" w:cs="Times New Roman"/>
        </w:rPr>
        <w:t xml:space="preserve"> visualized</w:t>
      </w:r>
      <w:proofErr w:type="gramEnd"/>
      <w:r w:rsidR="005D7297">
        <w:rPr>
          <w:rFonts w:ascii="Times New Roman" w:hAnsi="Times New Roman" w:cs="Times New Roman"/>
        </w:rPr>
        <w:t xml:space="preserve"> through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5B440BA7">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6DD06213"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272320">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07598320"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presented below illustrates the </w:t>
      </w:r>
      <w:r w:rsidR="00E62272">
        <w:rPr>
          <w:rFonts w:ascii="Times New Roman" w:hAnsi="Times New Roman" w:cs="Times New Roman"/>
        </w:rPr>
        <w:t>release</w:t>
      </w:r>
      <w:r w:rsidR="00E62272" w:rsidRPr="00E62272">
        <w:rPr>
          <w:rFonts w:ascii="Times New Roman" w:hAnsi="Times New Roman" w:cs="Times New Roman"/>
        </w:rPr>
        <w:t xml:space="preserve"> and adjustment of GDP throughout the year 2023. To illustrate,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It is only by March 30</w:t>
      </w:r>
      <w:r w:rsidR="005C2D9B" w:rsidRPr="005C2D9B">
        <w:rPr>
          <w:rFonts w:ascii="Times New Roman" w:hAnsi="Times New Roman" w:cs="Times New Roman"/>
          <w:vertAlign w:val="superscript"/>
        </w:rPr>
        <w:t>th</w:t>
      </w:r>
      <w:r w:rsidR="00E62272" w:rsidRPr="00E62272">
        <w:rPr>
          <w:rFonts w:ascii="Times New Roman" w:hAnsi="Times New Roman" w:cs="Times New Roman"/>
        </w:rPr>
        <w:t xml:space="preserve">, 2023, that the released GDP becomes a more </w:t>
      </w:r>
      <w:r w:rsidR="00E62272">
        <w:rPr>
          <w:rFonts w:ascii="Times New Roman" w:hAnsi="Times New Roman" w:cs="Times New Roman"/>
        </w:rPr>
        <w:t>comparativel</w:t>
      </w:r>
      <w:r w:rsidR="00E62272" w:rsidRPr="00E62272">
        <w:rPr>
          <w:rFonts w:ascii="Times New Roman" w:hAnsi="Times New Roman" w:cs="Times New Roman"/>
        </w:rPr>
        <w:t xml:space="preserve">y accurate </w:t>
      </w:r>
      <w:r w:rsidR="00E62272">
        <w:rPr>
          <w:rFonts w:ascii="Times New Roman" w:hAnsi="Times New Roman" w:cs="Times New Roman"/>
        </w:rPr>
        <w:t>figure.</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47ABFD86"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272320">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51690D1F" w:rsidR="00C2494D" w:rsidRDefault="0030695B" w:rsidP="004B5FF2">
      <w:pPr>
        <w:rPr>
          <w:rFonts w:ascii="Times New Roman" w:hAnsi="Times New Roman" w:cs="Times New Roman"/>
        </w:rPr>
      </w:pPr>
      <w:r>
        <w:rPr>
          <w:rFonts w:ascii="Times New Roman" w:hAnsi="Times New Roman" w:cs="Times New Roman"/>
        </w:rPr>
        <w:t xml:space="preserve">Although Taylor Rule has the obstacles, it also proves the effectiveness of the Resource Gap and Inflation towards the FFR prediction, and the indicated </w:t>
      </w:r>
      <w:r w:rsidR="003B3019">
        <w:rPr>
          <w:rFonts w:ascii="Times New Roman" w:hAnsi="Times New Roman" w:cs="Times New Roman"/>
        </w:rPr>
        <w:t>the linear relationship</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proofErr w:type="spellStart"/>
        <w:r w:rsidR="0057099D" w:rsidRPr="005E230A">
          <w:rPr>
            <w:rStyle w:val="Hyperlink"/>
            <w:rFonts w:ascii="Times New Roman" w:hAnsi="Times New Roman" w:cs="Times New Roman"/>
            <w:i/>
            <w:iCs/>
          </w:rPr>
          <w:t>Github</w:t>
        </w:r>
        <w:proofErr w:type="spellEnd"/>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3EFB7154"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commentRangeStart w:id="4"/>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4"/>
      <w:r>
        <w:rPr>
          <w:rStyle w:val="CommentReference"/>
        </w:rPr>
        <w:commentReference w:id="4"/>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5"/>
                    <a:stretch>
                      <a:fillRect/>
                    </a:stretch>
                  </pic:blipFill>
                  <pic:spPr>
                    <a:xfrm>
                      <a:off x="0" y="0"/>
                      <a:ext cx="4539613" cy="2284563"/>
                    </a:xfrm>
                    <a:prstGeom prst="rect">
                      <a:avLst/>
                    </a:prstGeom>
                  </pic:spPr>
                </pic:pic>
              </a:graphicData>
            </a:graphic>
          </wp:inline>
        </w:drawing>
      </w:r>
    </w:p>
    <w:p w14:paraId="604C1076" w14:textId="08805D4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272320">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5"/>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5"/>
      <w:r>
        <w:rPr>
          <w:rStyle w:val="CommentReference"/>
        </w:rPr>
        <w:commentReference w:id="5"/>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145EA406" w:rsidR="00776C08" w:rsidRPr="00E709C4" w:rsidRDefault="00776C08" w:rsidP="00776C08">
      <w:pPr>
        <w:pStyle w:val="ListParagraph"/>
        <w:ind w:left="1080"/>
        <w:rPr>
          <w:rFonts w:ascii="Times New Roman" w:hAnsi="Times New Roman" w:cs="Times New Roman"/>
        </w:rPr>
      </w:pPr>
      <w:bookmarkStart w:id="6"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w:t>
      </w:r>
      <w:r w:rsidR="00AF3E4D">
        <w:rPr>
          <w:rFonts w:ascii="Times New Roman" w:hAnsi="Times New Roman" w:cs="Times New Roman"/>
        </w:rPr>
        <w:t>4</w:t>
      </w:r>
      <w:r>
        <w:rPr>
          <w:rFonts w:ascii="Times New Roman" w:hAnsi="Times New Roman" w:cs="Times New Roman"/>
        </w:rPr>
        <w:t>)</w:t>
      </w:r>
      <w:commentRangeStart w:id="7"/>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7"/>
      <w:r>
        <w:rPr>
          <w:rStyle w:val="CommentReference"/>
        </w:rPr>
        <w:commentReference w:id="7"/>
      </w:r>
      <w:r w:rsidRPr="004E354D">
        <w:rPr>
          <w:rFonts w:ascii="Times New Roman" w:hAnsi="Times New Roman" w:cs="Times New Roman"/>
        </w:rPr>
        <w:t xml:space="preserve">.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w:t>
      </w:r>
      <w:proofErr w:type="gramStart"/>
      <w:r w:rsidRPr="004E354D">
        <w:rPr>
          <w:rFonts w:ascii="Times New Roman" w:hAnsi="Times New Roman" w:cs="Times New Roman"/>
        </w:rPr>
        <w:t>asset</w:t>
      </w:r>
      <w:proofErr w:type="gramEnd"/>
      <w:r w:rsidRPr="004E354D">
        <w:rPr>
          <w:rFonts w:ascii="Times New Roman" w:hAnsi="Times New Roman" w:cs="Times New Roman"/>
        </w:rPr>
        <w: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8"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6"/>
      <w:bookmarkEnd w:id="8"/>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9"/>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9"/>
      <w:r>
        <w:rPr>
          <w:rStyle w:val="CommentReference"/>
        </w:rPr>
        <w:commentReference w:id="9"/>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7CBD15E7"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272320">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0"/>
      <w:r>
        <w:rPr>
          <w:rStyle w:val="CommentReference"/>
        </w:rPr>
        <w:commentReference w:id="10"/>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1"/>
      <w:r>
        <w:rPr>
          <w:rStyle w:val="CommentReference"/>
        </w:rPr>
        <w:commentReference w:id="11"/>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484E130E"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4E12EA">
        <w:rPr>
          <w:rFonts w:ascii="Times New Roman" w:hAnsi="Times New Roman" w:cs="Times New Roman"/>
        </w:rPr>
        <w:t>5</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5A8FB1AB"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272320">
        <w:rPr>
          <w:rFonts w:ascii="Times New Roman" w:hAnsi="Times New Roman" w:cs="Times New Roman"/>
          <w:noProof/>
        </w:rPr>
        <w:t>5</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2"/>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2"/>
      <w:r w:rsidR="0026324F">
        <w:rPr>
          <w:rFonts w:ascii="Times New Roman" w:hAnsi="Times New Roman" w:cs="Times New Roman"/>
        </w:rPr>
        <w:t xml:space="preserve"> </w:t>
      </w:r>
      <w:r w:rsidR="0026324F">
        <w:rPr>
          <w:rStyle w:val="CommentReference"/>
        </w:rPr>
        <w:commentReference w:id="12"/>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3"/>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3"/>
      <w:r w:rsidR="003A124E">
        <w:rPr>
          <w:rStyle w:val="CommentReference"/>
        </w:rPr>
        <w:commentReference w:id="13"/>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4"/>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4"/>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4"/>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5"/>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5"/>
      <w:r w:rsidR="00D847B9">
        <w:rPr>
          <w:rStyle w:val="CommentReference"/>
        </w:rPr>
        <w:commentReference w:id="15"/>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3D6E0FD0"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w:t>
      </w:r>
      <w:proofErr w:type="gramStart"/>
      <w:r w:rsidR="00485386">
        <w:rPr>
          <w:rFonts w:ascii="Times New Roman" w:hAnsi="Times New Roman" w:cs="Times New Roman"/>
        </w:rPr>
        <w:t>increase</w:t>
      </w:r>
      <w:proofErr w:type="gramEnd"/>
      <w:r w:rsidR="00485386">
        <w:rPr>
          <w:rFonts w:ascii="Times New Roman" w:hAnsi="Times New Roman" w:cs="Times New Roman"/>
        </w:rPr>
        <w:t xml:space="preserv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w:t>
      </w:r>
      <w:r w:rsidR="004E12EA">
        <w:rPr>
          <w:rFonts w:ascii="Times New Roman" w:hAnsi="Times New Roman" w:cs="Times New Roman"/>
        </w:rPr>
        <w:t>6</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4C0C9DDA"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00272320">
        <w:rPr>
          <w:rFonts w:ascii="Times New Roman" w:hAnsi="Times New Roman" w:cs="Times New Roman"/>
          <w:noProof/>
        </w:rPr>
        <w:t>6</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w:t>
      </w:r>
      <w:r w:rsidR="00F42F0C">
        <w:rPr>
          <w:rFonts w:ascii="Times New Roman" w:hAnsi="Times New Roman" w:cs="Times New Roman"/>
        </w:rPr>
        <w:t>L</w:t>
      </w:r>
      <w:r w:rsidRPr="004451D6">
        <w:rPr>
          <w:rFonts w:ascii="Times New Roman" w:hAnsi="Times New Roman" w:cs="Times New Roman"/>
        </w:rPr>
        <w:t>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w:t>
      </w:r>
      <w:r w:rsidR="00F42F0C">
        <w:rPr>
          <w:rFonts w:ascii="Times New Roman" w:hAnsi="Times New Roman" w:cs="Times New Roman"/>
          <w:noProof/>
        </w:rPr>
        <w:t>R</w:t>
      </w:r>
      <w:r w:rsidRPr="004451D6">
        <w:rPr>
          <w:rFonts w:ascii="Times New Roman" w:hAnsi="Times New Roman" w:cs="Times New Roman"/>
          <w:noProof/>
        </w:rPr>
        <w:t>ight)</w:t>
      </w:r>
    </w:p>
    <w:p w14:paraId="2B108C70" w14:textId="77777777" w:rsidR="007633C0" w:rsidRDefault="007633C0" w:rsidP="002B27EA">
      <w:pPr>
        <w:ind w:left="720"/>
        <w:rPr>
          <w:rFonts w:ascii="Times New Roman" w:hAnsi="Times New Roman" w:cs="Times New Roman"/>
        </w:rPr>
      </w:pPr>
    </w:p>
    <w:p w14:paraId="594E0CED" w14:textId="5929937B" w:rsidR="00934096" w:rsidRPr="00AE4525" w:rsidRDefault="00611DC9" w:rsidP="00934096">
      <w:pPr>
        <w:rPr>
          <w:rFonts w:ascii="Times New Roman" w:hAnsi="Times New Roman" w:cs="Times New Roman"/>
          <w:b/>
          <w:bCs/>
        </w:rPr>
      </w:pPr>
      <w:r w:rsidRPr="00043005">
        <w:rPr>
          <w:rFonts w:ascii="Times New Roman" w:hAnsi="Times New Roman" w:cs="Times New Roman"/>
          <w:b/>
          <w:bCs/>
        </w:rPr>
        <w:t>Research Objective</w:t>
      </w: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6377BE08" w14:textId="59DF924B" w:rsidR="00FE2C55" w:rsidRDefault="00E34121" w:rsidP="00853F8E">
      <w:pPr>
        <w:pStyle w:val="ListParagraph"/>
        <w:numPr>
          <w:ilvl w:val="0"/>
          <w:numId w:val="5"/>
        </w:numPr>
        <w:rPr>
          <w:rFonts w:ascii="Times New Roman" w:hAnsi="Times New Roman" w:cs="Times New Roman"/>
        </w:rPr>
      </w:pPr>
      <w:r w:rsidRPr="00853F8E">
        <w:rPr>
          <w:rFonts w:ascii="Times New Roman" w:hAnsi="Times New Roman" w:cs="Times New Roman"/>
        </w:rPr>
        <w:t xml:space="preserve">Construct the model based on the traditional Taylor Rule and </w:t>
      </w:r>
      <w:r w:rsidR="008A0A19" w:rsidRPr="00853F8E">
        <w:rPr>
          <w:rFonts w:ascii="Times New Roman" w:hAnsi="Times New Roman" w:cs="Times New Roman"/>
        </w:rPr>
        <w:t>generated</w:t>
      </w:r>
      <w:r w:rsidRPr="00853F8E">
        <w:rPr>
          <w:rFonts w:ascii="Times New Roman" w:hAnsi="Times New Roman" w:cs="Times New Roman"/>
        </w:rPr>
        <w:t xml:space="preserve"> new macro factors</w:t>
      </w:r>
      <w:r w:rsidR="00995E0D" w:rsidRPr="00853F8E">
        <w:rPr>
          <w:rFonts w:ascii="Times New Roman" w:hAnsi="Times New Roman" w:cs="Times New Roman"/>
        </w:rPr>
        <w:t xml:space="preserve">, that is </w:t>
      </w:r>
      <w:r w:rsidR="00CD36B3" w:rsidRPr="00853F8E">
        <w:rPr>
          <w:rFonts w:ascii="Times New Roman" w:hAnsi="Times New Roman" w:cs="Times New Roman"/>
        </w:rPr>
        <w:t xml:space="preserve">a linear </w:t>
      </w:r>
      <w:r w:rsidR="00FE2C55" w:rsidRPr="00853F8E">
        <w:rPr>
          <w:rFonts w:ascii="Times New Roman" w:hAnsi="Times New Roman" w:cs="Times New Roman"/>
        </w:rPr>
        <w:t>model</w:t>
      </w:r>
      <w:r w:rsidR="00FE2C55">
        <w:rPr>
          <w:rFonts w:ascii="Times New Roman" w:hAnsi="Times New Roman" w:cs="Times New Roman"/>
        </w:rPr>
        <w:t>:</w:t>
      </w:r>
    </w:p>
    <w:p w14:paraId="506E1959" w14:textId="0AFD836D" w:rsidR="00CF24EE" w:rsidRPr="00853F8E" w:rsidRDefault="00853F8E" w:rsidP="00FE2C55">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2F875157" w14:textId="77777777" w:rsidR="001A1594" w:rsidRPr="00A87C68" w:rsidRDefault="001A1594" w:rsidP="001A1594">
      <w:pPr>
        <w:rPr>
          <w:rFonts w:ascii="Times New Roman" w:hAnsi="Times New Roman" w:cs="Times New Roman"/>
          <w:b/>
          <w:bCs/>
        </w:rPr>
      </w:pPr>
      <w:r w:rsidRPr="00A87C68">
        <w:rPr>
          <w:rFonts w:ascii="Times New Roman" w:hAnsi="Times New Roman" w:cs="Times New Roman"/>
          <w:b/>
          <w:bCs/>
        </w:rPr>
        <w:t>Dataset Description</w:t>
      </w:r>
    </w:p>
    <w:p w14:paraId="2D6A03A8" w14:textId="610580E0" w:rsidR="00D2494D" w:rsidRDefault="001A1594" w:rsidP="004B5FF2">
      <w:pPr>
        <w:rPr>
          <w:rFonts w:ascii="Times New Roman" w:hAnsi="Times New Roman" w:cs="Times New Roman"/>
        </w:rPr>
      </w:pPr>
      <w:r>
        <w:rPr>
          <w:rFonts w:ascii="Times New Roman" w:hAnsi="Times New Roman" w:cs="Times New Roman"/>
        </w:rPr>
        <w:t>Both the Treasury yield data and F</w:t>
      </w:r>
      <w:r w:rsidR="00831FA1">
        <w:rPr>
          <w:rFonts w:ascii="Times New Roman" w:hAnsi="Times New Roman" w:cs="Times New Roman"/>
        </w:rPr>
        <w:t>FR</w:t>
      </w:r>
      <w:r>
        <w:rPr>
          <w:rFonts w:ascii="Times New Roman" w:hAnsi="Times New Roman" w:cs="Times New Roman"/>
        </w:rPr>
        <w:t xml:space="preserve"> are downloaded from HKU Bloomberg Laboratory [10]. </w:t>
      </w:r>
      <w:r w:rsidR="00831FA1">
        <w:rPr>
          <w:rFonts w:ascii="Times New Roman" w:hAnsi="Times New Roman" w:cs="Times New Roman"/>
        </w:rPr>
        <w:t xml:space="preserve">Note that the FFR </w:t>
      </w:r>
      <w:r w:rsidR="00616201">
        <w:rPr>
          <w:rFonts w:ascii="Times New Roman" w:hAnsi="Times New Roman" w:cs="Times New Roman"/>
        </w:rPr>
        <w:t xml:space="preserve">is actually called effective FFR, which is further explained in Appendix 2. </w:t>
      </w:r>
      <w:r>
        <w:rPr>
          <w:rFonts w:ascii="Times New Roman" w:hAnsi="Times New Roman" w:cs="Times New Roman"/>
        </w:rPr>
        <w:t xml:space="preserve">The Macro data of Real GDP, Potential GDP, and PCE are downloaded from FRED Economic Data website [18]. The Resource GAP is measured by the logarithmic transformation of Real GDP minus the logarithmic transformation of Potential GDP. </w:t>
      </w:r>
      <w:r w:rsidR="00021D60">
        <w:rPr>
          <w:rFonts w:ascii="Times New Roman" w:hAnsi="Times New Roman" w:cs="Times New Roman"/>
        </w:rPr>
        <w:t>All</w:t>
      </w:r>
      <w:r>
        <w:rPr>
          <w:rFonts w:ascii="Times New Roman" w:hAnsi="Times New Roman" w:cs="Times New Roman"/>
        </w:rPr>
        <w:t xml:space="preserve"> the data are set to start from 1990-01-01. </w:t>
      </w:r>
    </w:p>
    <w:p w14:paraId="602DD7EB" w14:textId="77777777" w:rsidR="00D2494D" w:rsidRDefault="00D2494D"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34AA119C" w:rsidR="00DB687B" w:rsidRPr="0018504B" w:rsidRDefault="00A7515D" w:rsidP="00A7515D">
      <w:pPr>
        <w:pStyle w:val="ListParagraph"/>
        <w:numPr>
          <w:ilvl w:val="0"/>
          <w:numId w:val="6"/>
        </w:numPr>
        <w:rPr>
          <w:rFonts w:ascii="Times New Roman" w:hAnsi="Times New Roman" w:cs="Times New Roman"/>
          <w:highlight w:val="yellow"/>
        </w:rPr>
      </w:pPr>
      <w:r w:rsidRPr="0018504B">
        <w:rPr>
          <w:rFonts w:ascii="Times New Roman" w:hAnsi="Times New Roman" w:cs="Times New Roman"/>
          <w:highlight w:val="yellow"/>
        </w:rPr>
        <w:t>Princip</w:t>
      </w:r>
      <w:r w:rsidR="0026324F" w:rsidRPr="0018504B">
        <w:rPr>
          <w:rFonts w:ascii="Times New Roman" w:hAnsi="Times New Roman" w:cs="Times New Roman"/>
          <w:highlight w:val="yellow"/>
        </w:rPr>
        <w:t>al</w:t>
      </w:r>
      <w:r w:rsidRPr="0018504B">
        <w:rPr>
          <w:rFonts w:ascii="Times New Roman" w:hAnsi="Times New Roman" w:cs="Times New Roman"/>
          <w:highlight w:val="yellow"/>
        </w:rPr>
        <w:t xml:space="preserve"> Component Analysis</w:t>
      </w:r>
      <w:r w:rsidR="004E3879" w:rsidRPr="0018504B">
        <w:rPr>
          <w:rFonts w:ascii="Times New Roman" w:hAnsi="Times New Roman" w:cs="Times New Roman"/>
          <w:highlight w:val="yellow"/>
        </w:rPr>
        <w:t xml:space="preserve"> (PCA)</w:t>
      </w:r>
    </w:p>
    <w:p w14:paraId="74A417AC" w14:textId="1FEE425F" w:rsidR="006707FE" w:rsidRDefault="004E3879" w:rsidP="006707FE">
      <w:pPr>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goal of </w:t>
      </w:r>
      <w:r w:rsidR="008D40A2">
        <w:rPr>
          <w:rFonts w:ascii="Times New Roman" w:hAnsi="Times New Roman" w:cs="Times New Roman"/>
        </w:rPr>
        <w:t>the PCA</w:t>
      </w:r>
      <w:r>
        <w:rPr>
          <w:rFonts w:ascii="Times New Roman" w:hAnsi="Times New Roman" w:cs="Times New Roman"/>
        </w:rPr>
        <w:t xml:space="preserve"> method is to reduce the dimensionality of the data without losing </w:t>
      </w:r>
      <w:r w:rsidR="008D40A2">
        <w:rPr>
          <w:rFonts w:ascii="Times New Roman" w:hAnsi="Times New Roman" w:cs="Times New Roman"/>
        </w:rPr>
        <w:t>much</w:t>
      </w:r>
      <w:r>
        <w:rPr>
          <w:rFonts w:ascii="Times New Roman" w:hAnsi="Times New Roman" w:cs="Times New Roman"/>
        </w:rPr>
        <w:t xml:space="preserve"> meaningful information, </w:t>
      </w:r>
      <w:r w:rsidR="00AF7E90">
        <w:rPr>
          <w:rFonts w:ascii="Times New Roman" w:hAnsi="Times New Roman" w:cs="Times New Roman"/>
        </w:rPr>
        <w:t xml:space="preserve">which can </w:t>
      </w:r>
      <w:r>
        <w:rPr>
          <w:rFonts w:ascii="Times New Roman" w:hAnsi="Times New Roman" w:cs="Times New Roman"/>
        </w:rPr>
        <w:t xml:space="preserve">even filter out the noise. </w:t>
      </w:r>
      <w:r w:rsidR="008D40A2">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Pr>
          <w:rFonts w:ascii="Times New Roman" w:hAnsi="Times New Roman" w:cs="Times New Roman"/>
        </w:rPr>
        <w:t>The detailed steps are shown below:</w:t>
      </w:r>
    </w:p>
    <w:p w14:paraId="2EA82DE3" w14:textId="33E83B4B" w:rsidR="00966A77" w:rsidRDefault="00346AB7" w:rsidP="00966A77">
      <w:pPr>
        <w:pStyle w:val="ListParagraph"/>
        <w:numPr>
          <w:ilvl w:val="0"/>
          <w:numId w:val="10"/>
        </w:numPr>
        <w:rPr>
          <w:rFonts w:ascii="Times New Roman" w:hAnsi="Times New Roman" w:cs="Times New Roman"/>
        </w:rPr>
      </w:pPr>
      <w:r w:rsidRPr="00346AB7">
        <w:rPr>
          <w:rFonts w:ascii="Times New Roman" w:hAnsi="Times New Roman" w:cs="Times New Roman"/>
        </w:rPr>
        <w:t>Get the covariance matrix of all yields data</w:t>
      </w:r>
      <w:r>
        <w:rPr>
          <w:rFonts w:ascii="Times New Roman" w:hAnsi="Times New Roman" w:cs="Times New Roman"/>
        </w:rPr>
        <w:t xml:space="preserve"> </w:t>
      </w:r>
      <m:oMath>
        <m:r>
          <w:rPr>
            <w:rFonts w:ascii="Cambria Math" w:hAnsi="Cambria Math" w:cs="Times New Roman" w:hint="eastAsia"/>
          </w:rPr>
          <m:t>C</m:t>
        </m:r>
      </m:oMath>
      <w:r>
        <w:rPr>
          <w:rFonts w:ascii="Times New Roman" w:hAnsi="Times New Roman" w:cs="Times New Roman"/>
        </w:rPr>
        <w:t>.</w:t>
      </w:r>
    </w:p>
    <w:p w14:paraId="5724F3B2" w14:textId="1148339C" w:rsidR="00346AB7" w:rsidRPr="00346AB7" w:rsidRDefault="00346AB7" w:rsidP="00346AB7">
      <w:pPr>
        <w:pStyle w:val="ListParagraph"/>
        <w:numPr>
          <w:ilvl w:val="0"/>
          <w:numId w:val="10"/>
        </w:numPr>
        <w:rPr>
          <w:rFonts w:ascii="Times New Roman" w:hAnsi="Times New Roman" w:cs="Times New Roman"/>
        </w:rPr>
      </w:pPr>
      <w:r w:rsidRPr="00346AB7">
        <w:rPr>
          <w:rFonts w:ascii="Times New Roman" w:hAnsi="Times New Roman" w:cs="Times New Roman"/>
        </w:rPr>
        <w:t>Calculate the eigenvalues and eigenvectors</w:t>
      </w:r>
      <w:r>
        <w:rPr>
          <w:rFonts w:ascii="Times New Roman" w:hAnsi="Times New Roman" w:cs="Times New Roman"/>
        </w:rPr>
        <w:t xml:space="preserve"> of </w:t>
      </w:r>
      <m:oMath>
        <m:r>
          <w:rPr>
            <w:rFonts w:ascii="Cambria Math" w:hAnsi="Cambria Math" w:cs="Times New Roman" w:hint="eastAsia"/>
          </w:rPr>
          <m:t>C</m:t>
        </m:r>
      </m:oMath>
      <w:r>
        <w:rPr>
          <w:rFonts w:ascii="Times New Roman" w:hAnsi="Times New Roman" w:cs="Times New Roman"/>
        </w:rPr>
        <w:t xml:space="preserve">. </w:t>
      </w:r>
    </w:p>
    <w:p w14:paraId="40AF8533" w14:textId="3DE47955" w:rsidR="00346AB7" w:rsidRDefault="0074110E" w:rsidP="0074110E">
      <w:pPr>
        <w:pStyle w:val="ListParagraph"/>
        <w:numPr>
          <w:ilvl w:val="0"/>
          <w:numId w:val="10"/>
        </w:numPr>
        <w:rPr>
          <w:rFonts w:ascii="Times New Roman" w:hAnsi="Times New Roman" w:cs="Times New Roman"/>
        </w:rPr>
      </w:pPr>
      <w:r w:rsidRPr="0074110E">
        <w:rPr>
          <w:rFonts w:ascii="Times New Roman" w:hAnsi="Times New Roman" w:cs="Times New Roman"/>
        </w:rPr>
        <w:t>Select some best eigenvalues, and project the original data to the corresponding eigenvectors.</w:t>
      </w:r>
      <w:r w:rsidR="006D392B" w:rsidRPr="006D392B">
        <w:rPr>
          <w:rFonts w:ascii="Times New Roman" w:hAnsi="Times New Roman" w:cs="Times New Roman"/>
        </w:rPr>
        <w:t xml:space="preserve"> </w:t>
      </w:r>
      <w:r w:rsidR="006D392B">
        <w:rPr>
          <w:rFonts w:ascii="Times New Roman" w:hAnsi="Times New Roman" w:cs="Times New Roman"/>
        </w:rPr>
        <w:t>The eigenvectors represent the new dimensions that the original features are projected to, which are called the principal components. And the eigenvalues are the mode of the new projected vectors on the principal components.</w:t>
      </w:r>
    </w:p>
    <w:p w14:paraId="07832B82" w14:textId="0876E045" w:rsidR="002B3664" w:rsidRDefault="00076F7B" w:rsidP="00076F7B">
      <w:pPr>
        <w:rPr>
          <w:rFonts w:ascii="Times New Roman" w:hAnsi="Times New Roman" w:cs="Times New Roman"/>
        </w:rPr>
      </w:pPr>
      <w:r>
        <w:rPr>
          <w:rFonts w:ascii="Times New Roman" w:hAnsi="Times New Roman" w:cs="Times New Roman"/>
        </w:rPr>
        <w:t>From these three steps, we can obtain the 3 components on a daily basis, and they can also be combined to rebuild the yield curve.</w:t>
      </w:r>
      <w:r w:rsidR="00AF3C4C">
        <w:rPr>
          <w:rFonts w:ascii="Times New Roman" w:hAnsi="Times New Roman" w:cs="Times New Roman"/>
        </w:rPr>
        <w:t xml:space="preserve"> </w:t>
      </w:r>
      <w:r w:rsidR="00BA7B30">
        <w:rPr>
          <w:rFonts w:ascii="Times New Roman" w:hAnsi="Times New Roman" w:cs="Times New Roman"/>
        </w:rPr>
        <w:t>An</w:t>
      </w:r>
      <w:r w:rsidR="00AF3C4C">
        <w:rPr>
          <w:rFonts w:ascii="Times New Roman" w:hAnsi="Times New Roman" w:cs="Times New Roman"/>
        </w:rPr>
        <w:t xml:space="preserve"> example of </w:t>
      </w:r>
      <w:r w:rsidR="00BA7B30">
        <w:rPr>
          <w:rFonts w:ascii="Times New Roman" w:hAnsi="Times New Roman" w:cs="Times New Roman"/>
        </w:rPr>
        <w:t>the PCA</w:t>
      </w:r>
      <w:r w:rsidR="00AF3C4C">
        <w:rPr>
          <w:rFonts w:ascii="Times New Roman" w:hAnsi="Times New Roman" w:cs="Times New Roman"/>
        </w:rPr>
        <w:t xml:space="preserve"> method utilized for 1991 Q1 is shown in Fig. </w:t>
      </w:r>
      <w:r w:rsidR="004E12EA">
        <w:rPr>
          <w:rFonts w:ascii="Times New Roman" w:hAnsi="Times New Roman" w:cs="Times New Roman"/>
        </w:rPr>
        <w:t>7</w:t>
      </w:r>
      <w:r w:rsidR="00AF3C4C">
        <w:rPr>
          <w:rFonts w:ascii="Times New Roman" w:hAnsi="Times New Roman" w:cs="Times New Roman"/>
        </w:rPr>
        <w:t xml:space="preserve">. </w:t>
      </w:r>
      <w:r w:rsidR="00A91FFB">
        <w:rPr>
          <w:rFonts w:ascii="Times New Roman" w:hAnsi="Times New Roman" w:cs="Times New Roman"/>
        </w:rPr>
        <w:t>The</w:t>
      </w:r>
      <w:r w:rsidR="00BA7B30">
        <w:rPr>
          <w:rFonts w:ascii="Times New Roman" w:hAnsi="Times New Roman" w:cs="Times New Roman"/>
        </w:rPr>
        <w:t xml:space="preserve"> left diagram shows the cases of Level, Slope, and Curvature, which can be easily understood. </w:t>
      </w:r>
      <w:r w:rsidR="00A91FFB">
        <w:rPr>
          <w:rFonts w:ascii="Times New Roman" w:hAnsi="Times New Roman" w:cs="Times New Roman"/>
        </w:rPr>
        <w:t xml:space="preserve">The </w:t>
      </w:r>
      <w:r w:rsidR="00541DFF">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Default="00CC1DFB" w:rsidP="00076F7B">
      <w:pPr>
        <w:rPr>
          <w:rFonts w:ascii="Times New Roman" w:hAnsi="Times New Roman" w:cs="Times New Roman"/>
        </w:rPr>
      </w:pPr>
    </w:p>
    <w:p w14:paraId="46F18E31" w14:textId="439D3345" w:rsidR="00247016" w:rsidRDefault="00CC1DFB" w:rsidP="00CC1DFB">
      <w:pPr>
        <w:keepNext/>
        <w:rPr>
          <w:rFonts w:ascii="Times New Roman" w:hAnsi="Times New Roman" w:cs="Times New Roman"/>
        </w:rPr>
      </w:pPr>
      <w:r w:rsidRPr="00CC1DFB">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CC1DFB">
        <w:rPr>
          <w:noProof/>
        </w:rPr>
        <w:t xml:space="preserve"> </w:t>
      </w:r>
      <w:r w:rsidRPr="00CC1DFB">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CC1DFB">
        <w:rPr>
          <w:noProof/>
        </w:rPr>
        <w:t xml:space="preserve"> </w:t>
      </w:r>
      <w:r w:rsidRPr="00CC1DFB">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0E592D77" w:rsidR="00247016" w:rsidRPr="00076F7B" w:rsidRDefault="00CC1DFB" w:rsidP="00FE1E33">
      <w:pPr>
        <w:pStyle w:val="Caption"/>
        <w:ind w:left="360"/>
        <w:jc w:val="center"/>
        <w:rPr>
          <w:rFonts w:ascii="Times New Roman" w:hAnsi="Times New Roman" w:cs="Times New Roman"/>
        </w:rPr>
      </w:pPr>
      <w:r w:rsidRPr="00CC1DFB">
        <w:rPr>
          <w:rFonts w:ascii="Times New Roman" w:hAnsi="Times New Roman" w:cs="Times New Roman"/>
        </w:rPr>
        <w:t xml:space="preserve">Figure </w:t>
      </w:r>
      <w:r w:rsidRPr="00CC1DFB">
        <w:rPr>
          <w:rFonts w:ascii="Times New Roman" w:hAnsi="Times New Roman" w:cs="Times New Roman"/>
        </w:rPr>
        <w:fldChar w:fldCharType="begin"/>
      </w:r>
      <w:r w:rsidRPr="00CC1DFB">
        <w:rPr>
          <w:rFonts w:ascii="Times New Roman" w:hAnsi="Times New Roman" w:cs="Times New Roman"/>
        </w:rPr>
        <w:instrText xml:space="preserve"> SEQ Figure \* ARABIC </w:instrText>
      </w:r>
      <w:r w:rsidRPr="00CC1DFB">
        <w:rPr>
          <w:rFonts w:ascii="Times New Roman" w:hAnsi="Times New Roman" w:cs="Times New Roman"/>
        </w:rPr>
        <w:fldChar w:fldCharType="separate"/>
      </w:r>
      <w:r w:rsidR="00272320">
        <w:rPr>
          <w:rFonts w:ascii="Times New Roman" w:hAnsi="Times New Roman" w:cs="Times New Roman"/>
          <w:noProof/>
        </w:rPr>
        <w:t>7</w:t>
      </w:r>
      <w:r w:rsidRPr="00CC1DFB">
        <w:rPr>
          <w:rFonts w:ascii="Times New Roman" w:hAnsi="Times New Roman" w:cs="Times New Roman"/>
        </w:rPr>
        <w:fldChar w:fldCharType="end"/>
      </w:r>
      <w:r>
        <w:rPr>
          <w:rFonts w:ascii="Times New Roman" w:hAnsi="Times New Roman" w:cs="Times New Roman"/>
        </w:rPr>
        <w:t>. The values that the original 6 yield curves projected on the principal components (Left); The daily Level, Slope, and Curvature values provided by PCA during 1991 Q1</w:t>
      </w:r>
      <w:r w:rsidR="00330205">
        <w:rPr>
          <w:rFonts w:ascii="Times New Roman" w:hAnsi="Times New Roman" w:cs="Times New Roman"/>
        </w:rPr>
        <w:t xml:space="preserve"> (Middle); </w:t>
      </w:r>
      <w:r w:rsidR="006632F6">
        <w:rPr>
          <w:rFonts w:ascii="Times New Roman" w:hAnsi="Times New Roman" w:cs="Times New Roman"/>
        </w:rPr>
        <w:t>Rebuilt Yield Values compared to Original Yield Values</w:t>
      </w:r>
      <w:r w:rsidR="00D93AA1">
        <w:rPr>
          <w:rFonts w:ascii="Times New Roman" w:hAnsi="Times New Roman" w:cs="Times New Roman"/>
        </w:rPr>
        <w:t xml:space="preserve"> </w:t>
      </w:r>
      <w:r w:rsidR="00561451">
        <w:rPr>
          <w:rFonts w:ascii="Times New Roman" w:hAnsi="Times New Roman" w:cs="Times New Roman"/>
        </w:rPr>
        <w:t xml:space="preserve">of USGG6M </w:t>
      </w:r>
      <w:r w:rsidR="00D93AA1">
        <w:rPr>
          <w:rFonts w:ascii="Times New Roman" w:hAnsi="Times New Roman" w:cs="Times New Roman"/>
        </w:rPr>
        <w:t>(Right)</w:t>
      </w:r>
    </w:p>
    <w:p w14:paraId="388AECD6" w14:textId="77777777" w:rsidR="006707FE" w:rsidRPr="006707FE" w:rsidRDefault="006707FE" w:rsidP="006707FE">
      <w:pPr>
        <w:rPr>
          <w:rFonts w:ascii="Times New Roman" w:hAnsi="Times New Roman" w:cs="Times New Roman"/>
        </w:rPr>
      </w:pPr>
    </w:p>
    <w:p w14:paraId="01B63362" w14:textId="77777777" w:rsidR="00860ABC" w:rsidRPr="00A7515D" w:rsidRDefault="00860ABC" w:rsidP="00860ABC">
      <w:pPr>
        <w:pStyle w:val="ListParagraph"/>
        <w:numPr>
          <w:ilvl w:val="0"/>
          <w:numId w:val="6"/>
        </w:numPr>
        <w:rPr>
          <w:rFonts w:ascii="Times New Roman" w:hAnsi="Times New Roman" w:cs="Times New Roman"/>
        </w:rPr>
      </w:pPr>
      <w:r>
        <w:rPr>
          <w:rFonts w:ascii="Times New Roman" w:hAnsi="Times New Roman" w:cs="Times New Roman"/>
        </w:rPr>
        <w:t>Hidden Markov Model with Gaussian Mixture Models (GMM-HMM)</w:t>
      </w:r>
    </w:p>
    <w:p w14:paraId="45DDDA7E" w14:textId="77777777" w:rsidR="00860ABC" w:rsidRDefault="00860ABC" w:rsidP="00860ABC">
      <w:pPr>
        <w:rPr>
          <w:rFonts w:ascii="Times New Roman" w:hAnsi="Times New Roman" w:cs="Times New Roman"/>
        </w:rPr>
      </w:pPr>
      <w:r w:rsidRPr="004D3DB6">
        <w:rPr>
          <w:rFonts w:ascii="Times New Roman" w:hAnsi="Times New Roman" w:cs="Times New Roman"/>
        </w:rPr>
        <w:t>Under th</w:t>
      </w:r>
      <w:r>
        <w:rPr>
          <w:rFonts w:ascii="Times New Roman" w:hAnsi="Times New Roman" w:cs="Times New Roman"/>
        </w:rPr>
        <w:t>e</w:t>
      </w:r>
      <w:r w:rsidRPr="004D3DB6">
        <w:rPr>
          <w:rFonts w:ascii="Times New Roman" w:hAnsi="Times New Roman" w:cs="Times New Roman"/>
        </w:rPr>
        <w:t xml:space="preserve"> assumption, macroeconomic conditions are affected by the newly released FFR, after which it continues to operate on its own. The </w:t>
      </w:r>
      <w:r>
        <w:rPr>
          <w:rFonts w:ascii="Times New Roman" w:hAnsi="Times New Roman" w:cs="Times New Roman"/>
        </w:rPr>
        <w:t>yield</w:t>
      </w:r>
      <w:r w:rsidRPr="004D3DB6">
        <w:rPr>
          <w:rFonts w:ascii="Times New Roman" w:hAnsi="Times New Roman" w:cs="Times New Roman"/>
        </w:rPr>
        <w:t xml:space="preserve"> curve is to some extent a reaction to the macro data, and when there are optimistic expectations about the economic trend, the </w:t>
      </w:r>
      <w:r>
        <w:rPr>
          <w:rFonts w:ascii="Times New Roman" w:hAnsi="Times New Roman" w:cs="Times New Roman"/>
        </w:rPr>
        <w:t xml:space="preserve">yield </w:t>
      </w:r>
      <w:r w:rsidRPr="004D3DB6">
        <w:rPr>
          <w:rFonts w:ascii="Times New Roman" w:hAnsi="Times New Roman" w:cs="Times New Roman"/>
        </w:rPr>
        <w:t xml:space="preserve">curve will go down. The state of the macroeconomic situation is positional during this period of time, but we can observe changes in the Treasury. And the change in Treasury </w:t>
      </w:r>
      <w:r>
        <w:rPr>
          <w:rFonts w:ascii="Times New Roman" w:hAnsi="Times New Roman" w:cs="Times New Roman"/>
        </w:rPr>
        <w:t xml:space="preserve">yield </w:t>
      </w:r>
      <w:r w:rsidRPr="004D3DB6">
        <w:rPr>
          <w:rFonts w:ascii="Times New Roman" w:hAnsi="Times New Roman" w:cs="Times New Roman"/>
        </w:rPr>
        <w:t>is not only affected by GDP and Inflation, but it may also be affected by other macro data releases (e.g., non-farm payroll), Fed speeches, changes in the political situation, and all of these are likewise outward forms of the macroeconomic situation.</w:t>
      </w:r>
      <w:r>
        <w:rPr>
          <w:rFonts w:ascii="Times New Roman" w:hAnsi="Times New Roman" w:cs="Times New Roman"/>
        </w:rPr>
        <w:t xml:space="preserve"> Therefore, this study aims to use the GMM-HMM to create new variables from the Treasury yield data that can describe the macroeconomic situation from another aspect.</w:t>
      </w:r>
    </w:p>
    <w:p w14:paraId="6B13EDD6" w14:textId="77777777" w:rsidR="00860ABC" w:rsidRDefault="00860ABC" w:rsidP="00860ABC">
      <w:pPr>
        <w:rPr>
          <w:rFonts w:ascii="Times New Roman" w:hAnsi="Times New Roman" w:cs="Times New Roman"/>
        </w:rPr>
      </w:pPr>
      <w:r>
        <w:rPr>
          <w:rFonts w:ascii="Times New Roman" w:hAnsi="Times New Roman" w:cs="Times New Roman"/>
        </w:rPr>
        <w:t xml:space="preserve">For the </w:t>
      </w:r>
      <w:r w:rsidRPr="00A63A95">
        <w:rPr>
          <w:rFonts w:ascii="Times New Roman" w:hAnsi="Times New Roman" w:cs="Times New Roman"/>
          <w:highlight w:val="yellow"/>
        </w:rPr>
        <w:t>HMM</w:t>
      </w:r>
      <w:r>
        <w:rPr>
          <w:rFonts w:ascii="Times New Roman" w:hAnsi="Times New Roman" w:cs="Times New Roman"/>
        </w:rPr>
        <w:t xml:space="preserve">, we had the notations: </w:t>
      </w:r>
    </w:p>
    <w:p w14:paraId="76982852" w14:textId="77777777" w:rsidR="00860ABC" w:rsidRPr="00707E70" w:rsidRDefault="00860ABC" w:rsidP="00860ABC">
      <w:pPr>
        <w:rPr>
          <w:rFonts w:ascii="Times New Roman" w:hAnsi="Times New Roman" w:cs="Times New Roman"/>
          <w:iCs/>
        </w:rPr>
      </w:pPr>
      <w:r>
        <w:rPr>
          <w:rFonts w:ascii="Times New Roman" w:hAnsi="Times New Roman" w:cs="Times New Roman"/>
          <w:iCs/>
        </w:rPr>
        <w:t>Set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707E70" w:rsidRDefault="00860ABC" w:rsidP="00860ABC">
      <w:r>
        <w:rPr>
          <w:rFonts w:ascii="Times New Roman" w:hAnsi="Times New Roman" w:cs="Times New Roman"/>
          <w:iCs/>
        </w:rPr>
        <w:t>Set of observable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The series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 xml:space="preserve">The series of </w:t>
      </w:r>
      <w:r>
        <w:rPr>
          <w:rFonts w:ascii="Times New Roman" w:hAnsi="Times New Roman" w:cs="Times New Roman"/>
          <w:iCs/>
        </w:rPr>
        <w:t>observable</w:t>
      </w:r>
      <w:r w:rsidRPr="00836830">
        <w:rPr>
          <w:rFonts w:ascii="Times New Roman" w:hAnsi="Times New Roman" w:cs="Times New Roman"/>
          <w:iCs/>
        </w:rPr>
        <w:t xml:space="preserve"> states:</w:t>
      </w:r>
      <w:r>
        <w:rPr>
          <w:rFonts w:ascii="Times New Roman" w:hAnsi="Times New Roman" w:cs="Times New Roman"/>
          <w:iCs/>
        </w:rPr>
        <w:tab/>
      </w:r>
      <w:r>
        <w:rPr>
          <w:rFonts w:ascii="Times New Roman" w:hAnsi="Times New Roman" w:cs="Times New Roman"/>
          <w:iCs/>
        </w:rPr>
        <w:tab/>
      </w:r>
      <w:r>
        <w:rPr>
          <w:iCs/>
        </w:rPr>
        <w:t xml:space="preserve"> </w:t>
      </w:r>
      <w:r>
        <w:rPr>
          <w:iCs/>
        </w:rPr>
        <w:tab/>
      </w:r>
      <w:r>
        <w:rPr>
          <w:iCs/>
        </w:rPr>
        <w:tab/>
      </w:r>
      <w:r>
        <w:rPr>
          <w:iCs/>
        </w:rPr>
        <w:tab/>
      </w:r>
      <w:r>
        <w:rPr>
          <w:iCs/>
        </w:rPr>
        <w:tab/>
      </w:r>
      <w:r>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Default="00860ABC" w:rsidP="00860ABC">
      <w:pPr>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Default="00860ABC" w:rsidP="00860ABC">
      <w:pPr>
        <w:rPr>
          <w:rFonts w:ascii="Times New Roman" w:hAnsi="Times New Roman" w:cs="Times New Roman"/>
        </w:rPr>
      </w:pPr>
      <w:r>
        <w:rPr>
          <w:rFonts w:ascii="Times New Roman" w:hAnsi="Times New Roman" w:cs="Times New Roman"/>
        </w:rPr>
        <w:t xml:space="preserve">Hidden States Transition Probability (how the hidden states from </w:t>
      </w:r>
      <m:oMath>
        <m:r>
          <w:rPr>
            <w:rFonts w:ascii="Cambria Math" w:hAnsi="Cambria Math" w:cs="Times New Roman"/>
          </w:rPr>
          <m:t>t-1</m:t>
        </m:r>
      </m:oMath>
      <w:r>
        <w:rPr>
          <w:rFonts w:ascii="Times New Roman" w:hAnsi="Times New Roman" w:cs="Times New Roman"/>
        </w:rPr>
        <w:t xml:space="preserve"> change to </w:t>
      </w:r>
      <m:oMath>
        <m:r>
          <w:rPr>
            <w:rFonts w:ascii="Cambria Math" w:hAnsi="Cambria Math" w:cs="Times New Roman"/>
          </w:rPr>
          <m:t>t</m:t>
        </m:r>
      </m:oMath>
      <w:r>
        <w:rPr>
          <w:rFonts w:ascii="Times New Roman" w:hAnsi="Times New Roman" w:cs="Times New Roman"/>
        </w:rPr>
        <w:t>):</w:t>
      </w:r>
    </w:p>
    <w:p w14:paraId="1AA53FA0" w14:textId="77777777" w:rsidR="00860ABC" w:rsidRPr="00F912CB"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Default="00860ABC" w:rsidP="00860ABC">
      <w:pPr>
        <w:rPr>
          <w:rFonts w:ascii="Times New Roman" w:hAnsi="Times New Roman" w:cs="Times New Roman"/>
        </w:rPr>
      </w:pPr>
      <w:r>
        <w:rPr>
          <w:rFonts w:ascii="Times New Roman" w:hAnsi="Times New Roman" w:cs="Times New Roman"/>
        </w:rPr>
        <w:t>How the hidden states can come up with the observable states:</w:t>
      </w:r>
    </w:p>
    <w:p w14:paraId="57BEFA96" w14:textId="77777777" w:rsidR="00860ABC" w:rsidRPr="00744E6F"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8432D3" w:rsidRDefault="00860ABC" w:rsidP="00860ABC">
      <w:pPr>
        <w:rPr>
          <w:rFonts w:ascii="Times New Roman" w:hAnsi="Times New Roman" w:cs="Times New Roman"/>
        </w:rPr>
      </w:pPr>
      <w:r>
        <w:rPr>
          <w:rFonts w:ascii="Times New Roman" w:hAnsi="Times New Roman" w:cs="Times New Roman"/>
        </w:rPr>
        <w:t xml:space="preserve">The initial states at </w:t>
      </w:r>
      <m:oMath>
        <m:r>
          <w:rPr>
            <w:rFonts w:ascii="Cambria Math" w:hAnsi="Cambria Math" w:cs="Times New Roman"/>
          </w:rPr>
          <m:t>t=0</m:t>
        </m:r>
      </m:oMath>
      <w:r>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2C51A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Default="00860ABC" w:rsidP="00860ABC">
      <w:pPr>
        <w:rPr>
          <w:rFonts w:ascii="Times New Roman" w:hAnsi="Times New Roman" w:cs="Times New Roman"/>
        </w:rPr>
      </w:pPr>
      <w:r>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Pr>
          <w:rFonts w:ascii="Times New Roman" w:hAnsi="Times New Roman" w:cs="Times New Roman"/>
        </w:rPr>
        <w:t xml:space="preserve"> is only dependent on the state at </w:t>
      </w:r>
      <m:oMath>
        <m:r>
          <w:rPr>
            <w:rFonts w:ascii="Cambria Math" w:hAnsi="Cambria Math" w:cs="Times New Roman"/>
          </w:rPr>
          <m:t>t-1</m:t>
        </m:r>
      </m:oMath>
      <w:r>
        <w:rPr>
          <w:rFonts w:ascii="Times New Roman" w:hAnsi="Times New Roman" w:cs="Times New Roman"/>
        </w:rPr>
        <w:t xml:space="preserve"> and the constant hidden states transition probability matrix </w:t>
      </w:r>
      <m:oMath>
        <m:r>
          <w:rPr>
            <w:rFonts w:ascii="Cambria Math" w:hAnsi="Cambria Math" w:cs="Times New Roman"/>
          </w:rPr>
          <m:t>A</m:t>
        </m:r>
      </m:oMath>
      <w:r>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Pr>
          <w:rFonts w:ascii="Times New Roman" w:hAnsi="Times New Roman" w:cs="Times New Roman"/>
        </w:rPr>
        <w:t xml:space="preserve"> is only determined by the hidden states at time </w:t>
      </w:r>
      <m:oMath>
        <m:r>
          <w:rPr>
            <w:rFonts w:ascii="Cambria Math" w:hAnsi="Cambria Math" w:cs="Times New Roman"/>
          </w:rPr>
          <m:t>t</m:t>
        </m:r>
      </m:oMath>
      <w:r>
        <w:rPr>
          <w:rFonts w:ascii="Times New Roman" w:hAnsi="Times New Roman" w:cs="Times New Roman"/>
        </w:rPr>
        <w:t xml:space="preserve"> and the matrix </w:t>
      </w:r>
      <m:oMath>
        <m:r>
          <w:rPr>
            <w:rFonts w:ascii="Cambria Math" w:hAnsi="Cambria Math" w:cs="Times New Roman"/>
          </w:rPr>
          <m:t>B</m:t>
        </m:r>
      </m:oMath>
      <w:r>
        <w:rPr>
          <w:rFonts w:ascii="Times New Roman" w:hAnsi="Times New Roman" w:cs="Times New Roman"/>
        </w:rPr>
        <w:t xml:space="preserve">. </w:t>
      </w:r>
    </w:p>
    <w:p w14:paraId="3A498B06" w14:textId="24C62CC4" w:rsidR="00860ABC" w:rsidRDefault="00860ABC" w:rsidP="00860ABC">
      <w:pPr>
        <w:rPr>
          <w:rFonts w:ascii="Times New Roman" w:hAnsi="Times New Roman" w:cs="Times New Roman"/>
          <w:iCs/>
        </w:rPr>
      </w:pPr>
      <w:r>
        <w:rPr>
          <w:rFonts w:ascii="Times New Roman" w:hAnsi="Times New Roman" w:cs="Times New Roman"/>
        </w:rPr>
        <w:t xml:space="preserve">The above statements are for the </w:t>
      </w:r>
      <w:r w:rsidRPr="001B6523">
        <w:rPr>
          <w:rFonts w:ascii="Times New Roman" w:hAnsi="Times New Roman" w:cs="Times New Roman"/>
          <w:iCs/>
        </w:rPr>
        <w:t>general discrete HMM model, but in this study, the states are not discrete, but instead continuous. Hence, the discrete probability measurement</w:t>
      </w:r>
      <w:r>
        <w:rPr>
          <w:rFonts w:ascii="Times New Roman" w:hAnsi="Times New Roman" w:cs="Times New Roman"/>
          <w:iCs/>
        </w:rPr>
        <w:t xml:space="preserve"> cannot be directly used in this situation</w:t>
      </w:r>
      <w:r w:rsidRPr="001B6523">
        <w:rPr>
          <w:rFonts w:ascii="Times New Roman" w:hAnsi="Times New Roman" w:cs="Times New Roman"/>
          <w:iCs/>
        </w:rPr>
        <w:t xml:space="preserve">, and Gaussian Mixture </w:t>
      </w:r>
      <w:r>
        <w:rPr>
          <w:rFonts w:ascii="Times New Roman" w:hAnsi="Times New Roman" w:cs="Times New Roman"/>
          <w:iCs/>
        </w:rPr>
        <w:t>Model can be applied instead</w:t>
      </w:r>
      <w:r w:rsidRPr="001B6523">
        <w:rPr>
          <w:rFonts w:ascii="Times New Roman" w:hAnsi="Times New Roman" w:cs="Times New Roman"/>
          <w:iCs/>
        </w:rPr>
        <w:t>.</w:t>
      </w:r>
      <w:r>
        <w:rPr>
          <w:rFonts w:ascii="Times New Roman" w:hAnsi="Times New Roman" w:cs="Times New Roman"/>
          <w:iCs/>
        </w:rPr>
        <w:t xml:space="preserve"> </w:t>
      </w:r>
      <w:r w:rsidRPr="009B164C">
        <w:rPr>
          <w:rFonts w:ascii="Times New Roman" w:hAnsi="Times New Roman" w:cs="Times New Roman"/>
          <w:iCs/>
          <w:highlight w:val="yellow"/>
        </w:rPr>
        <w:t>Gaussian Mixture Model</w:t>
      </w:r>
      <w:r w:rsidRPr="005E7904">
        <w:rPr>
          <w:rFonts w:ascii="Times New Roman" w:hAnsi="Times New Roman" w:cs="Times New Roman"/>
          <w:iCs/>
        </w:rPr>
        <w:t xml:space="preserve"> </w:t>
      </w:r>
      <w:r>
        <w:rPr>
          <w:rFonts w:ascii="Times New Roman" w:hAnsi="Times New Roman" w:cs="Times New Roman"/>
          <w:iCs/>
        </w:rPr>
        <w:lastRenderedPageBreak/>
        <w:t>is</w:t>
      </w:r>
      <w:r w:rsidRPr="005E7904">
        <w:rPr>
          <w:rFonts w:ascii="Times New Roman" w:hAnsi="Times New Roman" w:cs="Times New Roman"/>
          <w:iCs/>
        </w:rPr>
        <w:t xml:space="preserve"> a probabilistic model used for representing a mixture of multiple Gaussian distributions</w:t>
      </w:r>
      <w:r>
        <w:rPr>
          <w:rFonts w:ascii="Times New Roman" w:hAnsi="Times New Roman" w:cs="Times New Roman"/>
          <w:iCs/>
        </w:rPr>
        <w:t>, which is an extension of the traditional Gaussian Model</w:t>
      </w:r>
      <w:r w:rsidRPr="005E7904">
        <w:rPr>
          <w:rFonts w:ascii="Times New Roman" w:hAnsi="Times New Roman" w:cs="Times New Roman"/>
          <w:iCs/>
        </w:rPr>
        <w:t xml:space="preserve">. It is a generative model that assumes all the data points </w:t>
      </w:r>
      <w:r w:rsidR="00040480">
        <w:rPr>
          <w:rFonts w:ascii="Times New Roman" w:hAnsi="Times New Roman" w:cs="Times New Roman"/>
          <w:iCs/>
        </w:rPr>
        <w:t>follow</w:t>
      </w:r>
      <w:r w:rsidRPr="005E7904">
        <w:rPr>
          <w:rFonts w:ascii="Times New Roman" w:hAnsi="Times New Roman" w:cs="Times New Roman"/>
          <w:iCs/>
        </w:rPr>
        <w:t xml:space="preserve"> a mixture of several Gaussian distributions with unknown parameters</w:t>
      </w:r>
      <w:r>
        <w:rPr>
          <w:rFonts w:ascii="Times New Roman" w:hAnsi="Times New Roman" w:cs="Times New Roman"/>
          <w:iCs/>
        </w:rPr>
        <w:t xml:space="preserve">. It can be formulated step-by-step, and the final </w:t>
      </w:r>
      <w:r w:rsidRPr="005E7904">
        <w:rPr>
          <w:rFonts w:ascii="Times New Roman" w:hAnsi="Times New Roman" w:cs="Times New Roman"/>
          <w:iCs/>
        </w:rPr>
        <w:t>Gaussian Mixture Model</w:t>
      </w:r>
      <w:r>
        <w:rPr>
          <w:rFonts w:ascii="Times New Roman" w:hAnsi="Times New Roman" w:cs="Times New Roman"/>
          <w:iCs/>
        </w:rPr>
        <w:t xml:space="preserve"> is applied to substitute the probabilities in the discrete HMM model:</w:t>
      </w:r>
    </w:p>
    <w:p w14:paraId="32672791" w14:textId="77777777" w:rsidR="00860ABC" w:rsidRDefault="00860ABC" w:rsidP="00860ABC">
      <w:pPr>
        <w:rPr>
          <w:rFonts w:ascii="Times New Roman" w:hAnsi="Times New Roman" w:cs="Times New Roman"/>
          <w:iCs/>
        </w:rPr>
      </w:pPr>
      <w:r>
        <w:rPr>
          <w:rFonts w:ascii="Times New Roman" w:hAnsi="Times New Roman" w:cs="Times New Roman"/>
          <w:iCs/>
        </w:rPr>
        <w:t xml:space="preserve">P.D.F. of Univariate Gaussian Model: </w:t>
      </w:r>
    </w:p>
    <w:p w14:paraId="3A65BCF8"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Multivariate Gaussian Distribution: </w:t>
      </w:r>
    </w:p>
    <w:p w14:paraId="203E4F3C"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Gaussian Mixture Model: </w:t>
      </w:r>
    </w:p>
    <w:p w14:paraId="6E9A0AC9" w14:textId="77777777" w:rsidR="00860ABC"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Default="00860ABC" w:rsidP="00860ABC">
      <w:pPr>
        <w:ind w:firstLine="360"/>
        <w:rPr>
          <w:rFonts w:ascii="Times New Roman" w:hAnsi="Times New Roman" w:cs="Times New Roman"/>
          <w:iCs/>
        </w:rPr>
      </w:pPr>
      <w:r>
        <w:rPr>
          <w:rFonts w:ascii="Times New Roman" w:hAnsi="Times New Roman" w:cs="Times New Roman"/>
          <w:iCs/>
        </w:rPr>
        <w:t>where:</w:t>
      </w:r>
    </w:p>
    <w:p w14:paraId="657CC729" w14:textId="77777777" w:rsidR="00860ABC"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Pr>
          <w:rFonts w:ascii="Times New Roman" w:hAnsi="Times New Roman" w:cs="Times New Roman"/>
          <w:iCs/>
        </w:rPr>
        <w:t xml:space="preserve"> is the </w:t>
      </w:r>
      <w:r w:rsidR="00860ABC" w:rsidRPr="007E7D0C">
        <w:rPr>
          <w:rFonts w:ascii="Times New Roman" w:hAnsi="Times New Roman" w:cs="Times New Roman"/>
          <w:iCs/>
        </w:rPr>
        <w:t>weight of the k-</w:t>
      </w:r>
      <w:proofErr w:type="spellStart"/>
      <w:r w:rsidR="00860ABC" w:rsidRPr="007E7D0C">
        <w:rPr>
          <w:rFonts w:ascii="Times New Roman" w:hAnsi="Times New Roman" w:cs="Times New Roman"/>
          <w:iCs/>
        </w:rPr>
        <w:t>th</w:t>
      </w:r>
      <w:proofErr w:type="spellEnd"/>
      <w:r w:rsidR="00860ABC" w:rsidRPr="007E7D0C">
        <w:rPr>
          <w:rFonts w:ascii="Times New Roman" w:hAnsi="Times New Roman" w:cs="Times New Roman"/>
          <w:iCs/>
        </w:rPr>
        <w:t xml:space="preserve"> component</w:t>
      </w:r>
      <w:r w:rsidR="00860ABC">
        <w:rPr>
          <w:rFonts w:ascii="Times New Roman" w:hAnsi="Times New Roman" w:cs="Times New Roman"/>
          <w:iCs/>
        </w:rPr>
        <w:t xml:space="preserve">,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1B6523"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Pr>
          <w:rFonts w:ascii="Times New Roman" w:hAnsi="Times New Roman" w:cs="Times New Roman"/>
          <w:iCs/>
        </w:rPr>
        <w:t xml:space="preserve"> is the P.D.F. of the k-th Multivariate Gaussian Distribution</w:t>
      </w:r>
    </w:p>
    <w:p w14:paraId="0CD9BE1D" w14:textId="77777777" w:rsidR="00860ABC" w:rsidRDefault="00860ABC" w:rsidP="00860ABC">
      <w:pPr>
        <w:rPr>
          <w:rFonts w:ascii="Times New Roman" w:hAnsi="Times New Roman" w:cs="Times New Roman"/>
        </w:rPr>
      </w:pPr>
    </w:p>
    <w:p w14:paraId="5699A6EF" w14:textId="2B61FD25" w:rsidR="00CE3B82" w:rsidRDefault="00860ABC" w:rsidP="004B5FF2">
      <w:pPr>
        <w:rPr>
          <w:rFonts w:ascii="Times New Roman" w:hAnsi="Times New Roman" w:cs="Times New Roman"/>
        </w:rPr>
      </w:pPr>
      <w:r>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Pr>
          <w:rFonts w:ascii="Times New Roman" w:hAnsi="Times New Roman" w:cs="Times New Roman"/>
        </w:rPr>
        <w:t xml:space="preserve">, and then utilized as the </w:t>
      </w:r>
      <w:r w:rsidR="00B31F51">
        <w:rPr>
          <w:rFonts w:ascii="Times New Roman" w:hAnsi="Times New Roman" w:cs="Times New Roman"/>
        </w:rPr>
        <w:t>variable for rolling regression</w:t>
      </w:r>
      <w:r w:rsidR="00587B86">
        <w:rPr>
          <w:rFonts w:ascii="Times New Roman" w:hAnsi="Times New Roman" w:cs="Times New Roman"/>
        </w:rPr>
        <w:t xml:space="preserve"> </w:t>
      </w:r>
      <w:r w:rsidR="00B31F51">
        <w:rPr>
          <w:rFonts w:ascii="Times New Roman" w:hAnsi="Times New Roman" w:cs="Times New Roman"/>
        </w:rPr>
        <w:t>fitting</w:t>
      </w:r>
      <w:r w:rsidR="00587B86">
        <w:rPr>
          <w:rFonts w:ascii="Times New Roman" w:hAnsi="Times New Roman" w:cs="Times New Roman"/>
        </w:rPr>
        <w:t>.</w:t>
      </w:r>
      <w:r>
        <w:rPr>
          <w:rFonts w:ascii="Times New Roman" w:hAnsi="Times New Roman" w:cs="Times New Roman"/>
        </w:rPr>
        <w:t xml:space="preserve"> To obtain the estimation of this value, the </w:t>
      </w:r>
      <w:r w:rsidRPr="009B164C">
        <w:rPr>
          <w:rFonts w:ascii="Times New Roman" w:hAnsi="Times New Roman" w:cs="Times New Roman"/>
          <w:highlight w:val="yellow"/>
        </w:rPr>
        <w:t>Viterbi</w:t>
      </w:r>
      <w:r>
        <w:rPr>
          <w:rFonts w:ascii="Times New Roman" w:hAnsi="Times New Roman" w:cs="Times New Roman"/>
        </w:rPr>
        <w:t xml:space="preserve"> Algorithm is utilized, which is detailed in </w:t>
      </w:r>
      <w:r w:rsidR="00097753">
        <w:rPr>
          <w:rFonts w:ascii="Times New Roman" w:hAnsi="Times New Roman" w:cs="Times New Roman"/>
        </w:rPr>
        <w:t>Appendix 3</w:t>
      </w:r>
      <w:r>
        <w:rPr>
          <w:rFonts w:ascii="Times New Roman" w:hAnsi="Times New Roman" w:cs="Times New Roman"/>
        </w:rPr>
        <w:t xml:space="preserve">. </w:t>
      </w:r>
    </w:p>
    <w:p w14:paraId="7EA013A6" w14:textId="77777777" w:rsidR="00CE3B82" w:rsidRDefault="00CE3B82" w:rsidP="004B5FF2">
      <w:pPr>
        <w:rPr>
          <w:rFonts w:ascii="Times New Roman" w:hAnsi="Times New Roman" w:cs="Times New Roman"/>
        </w:rPr>
      </w:pPr>
    </w:p>
    <w:p w14:paraId="1CBAC33A" w14:textId="28E731C8" w:rsidR="00961EEC" w:rsidRPr="009B164C" w:rsidRDefault="00226A98" w:rsidP="004B5FF2">
      <w:pPr>
        <w:pStyle w:val="ListParagraph"/>
        <w:numPr>
          <w:ilvl w:val="0"/>
          <w:numId w:val="6"/>
        </w:numPr>
        <w:rPr>
          <w:rFonts w:ascii="Times New Roman" w:hAnsi="Times New Roman" w:cs="Times New Roman"/>
          <w:highlight w:val="yellow"/>
        </w:rPr>
      </w:pPr>
      <w:r w:rsidRPr="009B164C">
        <w:rPr>
          <w:rFonts w:ascii="Times New Roman" w:hAnsi="Times New Roman" w:cs="Times New Roman"/>
          <w:highlight w:val="yellow"/>
        </w:rPr>
        <w:t>Rolling Regression</w:t>
      </w:r>
    </w:p>
    <w:p w14:paraId="2F226D1B" w14:textId="740AEB30"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23"/>
                    <a:stretch>
                      <a:fillRect/>
                    </a:stretch>
                  </pic:blipFill>
                  <pic:spPr>
                    <a:xfrm>
                      <a:off x="0" y="0"/>
                      <a:ext cx="5033938" cy="2357575"/>
                    </a:xfrm>
                    <a:prstGeom prst="rect">
                      <a:avLst/>
                    </a:prstGeom>
                  </pic:spPr>
                </pic:pic>
              </a:graphicData>
            </a:graphic>
          </wp:inline>
        </w:drawing>
      </w:r>
    </w:p>
    <w:p w14:paraId="44412881" w14:textId="3E677D9C"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00272320">
        <w:rPr>
          <w:rFonts w:ascii="Times New Roman" w:hAnsi="Times New Roman" w:cs="Times New Roman"/>
          <w:noProof/>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4C525480" w14:textId="4B7EAA44" w:rsidR="00B7118A" w:rsidRDefault="00976FE3" w:rsidP="00306FCF">
      <w:pPr>
        <w:ind w:left="360"/>
        <w:rPr>
          <w:rFonts w:ascii="Times New Roman" w:hAnsi="Times New Roman" w:cs="Times New Roman"/>
        </w:rPr>
      </w:pPr>
      <w:r>
        <w:rPr>
          <w:rFonts w:ascii="Times New Roman" w:hAnsi="Times New Roman" w:cs="Times New Roman"/>
        </w:rPr>
        <w:t>Here the rolling regression model with the two variables, Resource Gap and PCE, is fitted to predict the Federal Funds rate</w:t>
      </w:r>
      <w:r w:rsidR="00747C29">
        <w:rPr>
          <w:rFonts w:ascii="Times New Roman" w:hAnsi="Times New Roman" w:cs="Times New Roman"/>
        </w:rPr>
        <w:t xml:space="preserve"> sequentially</w:t>
      </w:r>
      <w:r w:rsidR="005D6CBA">
        <w:rPr>
          <w:rFonts w:ascii="Times New Roman" w:hAnsi="Times New Roman" w:cs="Times New Roman"/>
        </w:rPr>
        <w:t>, which is shown in Fig. 9</w:t>
      </w:r>
      <w:r w:rsidR="00DF19AE">
        <w:rPr>
          <w:rFonts w:ascii="Times New Roman" w:hAnsi="Times New Roman" w:cs="Times New Roman"/>
        </w:rPr>
        <w:t xml:space="preserve">. </w:t>
      </w:r>
      <w:r w:rsidR="006C4909">
        <w:rPr>
          <w:rFonts w:ascii="Times New Roman" w:hAnsi="Times New Roman" w:cs="Times New Roman"/>
        </w:rPr>
        <w:t xml:space="preserve">It can be seen that the prediction is much closer to the real FFR than Traditional Taylor Rule, as the model is fitted in a rolling basis that considers all the information prior to the </w:t>
      </w:r>
      <w:r w:rsidR="00265D6E">
        <w:rPr>
          <w:rFonts w:ascii="Times New Roman" w:hAnsi="Times New Roman" w:cs="Times New Roman"/>
        </w:rPr>
        <w:t xml:space="preserve">prediction. </w:t>
      </w:r>
      <w:r w:rsidR="009621DB">
        <w:rPr>
          <w:rFonts w:ascii="Times New Roman" w:hAnsi="Times New Roman" w:cs="Times New Roman"/>
        </w:rPr>
        <w:t xml:space="preserve">The MSE is </w:t>
      </w:r>
      <w:r w:rsidR="009621DB" w:rsidRPr="009621DB">
        <w:rPr>
          <w:rFonts w:ascii="Times New Roman" w:hAnsi="Times New Roman" w:cs="Times New Roman"/>
        </w:rPr>
        <w:t>1.0258</w:t>
      </w:r>
      <w:r w:rsidR="00427BAF">
        <w:rPr>
          <w:rFonts w:ascii="Times New Roman" w:hAnsi="Times New Roman" w:cs="Times New Roman"/>
        </w:rPr>
        <w:t xml:space="preserve">, which is much lower </w:t>
      </w:r>
      <w:r w:rsidR="007A2C5C">
        <w:rPr>
          <w:rFonts w:ascii="Times New Roman" w:hAnsi="Times New Roman" w:cs="Times New Roman"/>
        </w:rPr>
        <w:t>than</w:t>
      </w:r>
      <w:r w:rsidR="00427BAF">
        <w:rPr>
          <w:rFonts w:ascii="Times New Roman" w:hAnsi="Times New Roman" w:cs="Times New Roman"/>
        </w:rPr>
        <w:t xml:space="preserve"> the Traditional Taylor Rule prediction.</w:t>
      </w:r>
      <w:r w:rsidR="009621DB">
        <w:rPr>
          <w:rFonts w:ascii="Times New Roman" w:hAnsi="Times New Roman" w:cs="Times New Roman"/>
        </w:rPr>
        <w:t xml:space="preserve"> </w:t>
      </w:r>
    </w:p>
    <w:p w14:paraId="57974669" w14:textId="3881627F" w:rsidR="002817C3" w:rsidRPr="00332A21" w:rsidRDefault="00000000" w:rsidP="00306FCF">
      <w:pPr>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86133EE" w14:textId="77777777" w:rsidR="00272320" w:rsidRDefault="00306FCF" w:rsidP="00272320">
      <w:pPr>
        <w:keepNext/>
        <w:ind w:left="360"/>
      </w:pPr>
      <w:r w:rsidRPr="00306FCF">
        <w:rPr>
          <w:rFonts w:ascii="Times New Roman" w:hAnsi="Times New Roman" w:cs="Times New Roman"/>
          <w:noProof/>
        </w:rPr>
        <w:drawing>
          <wp:inline distT="0" distB="0" distL="0" distR="0" wp14:anchorId="4485C432" wp14:editId="72574D52">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4"/>
                    <a:stretch>
                      <a:fillRect/>
                    </a:stretch>
                  </pic:blipFill>
                  <pic:spPr>
                    <a:xfrm>
                      <a:off x="0" y="0"/>
                      <a:ext cx="5015955" cy="2349414"/>
                    </a:xfrm>
                    <a:prstGeom prst="rect">
                      <a:avLst/>
                    </a:prstGeom>
                  </pic:spPr>
                </pic:pic>
              </a:graphicData>
            </a:graphic>
          </wp:inline>
        </w:drawing>
      </w:r>
    </w:p>
    <w:p w14:paraId="2F71F74B" w14:textId="5556CA71" w:rsidR="00A76BC2" w:rsidRDefault="00272320" w:rsidP="007A2C5C">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Pr="00272320">
        <w:rPr>
          <w:rFonts w:ascii="Times New Roman" w:hAnsi="Times New Roman" w:cs="Times New Roman"/>
        </w:rPr>
        <w:t>9</w:t>
      </w:r>
      <w:r w:rsidRPr="00272320">
        <w:rPr>
          <w:rFonts w:ascii="Times New Roman" w:hAnsi="Times New Roman" w:cs="Times New Roman"/>
        </w:rPr>
        <w:fldChar w:fldCharType="end"/>
      </w:r>
      <w:r>
        <w:rPr>
          <w:rFonts w:ascii="Times New Roman" w:hAnsi="Times New Roman" w:cs="Times New Roman"/>
        </w:rPr>
        <w:t xml:space="preserve">. </w:t>
      </w:r>
      <w:r w:rsidR="008E15F0">
        <w:rPr>
          <w:rFonts w:ascii="Times New Roman" w:hAnsi="Times New Roman" w:cs="Times New Roman" w:hint="eastAsia"/>
        </w:rPr>
        <w:t>Plot</w:t>
      </w:r>
      <w:r w:rsidR="008E15F0">
        <w:rPr>
          <w:rFonts w:ascii="Times New Roman" w:hAnsi="Times New Roman" w:cs="Times New Roman"/>
        </w:rPr>
        <w:t xml:space="preserve"> of Real FFR and </w:t>
      </w:r>
      <w:r w:rsidR="008E15F0">
        <w:rPr>
          <w:rFonts w:ascii="Times New Roman" w:hAnsi="Times New Roman" w:cs="Times New Roman" w:hint="eastAsia"/>
        </w:rPr>
        <w:t>P</w:t>
      </w:r>
      <w:r w:rsidR="008E15F0">
        <w:rPr>
          <w:rFonts w:ascii="Times New Roman" w:hAnsi="Times New Roman" w:cs="Times New Roman"/>
        </w:rPr>
        <w:t>rojected FFR based on Rolling Regression Model</w:t>
      </w:r>
    </w:p>
    <w:p w14:paraId="2C9C38DB" w14:textId="77777777" w:rsidR="00EA2F78" w:rsidRDefault="00EA2F78" w:rsidP="004B5FF2">
      <w:pPr>
        <w:rPr>
          <w:rFonts w:ascii="Times New Roman" w:hAnsi="Times New Roman" w:cs="Times New Roman"/>
          <w:b/>
          <w:bCs/>
        </w:rPr>
      </w:pP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77777777" w:rsidR="001A4539" w:rsidRDefault="001A4539" w:rsidP="004B5FF2">
      <w:pPr>
        <w:rPr>
          <w:rFonts w:ascii="Times New Roman" w:hAnsi="Times New Roman" w:cs="Times New Roman"/>
          <w:b/>
          <w:bCs/>
        </w:rPr>
      </w:pPr>
    </w:p>
    <w:p w14:paraId="7A40EF6F" w14:textId="77777777" w:rsidR="001A4539" w:rsidRDefault="001A4539" w:rsidP="004B5FF2">
      <w:pPr>
        <w:rPr>
          <w:rFonts w:ascii="Times New Roman" w:hAnsi="Times New Roman" w:cs="Times New Roman"/>
          <w:b/>
          <w:bCs/>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lastRenderedPageBreak/>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6A27ACEF" w:rsidR="00BD59D5" w:rsidRPr="00BD59D5" w:rsidRDefault="00BD59D5" w:rsidP="00BD59D5">
      <w:pPr>
        <w:rPr>
          <w:rFonts w:ascii="Times New Roman" w:hAnsi="Times New Roman" w:cs="Times New Roman"/>
        </w:rPr>
      </w:pPr>
      <w:r w:rsidRPr="00BD59D5">
        <w:rPr>
          <w:rFonts w:ascii="Times New Roman" w:hAnsi="Times New Roman" w:cs="Times New Roman"/>
        </w:rPr>
        <w:t>Since the release of macro data has the characteristic of lag, however, the integration of Hidden Markov Model (GMM-HMM), is able to use daily released data, treasury yield, to project the Federal Fund Rate (FFR), offering a series of benefits for the general public, policymakers, statistics agencies, financial institutions, and individual investors.</w:t>
      </w:r>
    </w:p>
    <w:p w14:paraId="5D06EEEF" w14:textId="765A11E6"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gives policymakers the ability to make timely and well-informed decisions. The additional layer of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using the HMM model, making use of its real-time capabilities and sophisticated comprehension of market dynamics to create monetary policies that are more flexible and successful.</w:t>
      </w:r>
    </w:p>
    <w:p w14:paraId="7B9FBC90" w14:textId="04BA75B0"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useful datasets for economic research, analysis, and forecasting. The capacity of the GMM-HMM model to present a more complex picture of the economic environment allows statistics agencies to produce insights that are </w:t>
      </w:r>
      <w:r w:rsidR="00694046" w:rsidRPr="00BD59D5">
        <w:rPr>
          <w:rFonts w:ascii="Times New Roman" w:hAnsi="Times New Roman" w:cs="Times New Roman"/>
        </w:rPr>
        <w:t>timelier</w:t>
      </w:r>
      <w:r w:rsidRPr="00BD59D5">
        <w:rPr>
          <w:rFonts w:ascii="Times New Roman" w:hAnsi="Times New Roman" w:cs="Times New Roman"/>
        </w:rPr>
        <w:t xml:space="preserve"> and accurately represent the underlying market dynamics.</w:t>
      </w:r>
    </w:p>
    <w:p w14:paraId="5B23F698" w14:textId="04E97BC1"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who are attempting to understand the complexities of financial markets. As a result, investors have greater access to information sources and have a deeper comprehension of both upcoming interest rate adjustments and broader economic trends. The adaptable nature of the financial markets is caught by the dynamic and responsive aspects of the model, which enable investors to make well-informed decisions in response to shifting economic conditions. </w:t>
      </w:r>
    </w:p>
    <w:p w14:paraId="2EBD4FCD" w14:textId="6D7EE6C0" w:rsidR="00260926" w:rsidRDefault="00BD59D5" w:rsidP="00BD59D5">
      <w:pPr>
        <w:rPr>
          <w:rFonts w:ascii="Times New Roman" w:hAnsi="Times New Roman" w:cs="Times New Roman"/>
        </w:rPr>
      </w:pPr>
      <w:r w:rsidRPr="00BD59D5">
        <w:rPr>
          <w:rFonts w:ascii="Times New Roman" w:hAnsi="Times New Roman" w:cs="Times New Roman"/>
        </w:rPr>
        <w:t xml:space="preserve">To sum up, our research of using HMM model to project FFR presents policymakers, statistical agencies, and general investors with a novel approach. It is advised that policymakers use the model's real-time capabilities to make more intelligent and nimble financial judgments. Statistical agencies are recommended to use this modeling method to generate faster and more accurate datasets, which will improve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 and nimbly.</w:t>
      </w:r>
    </w:p>
    <w:p w14:paraId="2B88CC29" w14:textId="77777777" w:rsidR="00633F68" w:rsidRDefault="00633F68" w:rsidP="00BD59D5">
      <w:pPr>
        <w:rPr>
          <w:rFonts w:ascii="Times New Roman" w:hAnsi="Times New Roman" w:cs="Times New Roman"/>
        </w:rPr>
      </w:pPr>
    </w:p>
    <w:p w14:paraId="529F9C4C" w14:textId="77777777" w:rsidR="00633F68" w:rsidRDefault="00633F68" w:rsidP="00633F68">
      <w:pPr>
        <w:rPr>
          <w:rFonts w:ascii="Times New Roman" w:hAnsi="Times New Roman" w:cs="Times New Roman"/>
          <w:b/>
          <w:bCs/>
        </w:rPr>
      </w:pPr>
      <w:r w:rsidRPr="00043005">
        <w:rPr>
          <w:rFonts w:ascii="Times New Roman" w:hAnsi="Times New Roman" w:cs="Times New Roman"/>
          <w:b/>
          <w:bCs/>
        </w:rPr>
        <w:t>Conclusion</w:t>
      </w:r>
    </w:p>
    <w:p w14:paraId="2400ED62" w14:textId="77777777" w:rsidR="00633F68" w:rsidRDefault="00633F68" w:rsidP="00BD59D5">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196D47D" w14:textId="5F9AAEA7" w:rsidR="00A97052" w:rsidRPr="00A97052" w:rsidRDefault="00A97052" w:rsidP="00A97052">
      <w:pPr>
        <w:ind w:left="360"/>
        <w:rPr>
          <w:rFonts w:ascii="Times New Roman" w:hAnsi="Times New Roman" w:cs="Times New Roman"/>
        </w:rPr>
      </w:pPr>
      <w:r w:rsidRPr="00A97052">
        <w:rPr>
          <w:rFonts w:ascii="Times New Roman" w:hAnsi="Times New Roman" w:cs="Times New Roman"/>
        </w:rPr>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 xml:space="preserve">he </w:t>
      </w:r>
      <w:r w:rsidRPr="00A97052">
        <w:rPr>
          <w:rFonts w:ascii="Times New Roman" w:hAnsi="Times New Roman" w:cs="Times New Roman"/>
        </w:rPr>
        <w:lastRenderedPageBreak/>
        <w:t xml:space="preserve">updated GDP estimates are then made available on a regular basis in subsequent phases, such as preliminary and final estimates for particular quarters or years. Furthermore, to reassess GDP data for a number of years, periodic historical revisions are carried out to </w:t>
      </w:r>
      <w:r w:rsidR="00CD008C" w:rsidRPr="00A97052">
        <w:rPr>
          <w:rFonts w:ascii="Times New Roman" w:hAnsi="Times New Roman" w:cs="Times New Roman"/>
        </w:rPr>
        <w:t>consider</w:t>
      </w:r>
      <w:r w:rsidRPr="00A97052">
        <w:rPr>
          <w:rFonts w:ascii="Times New Roman" w:hAnsi="Times New Roman" w:cs="Times New Roman"/>
        </w:rPr>
        <w:t xml:space="preserve">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sidR="003C7BB6">
        <w:rPr>
          <w:rFonts w:ascii="Times New Roman" w:hAnsi="Times New Roman" w:cs="Times New Roman"/>
        </w:rPr>
        <w:t xml:space="preserve"> </w:t>
      </w:r>
      <w:r>
        <w:rPr>
          <w:rFonts w:ascii="Times New Roman" w:hAnsi="Times New Roman" w:cs="Times New Roman"/>
        </w:rPr>
        <w:t>[]</w:t>
      </w:r>
      <w:r w:rsidR="003C7BB6">
        <w:rPr>
          <w:rFonts w:ascii="Times New Roman" w:hAnsi="Times New Roman" w:cs="Times New Roman"/>
        </w:rPr>
        <w:t>.</w:t>
      </w:r>
    </w:p>
    <w:p w14:paraId="14A190FA" w14:textId="77777777" w:rsidR="00060329" w:rsidRPr="00A93F45" w:rsidRDefault="00060329" w:rsidP="005D14F3">
      <w:pPr>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6"/>
      <w:r w:rsidR="001E0256">
        <w:rPr>
          <w:rFonts w:ascii="Times New Roman" w:hAnsi="Times New Roman" w:cs="Times New Roman"/>
        </w:rPr>
        <w:t>[]</w:t>
      </w:r>
      <w:commentRangeEnd w:id="16"/>
      <w:r w:rsidR="00893701">
        <w:rPr>
          <w:rStyle w:val="CommentReference"/>
        </w:rPr>
        <w:commentReference w:id="16"/>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D888076" w14:textId="77777777" w:rsidR="003E3177" w:rsidRPr="00565DBE" w:rsidRDefault="003E3177" w:rsidP="003E317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6D7546F7" w14:textId="3E416F2D" w:rsidR="00565DBE" w:rsidRPr="00260926" w:rsidRDefault="00565DBE" w:rsidP="00260926">
      <w:pPr>
        <w:rPr>
          <w:rFonts w:ascii="Times New Roman" w:hAnsi="Times New Roman" w:cs="Times New Roman"/>
        </w:rPr>
      </w:pPr>
    </w:p>
    <w:sectPr w:rsidR="00565DBE" w:rsidRPr="00260926">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5"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7"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9"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0"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1"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2"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3"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4"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5"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6"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9536" w14:textId="77777777" w:rsidR="00755AB4" w:rsidRDefault="00755AB4" w:rsidP="003075CB">
      <w:r>
        <w:separator/>
      </w:r>
    </w:p>
  </w:endnote>
  <w:endnote w:type="continuationSeparator" w:id="0">
    <w:p w14:paraId="04175B54" w14:textId="77777777" w:rsidR="00755AB4" w:rsidRDefault="00755AB4"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0B17" w14:textId="77777777" w:rsidR="00755AB4" w:rsidRDefault="00755AB4" w:rsidP="003075CB">
      <w:r>
        <w:separator/>
      </w:r>
    </w:p>
  </w:footnote>
  <w:footnote w:type="continuationSeparator" w:id="0">
    <w:p w14:paraId="09C9F591" w14:textId="77777777" w:rsidR="00755AB4" w:rsidRDefault="00755AB4"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2"/>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44D3"/>
    <w:rsid w:val="00017178"/>
    <w:rsid w:val="00021C6B"/>
    <w:rsid w:val="00021D60"/>
    <w:rsid w:val="00033817"/>
    <w:rsid w:val="00040480"/>
    <w:rsid w:val="00043005"/>
    <w:rsid w:val="000447A4"/>
    <w:rsid w:val="000563CE"/>
    <w:rsid w:val="00060329"/>
    <w:rsid w:val="000623CE"/>
    <w:rsid w:val="00076F7B"/>
    <w:rsid w:val="000801BF"/>
    <w:rsid w:val="0009271A"/>
    <w:rsid w:val="00096D6A"/>
    <w:rsid w:val="00097698"/>
    <w:rsid w:val="00097753"/>
    <w:rsid w:val="000977B0"/>
    <w:rsid w:val="000A5D52"/>
    <w:rsid w:val="000A6B92"/>
    <w:rsid w:val="000A6BEF"/>
    <w:rsid w:val="000B1073"/>
    <w:rsid w:val="000B17A0"/>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4610"/>
    <w:rsid w:val="00151D01"/>
    <w:rsid w:val="00155EA0"/>
    <w:rsid w:val="00156403"/>
    <w:rsid w:val="001603F9"/>
    <w:rsid w:val="00180D2D"/>
    <w:rsid w:val="00180F7A"/>
    <w:rsid w:val="0018504B"/>
    <w:rsid w:val="001856E4"/>
    <w:rsid w:val="00186D0D"/>
    <w:rsid w:val="00193267"/>
    <w:rsid w:val="001A1594"/>
    <w:rsid w:val="001A1796"/>
    <w:rsid w:val="001A1F07"/>
    <w:rsid w:val="001A415C"/>
    <w:rsid w:val="001A4539"/>
    <w:rsid w:val="001A7EB0"/>
    <w:rsid w:val="001B128C"/>
    <w:rsid w:val="001C05EB"/>
    <w:rsid w:val="001C2AE2"/>
    <w:rsid w:val="001C36B6"/>
    <w:rsid w:val="001C55F7"/>
    <w:rsid w:val="001E0256"/>
    <w:rsid w:val="001E6603"/>
    <w:rsid w:val="001F591C"/>
    <w:rsid w:val="001F7212"/>
    <w:rsid w:val="0020055E"/>
    <w:rsid w:val="00202A58"/>
    <w:rsid w:val="002041BD"/>
    <w:rsid w:val="002131F1"/>
    <w:rsid w:val="00222EFB"/>
    <w:rsid w:val="00226A98"/>
    <w:rsid w:val="00247016"/>
    <w:rsid w:val="0024719A"/>
    <w:rsid w:val="002546D1"/>
    <w:rsid w:val="00256D63"/>
    <w:rsid w:val="0026040D"/>
    <w:rsid w:val="00260926"/>
    <w:rsid w:val="0026324F"/>
    <w:rsid w:val="00265D6E"/>
    <w:rsid w:val="00272320"/>
    <w:rsid w:val="002734BF"/>
    <w:rsid w:val="002817C3"/>
    <w:rsid w:val="00291D0C"/>
    <w:rsid w:val="00294D28"/>
    <w:rsid w:val="002A216E"/>
    <w:rsid w:val="002A6FCD"/>
    <w:rsid w:val="002B27EA"/>
    <w:rsid w:val="002B3664"/>
    <w:rsid w:val="002B60BB"/>
    <w:rsid w:val="002C375D"/>
    <w:rsid w:val="002C7431"/>
    <w:rsid w:val="002D29DF"/>
    <w:rsid w:val="002D505D"/>
    <w:rsid w:val="002D6CB0"/>
    <w:rsid w:val="002E676F"/>
    <w:rsid w:val="002F396B"/>
    <w:rsid w:val="002F6575"/>
    <w:rsid w:val="0030695B"/>
    <w:rsid w:val="00306FCF"/>
    <w:rsid w:val="003075CB"/>
    <w:rsid w:val="00314052"/>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24E"/>
    <w:rsid w:val="003A2B85"/>
    <w:rsid w:val="003A5646"/>
    <w:rsid w:val="003B3019"/>
    <w:rsid w:val="003C029B"/>
    <w:rsid w:val="003C75B2"/>
    <w:rsid w:val="003C7BB6"/>
    <w:rsid w:val="003D2CBC"/>
    <w:rsid w:val="003D45B9"/>
    <w:rsid w:val="003D7D76"/>
    <w:rsid w:val="003E3177"/>
    <w:rsid w:val="003F100F"/>
    <w:rsid w:val="00402BED"/>
    <w:rsid w:val="00403170"/>
    <w:rsid w:val="0040459D"/>
    <w:rsid w:val="0041012A"/>
    <w:rsid w:val="004103F9"/>
    <w:rsid w:val="00414B5A"/>
    <w:rsid w:val="00417021"/>
    <w:rsid w:val="0042145B"/>
    <w:rsid w:val="00427BAF"/>
    <w:rsid w:val="00431D6F"/>
    <w:rsid w:val="00433516"/>
    <w:rsid w:val="00437E3D"/>
    <w:rsid w:val="004451D6"/>
    <w:rsid w:val="004544ED"/>
    <w:rsid w:val="0045499B"/>
    <w:rsid w:val="004755A9"/>
    <w:rsid w:val="004825BD"/>
    <w:rsid w:val="00485386"/>
    <w:rsid w:val="004856EE"/>
    <w:rsid w:val="0049410A"/>
    <w:rsid w:val="00494606"/>
    <w:rsid w:val="004A1470"/>
    <w:rsid w:val="004B5432"/>
    <w:rsid w:val="004B5FF2"/>
    <w:rsid w:val="004C3093"/>
    <w:rsid w:val="004C3856"/>
    <w:rsid w:val="004D3DB6"/>
    <w:rsid w:val="004E12EA"/>
    <w:rsid w:val="004E354D"/>
    <w:rsid w:val="004E3879"/>
    <w:rsid w:val="004E44FB"/>
    <w:rsid w:val="004F4E41"/>
    <w:rsid w:val="004F51D8"/>
    <w:rsid w:val="00503ED3"/>
    <w:rsid w:val="00511C11"/>
    <w:rsid w:val="005204DD"/>
    <w:rsid w:val="00522F43"/>
    <w:rsid w:val="00527489"/>
    <w:rsid w:val="0053169C"/>
    <w:rsid w:val="0053201D"/>
    <w:rsid w:val="00536A4F"/>
    <w:rsid w:val="00537C32"/>
    <w:rsid w:val="00541A52"/>
    <w:rsid w:val="00541DFF"/>
    <w:rsid w:val="00545C79"/>
    <w:rsid w:val="00550151"/>
    <w:rsid w:val="005521B0"/>
    <w:rsid w:val="00553AFC"/>
    <w:rsid w:val="00561451"/>
    <w:rsid w:val="00561FE7"/>
    <w:rsid w:val="00565721"/>
    <w:rsid w:val="00565DBE"/>
    <w:rsid w:val="0057099D"/>
    <w:rsid w:val="00587B86"/>
    <w:rsid w:val="0059308C"/>
    <w:rsid w:val="00594B3C"/>
    <w:rsid w:val="005A4DE2"/>
    <w:rsid w:val="005B3514"/>
    <w:rsid w:val="005B4E5B"/>
    <w:rsid w:val="005B6A2D"/>
    <w:rsid w:val="005C1E80"/>
    <w:rsid w:val="005C2D9B"/>
    <w:rsid w:val="005D14F3"/>
    <w:rsid w:val="005D1839"/>
    <w:rsid w:val="005D6CBA"/>
    <w:rsid w:val="005D7297"/>
    <w:rsid w:val="005E07B1"/>
    <w:rsid w:val="005E230A"/>
    <w:rsid w:val="005E3E8C"/>
    <w:rsid w:val="005E6223"/>
    <w:rsid w:val="00604B28"/>
    <w:rsid w:val="0061051B"/>
    <w:rsid w:val="00611DC9"/>
    <w:rsid w:val="00616201"/>
    <w:rsid w:val="00617749"/>
    <w:rsid w:val="00623AAE"/>
    <w:rsid w:val="00625CBC"/>
    <w:rsid w:val="00630E05"/>
    <w:rsid w:val="006310CA"/>
    <w:rsid w:val="00633F68"/>
    <w:rsid w:val="006346ED"/>
    <w:rsid w:val="00636535"/>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C4909"/>
    <w:rsid w:val="006C5921"/>
    <w:rsid w:val="006D2D83"/>
    <w:rsid w:val="006D392B"/>
    <w:rsid w:val="006F27C0"/>
    <w:rsid w:val="0070170D"/>
    <w:rsid w:val="00707E70"/>
    <w:rsid w:val="007173E9"/>
    <w:rsid w:val="0074110E"/>
    <w:rsid w:val="0074222B"/>
    <w:rsid w:val="00747C29"/>
    <w:rsid w:val="00751A7F"/>
    <w:rsid w:val="00755AB4"/>
    <w:rsid w:val="00755BFE"/>
    <w:rsid w:val="00756CFA"/>
    <w:rsid w:val="007600CB"/>
    <w:rsid w:val="007633C0"/>
    <w:rsid w:val="007652CD"/>
    <w:rsid w:val="00775A57"/>
    <w:rsid w:val="00776C08"/>
    <w:rsid w:val="007A00A8"/>
    <w:rsid w:val="007A2C5C"/>
    <w:rsid w:val="007B300A"/>
    <w:rsid w:val="007B400A"/>
    <w:rsid w:val="007B50C8"/>
    <w:rsid w:val="007C1C5E"/>
    <w:rsid w:val="007C3705"/>
    <w:rsid w:val="007D0012"/>
    <w:rsid w:val="007E66A2"/>
    <w:rsid w:val="007F59B1"/>
    <w:rsid w:val="007F6CBB"/>
    <w:rsid w:val="008039EC"/>
    <w:rsid w:val="00813878"/>
    <w:rsid w:val="00813D48"/>
    <w:rsid w:val="00815595"/>
    <w:rsid w:val="00830B97"/>
    <w:rsid w:val="00831FA1"/>
    <w:rsid w:val="00834301"/>
    <w:rsid w:val="00836830"/>
    <w:rsid w:val="008370BB"/>
    <w:rsid w:val="00837C1C"/>
    <w:rsid w:val="0084545D"/>
    <w:rsid w:val="00845566"/>
    <w:rsid w:val="0085394B"/>
    <w:rsid w:val="00853F8E"/>
    <w:rsid w:val="00856D88"/>
    <w:rsid w:val="00857B9F"/>
    <w:rsid w:val="00860ABC"/>
    <w:rsid w:val="008710CD"/>
    <w:rsid w:val="0087463B"/>
    <w:rsid w:val="00874852"/>
    <w:rsid w:val="0087720A"/>
    <w:rsid w:val="00877A61"/>
    <w:rsid w:val="00884D96"/>
    <w:rsid w:val="00886FFA"/>
    <w:rsid w:val="00893701"/>
    <w:rsid w:val="008978FD"/>
    <w:rsid w:val="00897A30"/>
    <w:rsid w:val="008A0A19"/>
    <w:rsid w:val="008D40A2"/>
    <w:rsid w:val="008D6EC3"/>
    <w:rsid w:val="008E15F0"/>
    <w:rsid w:val="008E3E72"/>
    <w:rsid w:val="008F3354"/>
    <w:rsid w:val="008F5D69"/>
    <w:rsid w:val="00900095"/>
    <w:rsid w:val="00903B40"/>
    <w:rsid w:val="00922B86"/>
    <w:rsid w:val="00927428"/>
    <w:rsid w:val="0093025C"/>
    <w:rsid w:val="00930F5A"/>
    <w:rsid w:val="00931A10"/>
    <w:rsid w:val="009323C2"/>
    <w:rsid w:val="00932B91"/>
    <w:rsid w:val="00934096"/>
    <w:rsid w:val="00934927"/>
    <w:rsid w:val="00961EEC"/>
    <w:rsid w:val="009621DB"/>
    <w:rsid w:val="0096601C"/>
    <w:rsid w:val="00966A77"/>
    <w:rsid w:val="00967DED"/>
    <w:rsid w:val="00976FE3"/>
    <w:rsid w:val="00990FA5"/>
    <w:rsid w:val="00992E4E"/>
    <w:rsid w:val="009945CA"/>
    <w:rsid w:val="0099503C"/>
    <w:rsid w:val="00995E0D"/>
    <w:rsid w:val="00997A8C"/>
    <w:rsid w:val="009A12AD"/>
    <w:rsid w:val="009A213E"/>
    <w:rsid w:val="009A32FE"/>
    <w:rsid w:val="009A3C72"/>
    <w:rsid w:val="009B164C"/>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FE4"/>
    <w:rsid w:val="00A02687"/>
    <w:rsid w:val="00A04EFA"/>
    <w:rsid w:val="00A2020A"/>
    <w:rsid w:val="00A247D9"/>
    <w:rsid w:val="00A257B9"/>
    <w:rsid w:val="00A27401"/>
    <w:rsid w:val="00A31D9D"/>
    <w:rsid w:val="00A42387"/>
    <w:rsid w:val="00A42C15"/>
    <w:rsid w:val="00A509F3"/>
    <w:rsid w:val="00A52FDD"/>
    <w:rsid w:val="00A54EAE"/>
    <w:rsid w:val="00A561E6"/>
    <w:rsid w:val="00A60EC4"/>
    <w:rsid w:val="00A63A95"/>
    <w:rsid w:val="00A7515D"/>
    <w:rsid w:val="00A75B8B"/>
    <w:rsid w:val="00A76BC2"/>
    <w:rsid w:val="00A85E6E"/>
    <w:rsid w:val="00A91FFB"/>
    <w:rsid w:val="00A93F45"/>
    <w:rsid w:val="00A9432F"/>
    <w:rsid w:val="00A97052"/>
    <w:rsid w:val="00AA0E69"/>
    <w:rsid w:val="00AA2633"/>
    <w:rsid w:val="00AA70CC"/>
    <w:rsid w:val="00AC119F"/>
    <w:rsid w:val="00AD0C89"/>
    <w:rsid w:val="00AE0466"/>
    <w:rsid w:val="00AE4525"/>
    <w:rsid w:val="00AE47D8"/>
    <w:rsid w:val="00AF2275"/>
    <w:rsid w:val="00AF3C4C"/>
    <w:rsid w:val="00AF3E4D"/>
    <w:rsid w:val="00AF7E90"/>
    <w:rsid w:val="00B046D0"/>
    <w:rsid w:val="00B130AC"/>
    <w:rsid w:val="00B16D7A"/>
    <w:rsid w:val="00B20CF7"/>
    <w:rsid w:val="00B31F51"/>
    <w:rsid w:val="00B320B5"/>
    <w:rsid w:val="00B41A64"/>
    <w:rsid w:val="00B509ED"/>
    <w:rsid w:val="00B51999"/>
    <w:rsid w:val="00B5541F"/>
    <w:rsid w:val="00B64835"/>
    <w:rsid w:val="00B7118A"/>
    <w:rsid w:val="00B85876"/>
    <w:rsid w:val="00B903B7"/>
    <w:rsid w:val="00BA7B30"/>
    <w:rsid w:val="00BB0D40"/>
    <w:rsid w:val="00BB238C"/>
    <w:rsid w:val="00BB401E"/>
    <w:rsid w:val="00BC0F7E"/>
    <w:rsid w:val="00BD1CD0"/>
    <w:rsid w:val="00BD5172"/>
    <w:rsid w:val="00BD59D5"/>
    <w:rsid w:val="00C12851"/>
    <w:rsid w:val="00C133A0"/>
    <w:rsid w:val="00C2257E"/>
    <w:rsid w:val="00C22DEA"/>
    <w:rsid w:val="00C2494D"/>
    <w:rsid w:val="00C30BA5"/>
    <w:rsid w:val="00C31054"/>
    <w:rsid w:val="00C36894"/>
    <w:rsid w:val="00C54D5B"/>
    <w:rsid w:val="00C553DB"/>
    <w:rsid w:val="00C640B4"/>
    <w:rsid w:val="00C650B6"/>
    <w:rsid w:val="00C73A5A"/>
    <w:rsid w:val="00C767DD"/>
    <w:rsid w:val="00C8370B"/>
    <w:rsid w:val="00C8748C"/>
    <w:rsid w:val="00C90CCA"/>
    <w:rsid w:val="00CA26CC"/>
    <w:rsid w:val="00CB5F1B"/>
    <w:rsid w:val="00CC0509"/>
    <w:rsid w:val="00CC1DFB"/>
    <w:rsid w:val="00CC2718"/>
    <w:rsid w:val="00CD008C"/>
    <w:rsid w:val="00CD36B3"/>
    <w:rsid w:val="00CE1C88"/>
    <w:rsid w:val="00CE3B82"/>
    <w:rsid w:val="00CE4800"/>
    <w:rsid w:val="00CE5CA1"/>
    <w:rsid w:val="00CE5D0D"/>
    <w:rsid w:val="00CE6A42"/>
    <w:rsid w:val="00CE79E8"/>
    <w:rsid w:val="00CF24EE"/>
    <w:rsid w:val="00CF3007"/>
    <w:rsid w:val="00D07255"/>
    <w:rsid w:val="00D10F2B"/>
    <w:rsid w:val="00D12E04"/>
    <w:rsid w:val="00D15D6D"/>
    <w:rsid w:val="00D17E8D"/>
    <w:rsid w:val="00D2494D"/>
    <w:rsid w:val="00D25996"/>
    <w:rsid w:val="00D325CA"/>
    <w:rsid w:val="00D3669E"/>
    <w:rsid w:val="00D40E54"/>
    <w:rsid w:val="00D4409B"/>
    <w:rsid w:val="00D47966"/>
    <w:rsid w:val="00D5187C"/>
    <w:rsid w:val="00D57EB8"/>
    <w:rsid w:val="00D72BB2"/>
    <w:rsid w:val="00D74301"/>
    <w:rsid w:val="00D77E62"/>
    <w:rsid w:val="00D80C63"/>
    <w:rsid w:val="00D847B9"/>
    <w:rsid w:val="00D93AA1"/>
    <w:rsid w:val="00DA1B00"/>
    <w:rsid w:val="00DA54C8"/>
    <w:rsid w:val="00DB687B"/>
    <w:rsid w:val="00DC17F0"/>
    <w:rsid w:val="00DC7747"/>
    <w:rsid w:val="00DD0148"/>
    <w:rsid w:val="00DD2A87"/>
    <w:rsid w:val="00DD5B1A"/>
    <w:rsid w:val="00DE30DA"/>
    <w:rsid w:val="00DF19AE"/>
    <w:rsid w:val="00E03F85"/>
    <w:rsid w:val="00E05EBE"/>
    <w:rsid w:val="00E068B7"/>
    <w:rsid w:val="00E075DE"/>
    <w:rsid w:val="00E12376"/>
    <w:rsid w:val="00E14B60"/>
    <w:rsid w:val="00E17897"/>
    <w:rsid w:val="00E34121"/>
    <w:rsid w:val="00E360EB"/>
    <w:rsid w:val="00E36FE3"/>
    <w:rsid w:val="00E37435"/>
    <w:rsid w:val="00E50278"/>
    <w:rsid w:val="00E5554B"/>
    <w:rsid w:val="00E62272"/>
    <w:rsid w:val="00E708FF"/>
    <w:rsid w:val="00E709C4"/>
    <w:rsid w:val="00E75B1E"/>
    <w:rsid w:val="00E8404D"/>
    <w:rsid w:val="00E917AE"/>
    <w:rsid w:val="00E97185"/>
    <w:rsid w:val="00EA22C9"/>
    <w:rsid w:val="00EA2F78"/>
    <w:rsid w:val="00EA6538"/>
    <w:rsid w:val="00EB4326"/>
    <w:rsid w:val="00EB4BBD"/>
    <w:rsid w:val="00EC3D38"/>
    <w:rsid w:val="00ED29B7"/>
    <w:rsid w:val="00ED2FB6"/>
    <w:rsid w:val="00ED2FDD"/>
    <w:rsid w:val="00ED5AD0"/>
    <w:rsid w:val="00EF5439"/>
    <w:rsid w:val="00EF72AE"/>
    <w:rsid w:val="00F1593D"/>
    <w:rsid w:val="00F25E60"/>
    <w:rsid w:val="00F336C0"/>
    <w:rsid w:val="00F33B43"/>
    <w:rsid w:val="00F4113F"/>
    <w:rsid w:val="00F42F0C"/>
    <w:rsid w:val="00F500F5"/>
    <w:rsid w:val="00F520DA"/>
    <w:rsid w:val="00F7394E"/>
    <w:rsid w:val="00F77D6A"/>
    <w:rsid w:val="00F829CD"/>
    <w:rsid w:val="00F8339B"/>
    <w:rsid w:val="00F83961"/>
    <w:rsid w:val="00F83C58"/>
    <w:rsid w:val="00F84C09"/>
    <w:rsid w:val="00F937DF"/>
    <w:rsid w:val="00F93F6A"/>
    <w:rsid w:val="00F96235"/>
    <w:rsid w:val="00FA1853"/>
    <w:rsid w:val="00FA4943"/>
    <w:rsid w:val="00FC599A"/>
    <w:rsid w:val="00FC7E72"/>
    <w:rsid w:val="00FE1E33"/>
    <w:rsid w:val="00FE2C55"/>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github.com/FanZixian/HKU_ECON4200_G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117</cp:revision>
  <dcterms:created xsi:type="dcterms:W3CDTF">2023-12-02T17:35:00Z</dcterms:created>
  <dcterms:modified xsi:type="dcterms:W3CDTF">2023-12-03T07:19:00Z</dcterms:modified>
</cp:coreProperties>
</file>